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F2" w:rsidRPr="00C95AF2" w:rsidRDefault="00C95AF2" w:rsidP="00C95AF2">
      <w:pPr>
        <w:jc w:val="left"/>
        <w:rPr>
          <w:rFonts w:ascii="仿宋_GB2312" w:eastAsia="仿宋_GB2312" w:hAnsi="华文中宋" w:cs="Times New Roman"/>
          <w:sz w:val="32"/>
          <w:szCs w:val="32"/>
        </w:rPr>
      </w:pPr>
      <w:r w:rsidRPr="00C95AF2">
        <w:rPr>
          <w:rFonts w:ascii="仿宋_GB2312" w:eastAsia="仿宋_GB2312" w:hAnsi="华文中宋" w:cs="Times New Roman" w:hint="eastAsia"/>
          <w:sz w:val="32"/>
          <w:szCs w:val="32"/>
        </w:rPr>
        <w:t>附件</w:t>
      </w:r>
      <w:r>
        <w:rPr>
          <w:rFonts w:ascii="仿宋_GB2312" w:eastAsia="仿宋_GB2312" w:hAnsi="华文中宋" w:cs="Times New Roman" w:hint="eastAsia"/>
          <w:sz w:val="32"/>
          <w:szCs w:val="32"/>
        </w:rPr>
        <w:t>1</w:t>
      </w:r>
      <w:r w:rsidRPr="00C95AF2">
        <w:rPr>
          <w:rFonts w:ascii="仿宋_GB2312" w:eastAsia="仿宋_GB2312" w:hAnsi="华文中宋" w:cs="Times New Roman" w:hint="eastAsia"/>
          <w:sz w:val="32"/>
          <w:szCs w:val="32"/>
        </w:rPr>
        <w:t>：</w:t>
      </w:r>
    </w:p>
    <w:p w:rsidR="002C6901" w:rsidRPr="00DF5466" w:rsidRDefault="003137EF">
      <w:pPr>
        <w:jc w:val="center"/>
        <w:rPr>
          <w:rFonts w:ascii="华文中宋" w:eastAsia="华文中宋" w:hAnsi="华文中宋"/>
          <w:sz w:val="36"/>
          <w:szCs w:val="36"/>
        </w:rPr>
      </w:pPr>
      <w:r w:rsidRPr="00DF5466">
        <w:rPr>
          <w:rFonts w:ascii="华文中宋" w:eastAsia="华文中宋" w:hAnsi="华文中宋" w:hint="eastAsia"/>
          <w:sz w:val="36"/>
          <w:szCs w:val="36"/>
        </w:rPr>
        <w:t>民间非营利组织会计制度</w:t>
      </w:r>
      <w:r w:rsidR="003E6F9D">
        <w:rPr>
          <w:rFonts w:ascii="华文中宋" w:eastAsia="华文中宋" w:hAnsi="华文中宋" w:hint="eastAsia"/>
          <w:sz w:val="36"/>
          <w:szCs w:val="36"/>
        </w:rPr>
        <w:t>解释第1号</w:t>
      </w:r>
    </w:p>
    <w:p w:rsidR="002C6901" w:rsidRPr="00DF5466" w:rsidRDefault="003137EF" w:rsidP="00F06CC5">
      <w:pPr>
        <w:spacing w:afterLines="100" w:line="360" w:lineRule="auto"/>
        <w:jc w:val="center"/>
        <w:rPr>
          <w:rFonts w:ascii="华文中宋" w:eastAsia="华文中宋" w:hAnsi="华文中宋"/>
          <w:sz w:val="36"/>
          <w:szCs w:val="36"/>
        </w:rPr>
      </w:pPr>
      <w:r w:rsidRPr="00DF5466">
        <w:rPr>
          <w:rFonts w:ascii="仿宋_GB2312" w:eastAsia="仿宋_GB2312" w:hAnsi="华文中宋" w:cs="华文中宋" w:hint="eastAsia"/>
          <w:bCs/>
          <w:kern w:val="0"/>
          <w:sz w:val="32"/>
          <w:szCs w:val="32"/>
        </w:rPr>
        <w:t>（征求意见稿）</w:t>
      </w:r>
    </w:p>
    <w:p w:rsidR="003E6F9D" w:rsidRPr="00DF5466" w:rsidRDefault="003E6F9D" w:rsidP="003E6F9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本</w:t>
      </w:r>
      <w:r>
        <w:rPr>
          <w:rFonts w:ascii="仿宋_GB2312" w:eastAsia="仿宋_GB2312" w:hAnsi="仿宋" w:hint="eastAsia"/>
          <w:sz w:val="32"/>
          <w:szCs w:val="32"/>
        </w:rPr>
        <w:t>解释</w:t>
      </w:r>
      <w:r w:rsidR="000B2622">
        <w:rPr>
          <w:rFonts w:ascii="仿宋_GB2312" w:eastAsia="仿宋_GB2312" w:hAnsi="仿宋" w:hint="eastAsia"/>
          <w:sz w:val="32"/>
          <w:szCs w:val="32"/>
        </w:rPr>
        <w:t>是</w:t>
      </w:r>
      <w:r>
        <w:rPr>
          <w:rFonts w:ascii="仿宋_GB2312" w:eastAsia="仿宋_GB2312" w:hAnsi="仿宋" w:hint="eastAsia"/>
          <w:sz w:val="32"/>
          <w:szCs w:val="32"/>
        </w:rPr>
        <w:t>对《民间非营利组织会计制度》（财会〔2004〕7号，以下简称《民非制度》）的</w:t>
      </w:r>
      <w:r w:rsidR="000B2622">
        <w:rPr>
          <w:rFonts w:ascii="仿宋_GB2312" w:eastAsia="仿宋_GB2312" w:hAnsi="仿宋" w:hint="eastAsia"/>
          <w:sz w:val="32"/>
          <w:szCs w:val="32"/>
        </w:rPr>
        <w:t>补充和完善</w:t>
      </w:r>
      <w:r w:rsidR="00B64367">
        <w:rPr>
          <w:rFonts w:ascii="仿宋_GB2312" w:eastAsia="仿宋_GB2312" w:hAnsi="仿宋" w:hint="eastAsia"/>
          <w:sz w:val="32"/>
          <w:szCs w:val="32"/>
        </w:rPr>
        <w:t>。</w:t>
      </w:r>
      <w:r w:rsidR="000B2622">
        <w:rPr>
          <w:rFonts w:ascii="仿宋_GB2312" w:eastAsia="仿宋_GB2312" w:hAnsi="仿宋" w:hint="eastAsia"/>
          <w:sz w:val="32"/>
          <w:szCs w:val="32"/>
        </w:rPr>
        <w:t>本解释内容</w:t>
      </w:r>
      <w:r>
        <w:rPr>
          <w:rFonts w:ascii="仿宋_GB2312" w:eastAsia="仿宋_GB2312" w:hAnsi="仿宋" w:hint="eastAsia"/>
          <w:sz w:val="32"/>
          <w:szCs w:val="32"/>
        </w:rPr>
        <w:t>与《民非制度》不一致的</w:t>
      </w:r>
      <w:r w:rsidR="000B2622">
        <w:rPr>
          <w:rFonts w:ascii="仿宋_GB2312" w:eastAsia="仿宋_GB2312" w:hAnsi="仿宋" w:hint="eastAsia"/>
          <w:sz w:val="32"/>
          <w:szCs w:val="32"/>
        </w:rPr>
        <w:t>，</w:t>
      </w:r>
      <w:r>
        <w:rPr>
          <w:rFonts w:ascii="仿宋_GB2312" w:eastAsia="仿宋_GB2312" w:hAnsi="仿宋" w:hint="eastAsia"/>
          <w:sz w:val="32"/>
          <w:szCs w:val="32"/>
        </w:rPr>
        <w:t>以本解释为准。</w:t>
      </w:r>
    </w:p>
    <w:p w:rsidR="002C6901" w:rsidRPr="00DF5466" w:rsidRDefault="003137EF">
      <w:pPr>
        <w:ind w:firstLineChars="200" w:firstLine="640"/>
        <w:rPr>
          <w:rFonts w:ascii="黑体" w:eastAsia="黑体" w:hAnsi="黑体"/>
          <w:sz w:val="32"/>
          <w:szCs w:val="32"/>
        </w:rPr>
      </w:pPr>
      <w:r w:rsidRPr="00DF5466">
        <w:rPr>
          <w:rFonts w:ascii="黑体" w:eastAsia="黑体" w:hAnsi="黑体" w:hint="eastAsia"/>
          <w:sz w:val="32"/>
          <w:szCs w:val="32"/>
        </w:rPr>
        <w:t>一、关于实施范围</w:t>
      </w:r>
    </w:p>
    <w:p w:rsidR="002C6901" w:rsidRPr="00DF5466" w:rsidRDefault="0034737E">
      <w:pPr>
        <w:ind w:firstLineChars="200" w:firstLine="640"/>
        <w:rPr>
          <w:rFonts w:ascii="仿宋_GB2312" w:eastAsia="仿宋_GB2312" w:hAnsi="仿宋"/>
          <w:sz w:val="32"/>
          <w:szCs w:val="32"/>
        </w:rPr>
      </w:pPr>
      <w:r>
        <w:rPr>
          <w:rFonts w:ascii="仿宋_GB2312" w:eastAsia="仿宋_GB2312" w:hAnsi="仿宋" w:hint="eastAsia"/>
          <w:sz w:val="32"/>
          <w:szCs w:val="32"/>
        </w:rPr>
        <w:t>《民非制度》</w:t>
      </w:r>
      <w:r w:rsidR="003137EF" w:rsidRPr="00DF5466">
        <w:rPr>
          <w:rFonts w:ascii="仿宋_GB2312" w:eastAsia="仿宋_GB2312" w:hAnsi="仿宋" w:hint="eastAsia"/>
          <w:sz w:val="32"/>
          <w:szCs w:val="32"/>
        </w:rPr>
        <w:t>适用于在中华人民共和国境内依法设立的符合本制度规定特征的民间非营利组织。民间非营利组织包括依照国家法律、行政法规设立或登记的社会团体、基金会、社会服务机构、宗教活动场所、宗教院校和境外非政府组织代表机构等。</w:t>
      </w:r>
    </w:p>
    <w:p w:rsidR="002C6901" w:rsidRPr="00DF5466" w:rsidRDefault="003137EF">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适用本制度的民间非营利组织应当同时具备以下特征：</w:t>
      </w:r>
    </w:p>
    <w:p w:rsidR="002C6901" w:rsidRPr="00DF5466" w:rsidRDefault="003137EF">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（一）该组织为公益目的或者其他非营利目的成立；</w:t>
      </w:r>
    </w:p>
    <w:p w:rsidR="002C6901" w:rsidRPr="00DF5466" w:rsidRDefault="003137EF">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w:t>
      </w:r>
      <w:r w:rsidR="00551A82" w:rsidRPr="00DF5466">
        <w:rPr>
          <w:rFonts w:ascii="仿宋_GB2312" w:eastAsia="仿宋_GB2312" w:hAnsi="仿宋" w:hint="eastAsia"/>
          <w:sz w:val="32"/>
          <w:szCs w:val="32"/>
        </w:rPr>
        <w:t>该组织</w:t>
      </w:r>
      <w:r w:rsidRPr="00DF5466">
        <w:rPr>
          <w:rFonts w:ascii="仿宋_GB2312" w:eastAsia="仿宋_GB2312" w:hAnsi="仿宋" w:hint="eastAsia"/>
          <w:sz w:val="32"/>
          <w:szCs w:val="32"/>
        </w:rPr>
        <w:t>不向出资人、设立人或者会员分配所取得利润；</w:t>
      </w:r>
    </w:p>
    <w:p w:rsidR="002C6901" w:rsidRPr="00DF5466" w:rsidRDefault="003137EF">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（三）</w:t>
      </w:r>
      <w:r w:rsidR="00DA5BDE">
        <w:rPr>
          <w:rFonts w:ascii="仿宋_GB2312" w:eastAsia="仿宋_GB2312" w:hAnsi="仿宋" w:hint="eastAsia"/>
          <w:sz w:val="32"/>
          <w:szCs w:val="32"/>
        </w:rPr>
        <w:t>出资人</w:t>
      </w:r>
      <w:r w:rsidRPr="00DF5466">
        <w:rPr>
          <w:rFonts w:ascii="仿宋_GB2312" w:eastAsia="仿宋_GB2312" w:hAnsi="仿宋" w:hint="eastAsia"/>
          <w:sz w:val="32"/>
          <w:szCs w:val="32"/>
        </w:rPr>
        <w:t>对投入该组织的财产不保留或享有任何财产权利。</w:t>
      </w:r>
    </w:p>
    <w:p w:rsidR="008B035D" w:rsidRPr="00DF5466" w:rsidRDefault="00D95602" w:rsidP="008B035D">
      <w:pPr>
        <w:ind w:firstLineChars="200" w:firstLine="640"/>
        <w:rPr>
          <w:rFonts w:ascii="黑体" w:eastAsia="黑体" w:hAnsi="黑体"/>
          <w:sz w:val="32"/>
          <w:szCs w:val="32"/>
        </w:rPr>
      </w:pPr>
      <w:r>
        <w:rPr>
          <w:rFonts w:ascii="黑体" w:eastAsia="黑体" w:hAnsi="黑体" w:hint="eastAsia"/>
          <w:sz w:val="32"/>
          <w:szCs w:val="32"/>
        </w:rPr>
        <w:t>二</w:t>
      </w:r>
      <w:r w:rsidR="008B035D" w:rsidRPr="00DF5466">
        <w:rPr>
          <w:rFonts w:ascii="黑体" w:eastAsia="黑体" w:hAnsi="黑体" w:hint="eastAsia"/>
          <w:sz w:val="32"/>
          <w:szCs w:val="32"/>
        </w:rPr>
        <w:t>、关于长期股权投资和合并会计报表</w:t>
      </w:r>
    </w:p>
    <w:p w:rsidR="008B035D" w:rsidRPr="00DF5466" w:rsidRDefault="008B035D" w:rsidP="00B97FD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（一）对于因</w:t>
      </w:r>
      <w:r w:rsidR="008774BF">
        <w:rPr>
          <w:rFonts w:ascii="仿宋_GB2312" w:eastAsia="仿宋_GB2312" w:hAnsi="仿宋" w:hint="eastAsia"/>
          <w:sz w:val="32"/>
          <w:szCs w:val="32"/>
        </w:rPr>
        <w:t>接受</w:t>
      </w:r>
      <w:r w:rsidRPr="00DF5466">
        <w:rPr>
          <w:rFonts w:ascii="仿宋_GB2312" w:eastAsia="仿宋_GB2312" w:hAnsi="仿宋" w:hint="eastAsia"/>
          <w:sz w:val="32"/>
          <w:szCs w:val="32"/>
        </w:rPr>
        <w:t>股权捐赠形成的表决权、分红权与股权比例不一致的长期股权投资，民间非营利组织应当根据经济业务实质判断是否对被投资单位具有控制、共同控制或重</w:t>
      </w:r>
      <w:r w:rsidRPr="00DF5466">
        <w:rPr>
          <w:rFonts w:ascii="仿宋_GB2312" w:eastAsia="仿宋_GB2312" w:hAnsi="仿宋" w:hint="eastAsia"/>
          <w:sz w:val="32"/>
          <w:szCs w:val="32"/>
        </w:rPr>
        <w:lastRenderedPageBreak/>
        <w:t>大影响。</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w:t>
      </w:r>
      <w:r w:rsidR="00B97FD5">
        <w:rPr>
          <w:rFonts w:ascii="仿宋_GB2312" w:eastAsia="仿宋_GB2312" w:hAnsi="仿宋" w:hint="eastAsia"/>
          <w:sz w:val="32"/>
          <w:szCs w:val="32"/>
        </w:rPr>
        <w:t>二</w:t>
      </w:r>
      <w:r w:rsidRPr="00DF5466">
        <w:rPr>
          <w:rFonts w:ascii="仿宋_GB2312" w:eastAsia="仿宋_GB2312" w:hAnsi="仿宋" w:hint="eastAsia"/>
          <w:sz w:val="32"/>
          <w:szCs w:val="32"/>
        </w:rPr>
        <w:t>）民间非营利组织对外投资，对被投资单位具有控制</w:t>
      </w:r>
      <w:r w:rsidR="009B2E30">
        <w:rPr>
          <w:rFonts w:ascii="仿宋_GB2312" w:eastAsia="仿宋_GB2312" w:hAnsi="仿宋" w:hint="eastAsia"/>
          <w:sz w:val="32"/>
          <w:szCs w:val="32"/>
        </w:rPr>
        <w:t>权</w:t>
      </w:r>
      <w:r w:rsidRPr="00DF5466">
        <w:rPr>
          <w:rFonts w:ascii="仿宋_GB2312" w:eastAsia="仿宋_GB2312" w:hAnsi="仿宋" w:hint="eastAsia"/>
          <w:sz w:val="32"/>
          <w:szCs w:val="32"/>
        </w:rPr>
        <w:t>的，应当视</w:t>
      </w:r>
      <w:r w:rsidR="007D7C52">
        <w:rPr>
          <w:rFonts w:ascii="仿宋_GB2312" w:eastAsia="仿宋_GB2312" w:hAnsi="仿宋" w:hint="eastAsia"/>
          <w:sz w:val="32"/>
          <w:szCs w:val="32"/>
        </w:rPr>
        <w:t>管理</w:t>
      </w:r>
      <w:r w:rsidRPr="00DF5466">
        <w:rPr>
          <w:rFonts w:ascii="仿宋_GB2312" w:eastAsia="仿宋_GB2312" w:hAnsi="仿宋" w:hint="eastAsia"/>
          <w:sz w:val="32"/>
          <w:szCs w:val="32"/>
        </w:rPr>
        <w:t>需要编制合并会计报表。</w:t>
      </w:r>
    </w:p>
    <w:p w:rsidR="00D14700" w:rsidRPr="00DF5466" w:rsidRDefault="0098687F" w:rsidP="00D14700">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t>三</w:t>
      </w:r>
      <w:r w:rsidR="00D14700" w:rsidRPr="00DF5466">
        <w:rPr>
          <w:rFonts w:ascii="黑体" w:eastAsia="黑体" w:hAnsi="黑体" w:hint="eastAsia"/>
          <w:sz w:val="32"/>
          <w:szCs w:val="32"/>
        </w:rPr>
        <w:t>、关于长期待摊费用</w:t>
      </w:r>
    </w:p>
    <w:p w:rsidR="00D14700" w:rsidRPr="00DF5466" w:rsidRDefault="00D14700" w:rsidP="00D14700">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（一）民间非营利组织应当增设“1801长期待摊费用”科目，核算已经发生但应由本期和以后各期负担的分摊期限在1年以上（不含1年）的各项费用，如以经营租赁方式租入的固定资产发生的改良支出等。</w:t>
      </w:r>
    </w:p>
    <w:p w:rsidR="00D14700" w:rsidRPr="00DF5466" w:rsidRDefault="00D14700" w:rsidP="00D14700">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（二）民间非营利组织发生长期待摊费用时，借记“长期待摊费用”科目，贷记“银行存款”等科目。摊销长期待摊费用时，借记“业务活动成本”“管理费用”等科目，贷记“长期待摊费用”科目。</w:t>
      </w:r>
    </w:p>
    <w:p w:rsidR="00D14700" w:rsidRPr="00DF5466" w:rsidRDefault="00D14700" w:rsidP="00D14700">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（三）“长期待摊费用”科目期末借方余额，反映民间非营利组织尚未摊销完毕的长期待摊费用。</w:t>
      </w:r>
    </w:p>
    <w:p w:rsidR="00D14700" w:rsidRPr="00DF5466" w:rsidRDefault="00D14700" w:rsidP="00D14700">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（四）民间非营利组织应当在资产负债表资产部分“无形资产”项目与“受托代理资产：”项目之间增加“长期待摊费用”项目。本项目应当根据“长期待摊费用”科目的期末余额填列。</w:t>
      </w:r>
    </w:p>
    <w:p w:rsidR="00D14700" w:rsidRPr="00DF5466" w:rsidRDefault="0098687F" w:rsidP="00D14700">
      <w:pPr>
        <w:ind w:firstLineChars="200" w:firstLine="640"/>
        <w:rPr>
          <w:rFonts w:ascii="黑体" w:eastAsia="黑体" w:hAnsi="黑体"/>
          <w:sz w:val="32"/>
          <w:szCs w:val="32"/>
        </w:rPr>
      </w:pPr>
      <w:r>
        <w:rPr>
          <w:rFonts w:ascii="黑体" w:eastAsia="黑体" w:hAnsi="黑体" w:hint="eastAsia"/>
          <w:sz w:val="32"/>
          <w:szCs w:val="32"/>
        </w:rPr>
        <w:t>四</w:t>
      </w:r>
      <w:r w:rsidR="00D14700" w:rsidRPr="00DF5466">
        <w:rPr>
          <w:rFonts w:ascii="黑体" w:eastAsia="黑体" w:hAnsi="黑体" w:hint="eastAsia"/>
          <w:sz w:val="32"/>
          <w:szCs w:val="32"/>
        </w:rPr>
        <w:t>、关于注册资金</w:t>
      </w:r>
    </w:p>
    <w:p w:rsidR="00D14700" w:rsidRPr="00DF5466" w:rsidRDefault="00D14700" w:rsidP="00D14700">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（一）民间非营利组织设立时取得的注册资金，其使用受到时间限制、用途限制的，在取得时直接计入限定性净资产；</w:t>
      </w:r>
      <w:r>
        <w:rPr>
          <w:rFonts w:ascii="仿宋_GB2312" w:eastAsia="仿宋_GB2312" w:hAnsi="仿宋" w:hint="eastAsia"/>
          <w:sz w:val="32"/>
          <w:szCs w:val="32"/>
        </w:rPr>
        <w:t>其</w:t>
      </w:r>
      <w:r w:rsidRPr="00DF5466">
        <w:rPr>
          <w:rFonts w:ascii="仿宋_GB2312" w:eastAsia="仿宋_GB2312" w:hAnsi="仿宋" w:hint="eastAsia"/>
          <w:sz w:val="32"/>
          <w:szCs w:val="32"/>
        </w:rPr>
        <w:t>使用没有</w:t>
      </w:r>
      <w:r>
        <w:rPr>
          <w:rFonts w:ascii="仿宋_GB2312" w:eastAsia="仿宋_GB2312" w:hAnsi="仿宋" w:hint="eastAsia"/>
          <w:sz w:val="32"/>
          <w:szCs w:val="32"/>
        </w:rPr>
        <w:t>受到</w:t>
      </w:r>
      <w:r w:rsidRPr="00DF5466">
        <w:rPr>
          <w:rFonts w:ascii="仿宋_GB2312" w:eastAsia="仿宋_GB2312" w:hAnsi="仿宋" w:hint="eastAsia"/>
          <w:sz w:val="32"/>
          <w:szCs w:val="32"/>
        </w:rPr>
        <w:t>时间限制、用途限制的，在取得时直接</w:t>
      </w:r>
      <w:r w:rsidRPr="00DF5466">
        <w:rPr>
          <w:rFonts w:ascii="仿宋_GB2312" w:eastAsia="仿宋_GB2312" w:hAnsi="仿宋" w:hint="eastAsia"/>
          <w:sz w:val="32"/>
          <w:szCs w:val="32"/>
        </w:rPr>
        <w:lastRenderedPageBreak/>
        <w:t>计入非限定性净资产。</w:t>
      </w:r>
    </w:p>
    <w:p w:rsidR="00D14700" w:rsidRPr="00DF5466" w:rsidRDefault="00D14700" w:rsidP="00D14700">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（二）民间非营利组织变更登记注册资金，</w:t>
      </w:r>
      <w:r>
        <w:rPr>
          <w:rFonts w:ascii="仿宋_GB2312" w:eastAsia="仿宋_GB2312" w:hAnsi="仿宋" w:hint="eastAsia"/>
          <w:sz w:val="32"/>
          <w:szCs w:val="32"/>
        </w:rPr>
        <w:t>不涉及资金变动的，</w:t>
      </w:r>
      <w:r w:rsidRPr="00DF5466">
        <w:rPr>
          <w:rFonts w:ascii="仿宋_GB2312" w:eastAsia="仿宋_GB2312" w:hAnsi="仿宋" w:hint="eastAsia"/>
          <w:sz w:val="32"/>
          <w:szCs w:val="32"/>
        </w:rPr>
        <w:t>无需进行会计处理</w:t>
      </w:r>
      <w:r>
        <w:rPr>
          <w:rFonts w:ascii="仿宋_GB2312" w:eastAsia="仿宋_GB2312" w:hAnsi="仿宋" w:hint="eastAsia"/>
          <w:sz w:val="32"/>
          <w:szCs w:val="32"/>
        </w:rPr>
        <w:t>；</w:t>
      </w:r>
      <w:r w:rsidRPr="00DF5466">
        <w:rPr>
          <w:rFonts w:ascii="仿宋_GB2312" w:eastAsia="仿宋_GB2312" w:hAnsi="仿宋" w:hint="eastAsia"/>
          <w:sz w:val="32"/>
          <w:szCs w:val="32"/>
        </w:rPr>
        <w:t>涉及接受资金投入的，应当记入“捐赠收入”等科目。</w:t>
      </w:r>
    </w:p>
    <w:p w:rsidR="00D14700" w:rsidRPr="00DF5466" w:rsidRDefault="00D14700" w:rsidP="00D14700">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（三）民间非营利组织设立时取得的注册资金，应当在现金流量表“收到的其他与筹资活动有关的现金”项目中填列。</w:t>
      </w:r>
    </w:p>
    <w:p w:rsidR="00051DE5" w:rsidRPr="00DF5466" w:rsidRDefault="0098687F" w:rsidP="00051DE5">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t>五</w:t>
      </w:r>
      <w:r w:rsidR="00051DE5" w:rsidRPr="00DF5466">
        <w:rPr>
          <w:rFonts w:ascii="黑体" w:eastAsia="黑体" w:hAnsi="黑体" w:hint="eastAsia"/>
          <w:sz w:val="32"/>
          <w:szCs w:val="32"/>
        </w:rPr>
        <w:t>、关于限定性净资产</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民间非营利组织的净资产应当按照其是否受到限制，分为限定性净资产和非限定性净资产。资产提供者或者国家有关法律、行政法规所设置的限制只有在比民间非营利组织的宗旨、目的或章程等更为具体时，该受限制的净资产才属于本制度所界定的限定性净资产。</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（二）限定性净资产或相关资产的限制得到解除时，应当区分以下不同情况，将限定性净资产转为非限定性净资产：</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1.对于因资产提供者或者国家有关法律、行政法规要求民间非营利组织在收到资产后的特定时期之内使用该项资产而形成的限定性净资产，应当在相应期间之内按照实际使用的相关资产金额转为非限定性净资产。</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2.对于因资产提供者或者国家有关法律、行政法规要求民间非营利组织在收到资产后的特定日期之后使用该项资</w:t>
      </w:r>
      <w:r w:rsidRPr="00DF5466">
        <w:rPr>
          <w:rFonts w:ascii="仿宋_GB2312" w:eastAsia="仿宋_GB2312" w:hAnsi="仿宋" w:hint="eastAsia"/>
          <w:sz w:val="32"/>
          <w:szCs w:val="32"/>
        </w:rPr>
        <w:lastRenderedPageBreak/>
        <w:t>产而形成的限定性净资产，其时间限制在该特定日期即得以解除，应当在该特定日期转为非限定性净资产。</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3.对于因资产提供者或者国家有关法律、行政法规设置用途限制而形成的限定性净资产，其用途限制随着资产用于规定用途而逐步得以解除，应当按照实际用于规定用途的相关资产金额转为非限定性净资产。</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4.对于资产提供者或者国家有关法律、行政法规撤销对限定性净资产或相关资产所设置限制的，限定性净资产的限制在限制得到实际撤销时得以解除，应当在该时点将相关限定性净资产转为非限定性净资产。</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（三）因收到固定资产、无形资产形成限定性净资产的，应当区分以下不同情况，确定前款（二）所述实际使用的相关资产金额：</w:t>
      </w:r>
    </w:p>
    <w:p w:rsidR="00051DE5" w:rsidRPr="00DF5466"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1.对固定资产、无形资产设置用途限制的，应当自该资产用于规定用途开始，在资产预计剩余使用年限内，对相关限定性净资产金额平均地按期分摊，转为非限定性净资产。</w:t>
      </w:r>
    </w:p>
    <w:p w:rsidR="00051DE5" w:rsidRDefault="00051DE5" w:rsidP="00051DE5">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2.要求在收到固定资产、无形资产后的某个特定日期之后将该项资产用于特定用途的，在收到资产与该特定日期之间，不应将相关限定性净资产转为非限定性净资产；在特定日期之后，如果资产尚未用于规定用途，不应将相关限定性净资产转为非限定性净资产；在特定日期之后，自资产用于规定用途开始，应当在资产预计剩余使用年限内，对相关限</w:t>
      </w:r>
      <w:r w:rsidRPr="00DF5466">
        <w:rPr>
          <w:rFonts w:ascii="仿宋_GB2312" w:eastAsia="仿宋_GB2312" w:hAnsi="仿宋" w:hint="eastAsia"/>
          <w:sz w:val="32"/>
          <w:szCs w:val="32"/>
        </w:rPr>
        <w:lastRenderedPageBreak/>
        <w:t>定性净资产金额平均地按期分摊，转为非限定性净资产。</w:t>
      </w:r>
    </w:p>
    <w:p w:rsidR="00CB6F53" w:rsidRPr="00DF5466" w:rsidRDefault="0098687F" w:rsidP="00CB6F53">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t>六</w:t>
      </w:r>
      <w:r w:rsidR="00CB6F53" w:rsidRPr="00DF5466">
        <w:rPr>
          <w:rFonts w:ascii="黑体" w:eastAsia="黑体" w:hAnsi="黑体" w:hint="eastAsia"/>
          <w:sz w:val="32"/>
          <w:szCs w:val="32"/>
        </w:rPr>
        <w:t>、关于以前年度净资产调整</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（一）民间非营利组织应当增设“3201 以前年度净资产调整”科目，核算本年度发生的调整以前年度净资产的事项，包括本年度发生的重要前期差错更正</w:t>
      </w:r>
      <w:r>
        <w:rPr>
          <w:rFonts w:ascii="仿宋_GB2312" w:eastAsia="仿宋_GB2312" w:hAnsi="仿宋" w:hint="eastAsia"/>
          <w:sz w:val="32"/>
          <w:szCs w:val="32"/>
        </w:rPr>
        <w:t>等</w:t>
      </w:r>
      <w:r w:rsidRPr="00DF5466">
        <w:rPr>
          <w:rFonts w:ascii="仿宋_GB2312" w:eastAsia="仿宋_GB2312" w:hAnsi="仿宋" w:hint="eastAsia"/>
          <w:sz w:val="32"/>
          <w:szCs w:val="32"/>
        </w:rPr>
        <w:t>涉及调整以前年度净资产的事项。</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（二）本科目应当设置“非限定性净资产”“限定性净资产”明细科目，分别核算调整非限定性净资产、限定性净资产的金额。</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（三）调整增加以前年度收入时，借记有关科目，贷记本科目；调整减少以前年度收入时，作相反会计分录。</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调整增加以前年度费用时，借记本科目，贷记有关科目；调整减少以前年度费用时，作相反会计分录。</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经上述调整后，应将本科目的余额转入净资产，分别借记或贷记“非限定性净资产”“限定性净资产”科目，贷记或借记本科目相关明细科目。</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（四）民间非营利组织如果发生了因前期差错更正等调整以前年度净资产的事项，应当对资产负债表“年初数”栏中的有关项目金额进行相应调整，并在会计报表附注中说明以前年度净资产调整的情况。</w:t>
      </w:r>
    </w:p>
    <w:p w:rsidR="00CB6F53" w:rsidRPr="00DF5466" w:rsidRDefault="0098687F" w:rsidP="00CB6F53">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t>七</w:t>
      </w:r>
      <w:r w:rsidR="00CB6F53" w:rsidRPr="00DF5466">
        <w:rPr>
          <w:rFonts w:ascii="黑体" w:eastAsia="黑体" w:hAnsi="黑体" w:hint="eastAsia"/>
          <w:sz w:val="32"/>
          <w:szCs w:val="32"/>
        </w:rPr>
        <w:t>、关于承接政府购买服务取得的收入</w:t>
      </w:r>
    </w:p>
    <w:p w:rsidR="00CB6F53" w:rsidRPr="00DF5466" w:rsidRDefault="00CB6F53" w:rsidP="00CB6F53">
      <w:pPr>
        <w:ind w:firstLineChars="200" w:firstLine="640"/>
        <w:rPr>
          <w:rFonts w:ascii="仿宋" w:eastAsia="仿宋" w:hAnsi="仿宋"/>
          <w:sz w:val="32"/>
          <w:szCs w:val="32"/>
        </w:rPr>
      </w:pPr>
      <w:r w:rsidRPr="00DF5466">
        <w:rPr>
          <w:rFonts w:ascii="仿宋_GB2312" w:eastAsia="仿宋_GB2312" w:hAnsi="仿宋" w:hint="eastAsia"/>
          <w:sz w:val="32"/>
          <w:szCs w:val="32"/>
        </w:rPr>
        <w:t>民间非营利组织对于从政府取得的收入，应当区分交换</w:t>
      </w:r>
      <w:r w:rsidRPr="00DF5466">
        <w:rPr>
          <w:rFonts w:ascii="仿宋_GB2312" w:eastAsia="仿宋_GB2312" w:hAnsi="仿宋" w:hint="eastAsia"/>
          <w:sz w:val="32"/>
          <w:szCs w:val="32"/>
        </w:rPr>
        <w:lastRenderedPageBreak/>
        <w:t>交易所形成的收入和非交换交易所形成的收入。承接政府购买服务属于交换交易，取得的相关收入应记入“提供服务收入”等科目，不记入“政府补助收入”科目。</w:t>
      </w:r>
    </w:p>
    <w:p w:rsidR="00CB6F53" w:rsidRPr="00DF5466" w:rsidRDefault="0098687F" w:rsidP="00CB6F53">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t>八</w:t>
      </w:r>
      <w:r w:rsidR="00CB6F53" w:rsidRPr="00DF5466">
        <w:rPr>
          <w:rFonts w:ascii="黑体" w:eastAsia="黑体" w:hAnsi="黑体" w:hint="eastAsia"/>
          <w:sz w:val="32"/>
          <w:szCs w:val="32"/>
        </w:rPr>
        <w:t>、关于收入退回</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（一）一般情况下，退回属于本年度的收入，借记相关收入科目，贷记“现金”“银行存款”等科目；退回属于以前年度的收入，借记“以前年度净资产调整”科目，贷记“现金”“银行存款”等科目。</w:t>
      </w:r>
    </w:p>
    <w:p w:rsidR="00CB6F53"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对于接受的附条件捐赠，如果存在需要偿还全部或部分捐赠资产或者相应金额的现时义务时（比如因无法满足捐赠所附条件而必须将部分捐赠款退还给捐赠人时），应当区分情况进行处理：因管理不善造成的收入退回应当记入“管理费用”科目，并非因管理不善造成的收入退回（比如具体捐助对象不再满足捐助条件、执行捐助项目节约资金等）应当按照前款（一）进行会计处理。</w:t>
      </w:r>
    </w:p>
    <w:p w:rsidR="00CB6F53" w:rsidRPr="00DF5466" w:rsidRDefault="0098687F" w:rsidP="00CB6F53">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t>九</w:t>
      </w:r>
      <w:r w:rsidR="00CB6F53" w:rsidRPr="00DF5466">
        <w:rPr>
          <w:rFonts w:ascii="黑体" w:eastAsia="黑体" w:hAnsi="黑体" w:hint="eastAsia"/>
          <w:sz w:val="32"/>
          <w:szCs w:val="32"/>
        </w:rPr>
        <w:t>、关于存款利息</w:t>
      </w:r>
    </w:p>
    <w:p w:rsidR="00CB6F53" w:rsidRPr="00DF5466" w:rsidRDefault="00CB6F53" w:rsidP="00CB6F53">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民间非营利组织取得的存款利息，属于在借款费用应予资本化的期间内发生的与购建固定资产专门借款有关的存款利息，应当冲减在建工程成本；除此以外的存款利息应当计入其他收入，不再冲减筹资费用。</w:t>
      </w:r>
    </w:p>
    <w:p w:rsidR="008B035D" w:rsidRPr="00DF5466" w:rsidRDefault="0098687F" w:rsidP="00051DE5">
      <w:pPr>
        <w:ind w:firstLineChars="200" w:firstLine="640"/>
        <w:rPr>
          <w:rFonts w:ascii="黑体" w:eastAsia="黑体" w:hAnsi="黑体"/>
          <w:sz w:val="32"/>
          <w:szCs w:val="32"/>
        </w:rPr>
      </w:pPr>
      <w:r>
        <w:rPr>
          <w:rFonts w:ascii="黑体" w:eastAsia="黑体" w:hAnsi="黑体" w:hint="eastAsia"/>
          <w:sz w:val="32"/>
          <w:szCs w:val="32"/>
        </w:rPr>
        <w:t>十</w:t>
      </w:r>
      <w:r w:rsidR="008B035D" w:rsidRPr="00DF5466">
        <w:rPr>
          <w:rFonts w:ascii="黑体" w:eastAsia="黑体" w:hAnsi="黑体" w:hint="eastAsia"/>
          <w:sz w:val="32"/>
          <w:szCs w:val="32"/>
        </w:rPr>
        <w:t>、关于涉税业务</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（一）民间非营利组织应当增设“5501 税金及附加”</w:t>
      </w:r>
      <w:r w:rsidRPr="00DF5466">
        <w:rPr>
          <w:rFonts w:ascii="仿宋_GB2312" w:eastAsia="仿宋_GB2312" w:hAnsi="仿宋" w:hint="eastAsia"/>
          <w:sz w:val="32"/>
          <w:szCs w:val="32"/>
        </w:rPr>
        <w:lastRenderedPageBreak/>
        <w:t>一级科目，核算其业务活动发生的消费税、城市维护建设税、资源税、教育费附加、房产税、城镇土地使用税、车船税、印花税等相关税费。发生相关纳税义务时，借记本科目，贷记“应交税金”等科目。期末，将本科目本期发生额转入非限定性净资产，借记“非限定性净资产”科目，贷记本科目。</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（二）民间非营利组织应当增设“5601 所得税费用”一级科目，核算有企业所得税缴纳义务的民间非营利组织按规定缴纳企业所得税所形成的费用。发生所得税缴纳义务时，借记本科目，贷记“应交税金”等科目。期末，将本科目本期发生额转入非限定性净资产，借记“非限定性净资产”科目，贷记本科目。</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（三）民间非营利组织涉及的增值税业务，应当参照《增值税会计处理规定》（财会〔2016〕22号），在“应交税金”科目下设置相关明细科目，并进行账务处理。</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（四）民间非营利组织应当在业务活动表费用部分“业务活动成本”项目与“管理费用”项目之间增加“税金及附加”项目。本项目应当根据“税金及附加”科目的本期发生额分析填列。</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（五）民间非营利组织应当在业务活动表费用部分“其他费用”项目与“费用合计”项目之间增加“所得税费用”项目。本项目应当根据“所得税费用”科目的本期发生额分析填列。</w:t>
      </w:r>
    </w:p>
    <w:p w:rsidR="008B035D" w:rsidRPr="00DF5466" w:rsidRDefault="0098687F" w:rsidP="008B035D">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lastRenderedPageBreak/>
        <w:t>十一</w:t>
      </w:r>
      <w:r w:rsidR="008B035D" w:rsidRPr="00DF5466">
        <w:rPr>
          <w:rFonts w:ascii="黑体" w:eastAsia="黑体" w:hAnsi="黑体" w:hint="eastAsia"/>
          <w:sz w:val="32"/>
          <w:szCs w:val="32"/>
        </w:rPr>
        <w:t>、关于资产减值损失</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（一）民间非营利组织应当增设“5701 资产减值损失”一级科目，核算民间非营利组织各项资产减值准备所形成的损失，不再通过“管理费用”科目核算。</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二）民间非营利组织对于因提取短期投资、应收款项、存货、长期投资、固定资产、无形资产等资产减值准备而确认的资产减值损失，借记“资产减值损失”科目，贷记相关资产减值准备科目。冲减或转回资产减值准备，借记相关资产减值准备科目，贷记“资产减值损失”科目。</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（三）期末，将“资产减值损失”科目本期发生额转入非限定性净资产，借记“非限定性净资产”科目，贷记“资产减值损失”科目。</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（四）民间非营利组织应当在业务活动表费用部分“筹资费用”项目与“其他费用”项目之间增加“资产减值损失”项目。本项目应当根据“资产减值损失”科目的本期发生额分析填列。</w:t>
      </w:r>
    </w:p>
    <w:p w:rsidR="002A64CE" w:rsidRPr="00DF5466" w:rsidRDefault="002A64CE" w:rsidP="002A64CE">
      <w:pPr>
        <w:ind w:firstLineChars="200" w:firstLine="640"/>
        <w:rPr>
          <w:rFonts w:ascii="Times New Roman" w:eastAsia="宋体" w:hAnsi="Times New Roman" w:cs="Times New Roman"/>
          <w:sz w:val="24"/>
          <w:szCs w:val="24"/>
          <w:u w:color="0070C0"/>
        </w:rPr>
      </w:pPr>
      <w:r>
        <w:rPr>
          <w:rFonts w:ascii="黑体" w:eastAsia="黑体" w:hAnsi="黑体" w:hint="eastAsia"/>
          <w:sz w:val="32"/>
          <w:szCs w:val="32"/>
        </w:rPr>
        <w:t>十二</w:t>
      </w:r>
      <w:r w:rsidRPr="00DF5466">
        <w:rPr>
          <w:rFonts w:ascii="黑体" w:eastAsia="黑体" w:hAnsi="黑体" w:hint="eastAsia"/>
          <w:sz w:val="32"/>
          <w:szCs w:val="32"/>
        </w:rPr>
        <w:t>、关于出资设立其他民间非营利组织</w:t>
      </w:r>
    </w:p>
    <w:p w:rsidR="002A64CE" w:rsidRDefault="002A64CE" w:rsidP="002A64CE">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民间非营利组织出资设立其他民间非营利组织，所设立民间非营利组织与实现本组织的业务活动目标相关的，相关出资记入“业务活动成本”科目；所设立民间非营利组织与实现本组织的业务活动目标不相关的，相关出资记入“其他费用”科目。</w:t>
      </w:r>
    </w:p>
    <w:p w:rsidR="00E9001C" w:rsidRPr="00DF5466" w:rsidRDefault="00E9001C" w:rsidP="002A64CE">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本解释</w:t>
      </w:r>
      <w:r w:rsidR="007C225A">
        <w:rPr>
          <w:rFonts w:ascii="仿宋_GB2312" w:eastAsia="仿宋_GB2312" w:hAnsi="仿宋" w:hint="eastAsia"/>
          <w:sz w:val="32"/>
          <w:szCs w:val="32"/>
        </w:rPr>
        <w:t>施行</w:t>
      </w:r>
      <w:r>
        <w:rPr>
          <w:rFonts w:ascii="仿宋_GB2312" w:eastAsia="仿宋_GB2312" w:hAnsi="仿宋" w:hint="eastAsia"/>
          <w:sz w:val="32"/>
          <w:szCs w:val="32"/>
        </w:rPr>
        <w:t>前</w:t>
      </w:r>
      <w:r w:rsidR="00E31694" w:rsidRPr="00DF5466">
        <w:rPr>
          <w:rFonts w:ascii="仿宋_GB2312" w:eastAsia="仿宋_GB2312" w:hAnsi="仿宋" w:hint="eastAsia"/>
          <w:sz w:val="32"/>
          <w:szCs w:val="32"/>
        </w:rPr>
        <w:t>出资设立其他民间非营利组织</w:t>
      </w:r>
      <w:r w:rsidR="00A526F8">
        <w:rPr>
          <w:rFonts w:ascii="仿宋_GB2312" w:eastAsia="仿宋_GB2312" w:hAnsi="仿宋" w:hint="eastAsia"/>
          <w:sz w:val="32"/>
          <w:szCs w:val="32"/>
        </w:rPr>
        <w:t>并将出资金额记入“长期股权投资”科目的，应当自本解释首次施行日，将原“长期股权投资”科目余额中对其他民间非营利组织的出资金额转入“非限定性净资产”科目，借记“非限定性净资产”科目，贷记“长期股权投资”科目。</w:t>
      </w:r>
    </w:p>
    <w:p w:rsidR="008B035D" w:rsidRPr="00DF5466" w:rsidRDefault="0098687F" w:rsidP="008B035D">
      <w:pPr>
        <w:ind w:firstLineChars="200" w:firstLine="640"/>
        <w:rPr>
          <w:rFonts w:ascii="Times New Roman" w:eastAsia="黑体" w:hAnsi="Times New Roman" w:cs="Times New Roman"/>
          <w:sz w:val="24"/>
          <w:szCs w:val="24"/>
          <w:u w:color="0070C0"/>
        </w:rPr>
      </w:pPr>
      <w:r>
        <w:rPr>
          <w:rFonts w:ascii="黑体" w:eastAsia="黑体" w:hAnsi="黑体" w:hint="eastAsia"/>
          <w:sz w:val="32"/>
          <w:szCs w:val="32"/>
        </w:rPr>
        <w:t>十三</w:t>
      </w:r>
      <w:r w:rsidR="008B035D" w:rsidRPr="00DF5466">
        <w:rPr>
          <w:rFonts w:ascii="黑体" w:eastAsia="黑体" w:hAnsi="黑体" w:hint="eastAsia"/>
          <w:sz w:val="32"/>
          <w:szCs w:val="32"/>
        </w:rPr>
        <w:t>、关于现金流量表</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民间非营利组织应当将现金流量表“金额”栏修改为“本年金额”栏，同时在“本年金额”栏右侧增加“上年金额”栏。</w:t>
      </w:r>
    </w:p>
    <w:p w:rsidR="008B035D" w:rsidRPr="00DF5466" w:rsidRDefault="0098687F" w:rsidP="008B035D">
      <w:pPr>
        <w:ind w:firstLineChars="200" w:firstLine="640"/>
        <w:rPr>
          <w:rFonts w:ascii="黑体" w:eastAsia="黑体" w:hAnsi="黑体"/>
          <w:sz w:val="32"/>
          <w:szCs w:val="32"/>
        </w:rPr>
      </w:pPr>
      <w:r>
        <w:rPr>
          <w:rFonts w:ascii="黑体" w:eastAsia="黑体" w:hAnsi="黑体" w:cs="Times New Roman" w:hint="eastAsia"/>
          <w:sz w:val="32"/>
          <w:szCs w:val="32"/>
        </w:rPr>
        <w:t>十四</w:t>
      </w:r>
      <w:r w:rsidR="008B035D" w:rsidRPr="00DF5466">
        <w:rPr>
          <w:rFonts w:ascii="黑体" w:eastAsia="黑体" w:hAnsi="黑体" w:cs="Times New Roman" w:hint="eastAsia"/>
          <w:sz w:val="32"/>
          <w:szCs w:val="32"/>
        </w:rPr>
        <w:t>、关于会计报表附注</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（一）民间非营利组织应当在会计报表附注中增加披露与投资有关的下列信息：</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1.各项短期投资、长期债权投资和长期股权投资的增减变动及期初、期末账面余额。</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2.长期股权投资的投资对象及核算方法。</w:t>
      </w:r>
    </w:p>
    <w:p w:rsidR="008B035D" w:rsidRPr="00DF5466" w:rsidRDefault="008B035D" w:rsidP="008B035D">
      <w:pPr>
        <w:ind w:firstLineChars="200" w:firstLine="640"/>
        <w:rPr>
          <w:rFonts w:ascii="仿宋_GB2312" w:eastAsia="仿宋_GB2312" w:hAnsi="仿宋"/>
          <w:sz w:val="32"/>
          <w:szCs w:val="32"/>
        </w:rPr>
      </w:pPr>
      <w:r w:rsidRPr="00DF5466">
        <w:rPr>
          <w:rFonts w:ascii="仿宋_GB2312" w:eastAsia="仿宋_GB2312" w:hAnsi="仿宋" w:hint="eastAsia"/>
          <w:sz w:val="32"/>
          <w:szCs w:val="32"/>
        </w:rPr>
        <w:t>3.当期发生的投资净损益，其中重大的投资净损益项目应当单独披露。</w:t>
      </w:r>
    </w:p>
    <w:p w:rsidR="008B035D" w:rsidRPr="00DF5466"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（二）民间非营利组织应当在会计报表附注中增加披露关联方关系及其交易的相关信息。</w:t>
      </w:r>
    </w:p>
    <w:p w:rsidR="008B035D" w:rsidRPr="00DF5466"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1.关联方。一方控制、共同控制另一方或对另一方施加重大影响，以及两方或两方以上同受一方控制、共同控制或重大影响的，构成关联方。下列各方构成民间非营利组织的</w:t>
      </w:r>
      <w:r w:rsidRPr="00DF5466">
        <w:rPr>
          <w:rFonts w:ascii="仿宋_GB2312" w:eastAsia="仿宋_GB2312" w:hAnsi="仿宋" w:hint="eastAsia"/>
          <w:sz w:val="32"/>
          <w:szCs w:val="32"/>
        </w:rPr>
        <w:lastRenderedPageBreak/>
        <w:t>关联方：</w:t>
      </w:r>
    </w:p>
    <w:p w:rsidR="008B035D" w:rsidRPr="00DF5466"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（1）该民间非营利组织的</w:t>
      </w:r>
      <w:r w:rsidR="00FD15AF" w:rsidRPr="00DF5466">
        <w:rPr>
          <w:rFonts w:ascii="仿宋_GB2312" w:eastAsia="仿宋_GB2312" w:hAnsi="仿宋" w:hint="eastAsia"/>
          <w:sz w:val="32"/>
          <w:szCs w:val="32"/>
        </w:rPr>
        <w:t>设立</w:t>
      </w:r>
      <w:r w:rsidR="00FD15AF">
        <w:rPr>
          <w:rFonts w:ascii="仿宋_GB2312" w:eastAsia="仿宋_GB2312" w:hAnsi="仿宋" w:hint="eastAsia"/>
          <w:sz w:val="32"/>
          <w:szCs w:val="32"/>
        </w:rPr>
        <w:t>人</w:t>
      </w:r>
      <w:r w:rsidRPr="00DF5466">
        <w:rPr>
          <w:rFonts w:ascii="仿宋_GB2312" w:eastAsia="仿宋_GB2312" w:hAnsi="仿宋" w:hint="eastAsia"/>
          <w:sz w:val="32"/>
          <w:szCs w:val="32"/>
        </w:rPr>
        <w:t>。</w:t>
      </w:r>
    </w:p>
    <w:p w:rsidR="00637EF8"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（2）该民间非营利组织控制、共同控制或施加重大影响的企业</w:t>
      </w:r>
      <w:r w:rsidR="00637EF8">
        <w:rPr>
          <w:rFonts w:ascii="仿宋_GB2312" w:eastAsia="仿宋_GB2312" w:hAnsi="仿宋" w:hint="eastAsia"/>
          <w:sz w:val="32"/>
          <w:szCs w:val="32"/>
        </w:rPr>
        <w:t>。</w:t>
      </w:r>
    </w:p>
    <w:p w:rsidR="008B035D" w:rsidRPr="00DF5466" w:rsidRDefault="00637EF8" w:rsidP="008B035D">
      <w:pPr>
        <w:snapToGrid w:val="0"/>
        <w:spacing w:line="588" w:lineRule="atLeast"/>
        <w:ind w:firstLineChars="200" w:firstLine="640"/>
        <w:rPr>
          <w:rFonts w:ascii="仿宋_GB2312" w:eastAsia="仿宋_GB2312" w:hAnsi="仿宋"/>
          <w:sz w:val="32"/>
          <w:szCs w:val="32"/>
        </w:rPr>
      </w:pPr>
      <w:r>
        <w:rPr>
          <w:rFonts w:ascii="仿宋_GB2312" w:eastAsia="仿宋_GB2312" w:hAnsi="仿宋" w:hint="eastAsia"/>
          <w:sz w:val="32"/>
          <w:szCs w:val="32"/>
        </w:rPr>
        <w:t>（3）</w:t>
      </w:r>
      <w:r w:rsidRPr="00DF5466">
        <w:rPr>
          <w:rFonts w:ascii="仿宋_GB2312" w:eastAsia="仿宋_GB2312" w:hAnsi="仿宋" w:hint="eastAsia"/>
          <w:sz w:val="32"/>
          <w:szCs w:val="32"/>
        </w:rPr>
        <w:t>该民间非营利组织</w:t>
      </w:r>
      <w:r w:rsidR="008B035D" w:rsidRPr="00DF5466">
        <w:rPr>
          <w:rFonts w:ascii="仿宋_GB2312" w:eastAsia="仿宋_GB2312" w:hAnsi="仿宋" w:hint="eastAsia"/>
          <w:sz w:val="32"/>
          <w:szCs w:val="32"/>
        </w:rPr>
        <w:t>设立的其他民间非营利组织。</w:t>
      </w:r>
    </w:p>
    <w:p w:rsidR="005D7242"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w:t>
      </w:r>
      <w:r w:rsidR="005D7242">
        <w:rPr>
          <w:rFonts w:ascii="仿宋_GB2312" w:eastAsia="仿宋_GB2312" w:hAnsi="仿宋" w:hint="eastAsia"/>
          <w:sz w:val="32"/>
          <w:szCs w:val="32"/>
        </w:rPr>
        <w:t>4</w:t>
      </w:r>
      <w:r w:rsidRPr="00DF5466">
        <w:rPr>
          <w:rFonts w:ascii="仿宋_GB2312" w:eastAsia="仿宋_GB2312" w:hAnsi="仿宋" w:hint="eastAsia"/>
          <w:sz w:val="32"/>
          <w:szCs w:val="32"/>
        </w:rPr>
        <w:t>）由该民间非营利组织的</w:t>
      </w:r>
      <w:r w:rsidR="0089205A" w:rsidRPr="00DF5466">
        <w:rPr>
          <w:rFonts w:ascii="仿宋_GB2312" w:eastAsia="仿宋_GB2312" w:hAnsi="仿宋" w:hint="eastAsia"/>
          <w:sz w:val="32"/>
          <w:szCs w:val="32"/>
        </w:rPr>
        <w:t>设立</w:t>
      </w:r>
      <w:r w:rsidR="0089205A">
        <w:rPr>
          <w:rFonts w:ascii="仿宋_GB2312" w:eastAsia="仿宋_GB2312" w:hAnsi="仿宋" w:hint="eastAsia"/>
          <w:sz w:val="32"/>
          <w:szCs w:val="32"/>
        </w:rPr>
        <w:t>人</w:t>
      </w:r>
      <w:r w:rsidRPr="00DF5466">
        <w:rPr>
          <w:rFonts w:ascii="仿宋_GB2312" w:eastAsia="仿宋_GB2312" w:hAnsi="仿宋" w:hint="eastAsia"/>
          <w:sz w:val="32"/>
          <w:szCs w:val="32"/>
        </w:rPr>
        <w:t>控制、共同控制或施加重大影响的企业</w:t>
      </w:r>
      <w:r w:rsidR="005D7242">
        <w:rPr>
          <w:rFonts w:ascii="仿宋_GB2312" w:eastAsia="仿宋_GB2312" w:hAnsi="仿宋" w:hint="eastAsia"/>
          <w:sz w:val="32"/>
          <w:szCs w:val="32"/>
        </w:rPr>
        <w:t>。</w:t>
      </w:r>
    </w:p>
    <w:p w:rsidR="008B035D" w:rsidRPr="00DF5466" w:rsidRDefault="005D7242" w:rsidP="008B035D">
      <w:pPr>
        <w:snapToGrid w:val="0"/>
        <w:spacing w:line="588" w:lineRule="atLeas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DF5466">
        <w:rPr>
          <w:rFonts w:ascii="仿宋_GB2312" w:eastAsia="仿宋_GB2312" w:hAnsi="仿宋" w:hint="eastAsia"/>
          <w:sz w:val="32"/>
          <w:szCs w:val="32"/>
        </w:rPr>
        <w:t>由该民间非营利组织的设立</w:t>
      </w:r>
      <w:r>
        <w:rPr>
          <w:rFonts w:ascii="仿宋_GB2312" w:eastAsia="仿宋_GB2312" w:hAnsi="仿宋" w:hint="eastAsia"/>
          <w:sz w:val="32"/>
          <w:szCs w:val="32"/>
        </w:rPr>
        <w:t>人</w:t>
      </w:r>
      <w:r w:rsidR="008B035D" w:rsidRPr="00DF5466">
        <w:rPr>
          <w:rFonts w:ascii="仿宋_GB2312" w:eastAsia="仿宋_GB2312" w:hAnsi="仿宋" w:hint="eastAsia"/>
          <w:sz w:val="32"/>
          <w:szCs w:val="32"/>
        </w:rPr>
        <w:t>设立的其他民间非营利组织。</w:t>
      </w:r>
    </w:p>
    <w:p w:rsidR="008B035D" w:rsidRPr="00DF5466"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w:t>
      </w:r>
      <w:r w:rsidR="00CB20DF">
        <w:rPr>
          <w:rFonts w:ascii="仿宋_GB2312" w:eastAsia="仿宋_GB2312" w:hAnsi="仿宋" w:hint="eastAsia"/>
          <w:sz w:val="32"/>
          <w:szCs w:val="32"/>
        </w:rPr>
        <w:t>6</w:t>
      </w:r>
      <w:r w:rsidRPr="00DF5466">
        <w:rPr>
          <w:rFonts w:ascii="仿宋_GB2312" w:eastAsia="仿宋_GB2312" w:hAnsi="仿宋" w:hint="eastAsia"/>
          <w:sz w:val="32"/>
          <w:szCs w:val="32"/>
        </w:rPr>
        <w:t>）该民间非营利组织的关键管理人员及与其关系密切的家庭成员。关键管理人员，是指有权力并负责计划、指挥和控制民间非营利组织活动的人员。与关键管理人员关系密切的家庭成员，是指在处理与该组织的交易时可能影响该个人或受该个人影响的家庭成员。关键管理人员一般包括：</w:t>
      </w:r>
      <w:r w:rsidR="008F2E00" w:rsidRPr="00DF5466">
        <w:rPr>
          <w:rFonts w:ascii="仿宋_GB2312" w:eastAsia="仿宋_GB2312" w:hAnsi="仿宋" w:hint="eastAsia"/>
          <w:sz w:val="32"/>
          <w:szCs w:val="32"/>
        </w:rPr>
        <w:t>民间非营利</w:t>
      </w:r>
      <w:r w:rsidRPr="00DF5466">
        <w:rPr>
          <w:rFonts w:ascii="仿宋_GB2312" w:eastAsia="仿宋_GB2312" w:hAnsi="仿宋" w:hint="eastAsia"/>
          <w:sz w:val="32"/>
          <w:szCs w:val="32"/>
        </w:rPr>
        <w:t>组织负责人、理事、监事、分支（代表）机构负责人等。</w:t>
      </w:r>
    </w:p>
    <w:p w:rsidR="0097159D"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w:t>
      </w:r>
      <w:r w:rsidR="00CB20DF">
        <w:rPr>
          <w:rFonts w:ascii="仿宋_GB2312" w:eastAsia="仿宋_GB2312" w:hAnsi="仿宋" w:hint="eastAsia"/>
          <w:sz w:val="32"/>
          <w:szCs w:val="32"/>
        </w:rPr>
        <w:t>7</w:t>
      </w:r>
      <w:r w:rsidRPr="00DF5466">
        <w:rPr>
          <w:rFonts w:ascii="仿宋_GB2312" w:eastAsia="仿宋_GB2312" w:hAnsi="仿宋" w:hint="eastAsia"/>
          <w:sz w:val="32"/>
          <w:szCs w:val="32"/>
        </w:rPr>
        <w:t>）该民间非营利组织的关键管理人员或与其关系密切的家庭成员控制、共同控制或施加重大影响的企业</w:t>
      </w:r>
      <w:r w:rsidR="0097159D">
        <w:rPr>
          <w:rFonts w:ascii="仿宋_GB2312" w:eastAsia="仿宋_GB2312" w:hAnsi="仿宋" w:hint="eastAsia"/>
          <w:sz w:val="32"/>
          <w:szCs w:val="32"/>
        </w:rPr>
        <w:t>。</w:t>
      </w:r>
    </w:p>
    <w:p w:rsidR="008B035D" w:rsidRPr="00DF5466" w:rsidRDefault="0097159D" w:rsidP="008B035D">
      <w:pPr>
        <w:snapToGrid w:val="0"/>
        <w:spacing w:line="588" w:lineRule="atLeast"/>
        <w:ind w:firstLineChars="200" w:firstLine="640"/>
        <w:rPr>
          <w:rFonts w:ascii="仿宋_GB2312" w:eastAsia="仿宋_GB2312" w:hAnsi="仿宋"/>
          <w:sz w:val="32"/>
          <w:szCs w:val="32"/>
        </w:rPr>
      </w:pPr>
      <w:r>
        <w:rPr>
          <w:rFonts w:ascii="仿宋_GB2312" w:eastAsia="仿宋_GB2312" w:hAnsi="仿宋" w:hint="eastAsia"/>
          <w:sz w:val="32"/>
          <w:szCs w:val="32"/>
        </w:rPr>
        <w:t>（8）</w:t>
      </w:r>
      <w:r w:rsidRPr="00DF5466">
        <w:rPr>
          <w:rFonts w:ascii="仿宋_GB2312" w:eastAsia="仿宋_GB2312" w:hAnsi="仿宋" w:hint="eastAsia"/>
          <w:sz w:val="32"/>
          <w:szCs w:val="32"/>
        </w:rPr>
        <w:t>该民间非营利组织的关键管理人员或与其关系密切的家庭成员</w:t>
      </w:r>
      <w:r w:rsidR="008B035D" w:rsidRPr="00DF5466">
        <w:rPr>
          <w:rFonts w:ascii="仿宋_GB2312" w:eastAsia="仿宋_GB2312" w:hAnsi="仿宋" w:hint="eastAsia"/>
          <w:sz w:val="32"/>
          <w:szCs w:val="32"/>
        </w:rPr>
        <w:t>设立的其他民间非营利组织。</w:t>
      </w:r>
    </w:p>
    <w:p w:rsidR="008B035D" w:rsidRPr="00DF5466" w:rsidRDefault="008B035D" w:rsidP="008B035D">
      <w:pPr>
        <w:snapToGrid w:val="0"/>
        <w:spacing w:line="588" w:lineRule="atLeast"/>
        <w:ind w:firstLineChars="200" w:firstLine="640"/>
        <w:rPr>
          <w:rFonts w:ascii="仿宋_GB2312" w:eastAsia="仿宋_GB2312" w:hAnsi="仿宋"/>
          <w:sz w:val="32"/>
          <w:szCs w:val="32"/>
        </w:rPr>
      </w:pPr>
      <w:r w:rsidRPr="00DF5466">
        <w:rPr>
          <w:rFonts w:ascii="仿宋_GB2312" w:eastAsia="仿宋_GB2312" w:hAnsi="仿宋" w:hint="eastAsia"/>
          <w:sz w:val="32"/>
          <w:szCs w:val="32"/>
        </w:rPr>
        <w:t>此外，以面向社会开展慈善活动为宗旨的民间非营利组织（包括社会团体、基金会、社会服务机构等），与其主要捐赠人也构成关联方。</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lastRenderedPageBreak/>
        <w:t>2.关联方交易。关联方交易，是指关联方之间转移资源、劳务或义务的行为，而不</w:t>
      </w:r>
      <w:bookmarkStart w:id="0" w:name="_GoBack"/>
      <w:bookmarkEnd w:id="0"/>
      <w:r w:rsidRPr="00DF5466">
        <w:rPr>
          <w:rFonts w:ascii="仿宋_GB2312" w:eastAsia="仿宋_GB2312" w:hAnsi="仿宋" w:hint="eastAsia"/>
          <w:sz w:val="32"/>
          <w:szCs w:val="32"/>
        </w:rPr>
        <w:t>论是否收取价款。关联方交易的类型通常包括下列各项：</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（1）购买或销售商品及其他资产。</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（2）提供或接受劳务。</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（3）担保。</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（4）提供或接受捐赠</w:t>
      </w:r>
      <w:r w:rsidR="001D6C91">
        <w:rPr>
          <w:rFonts w:ascii="仿宋_GB2312" w:eastAsia="仿宋_GB2312" w:hAnsi="仿宋" w:hint="eastAsia"/>
          <w:sz w:val="32"/>
          <w:szCs w:val="32"/>
        </w:rPr>
        <w:t>。</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（5）提供资金（贷款或股权投资等）。</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（6）租赁。</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（7）代理。</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（8）许可协议。</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（9）代表民间非营利组织或由民间非营利组织代表另一方进行债务结算</w:t>
      </w:r>
      <w:r w:rsidR="00CD420B">
        <w:rPr>
          <w:rFonts w:ascii="仿宋_GB2312" w:eastAsia="仿宋_GB2312" w:hAnsi="仿宋" w:hint="eastAsia"/>
          <w:sz w:val="32"/>
          <w:szCs w:val="32"/>
        </w:rPr>
        <w:t>。</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（10）关键管理人员薪酬。</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3.关联方披露。民间非营利组织与关联方发生关联方交易的，应当在附注中披露该关联方关系的性质、交易类型及交易要素。交易要素至少应当包括：</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（1）交易的金额。</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（2）未结算项目的金额、条款和条件，以及有关提供或取得担保的信息。</w:t>
      </w:r>
    </w:p>
    <w:p w:rsidR="008B035D"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（3）未结算应收项目的坏账准备金额</w:t>
      </w:r>
      <w:r w:rsidR="00D933CB">
        <w:rPr>
          <w:rFonts w:ascii="仿宋_GB2312" w:eastAsia="仿宋_GB2312" w:hAnsi="仿宋" w:hint="eastAsia"/>
          <w:sz w:val="32"/>
          <w:szCs w:val="32"/>
        </w:rPr>
        <w:t>。</w:t>
      </w:r>
    </w:p>
    <w:p w:rsidR="002C6901" w:rsidRPr="00DF5466" w:rsidRDefault="008B035D" w:rsidP="00F06CC5">
      <w:pPr>
        <w:snapToGrid w:val="0"/>
        <w:spacing w:line="580" w:lineRule="exact"/>
        <w:ind w:firstLineChars="200" w:firstLine="640"/>
        <w:rPr>
          <w:rFonts w:ascii="仿宋_GB2312" w:eastAsia="仿宋_GB2312" w:hAnsi="仿宋"/>
          <w:sz w:val="32"/>
          <w:szCs w:val="32"/>
        </w:rPr>
      </w:pPr>
      <w:r w:rsidRPr="00DF5466">
        <w:rPr>
          <w:rFonts w:ascii="仿宋_GB2312" w:eastAsia="仿宋_GB2312" w:hAnsi="仿宋" w:hint="eastAsia"/>
          <w:sz w:val="32"/>
          <w:szCs w:val="32"/>
        </w:rPr>
        <w:t>（4）定价政策。</w:t>
      </w:r>
    </w:p>
    <w:p w:rsidR="00292847" w:rsidRPr="00292847" w:rsidRDefault="0045748E" w:rsidP="00F06CC5">
      <w:pPr>
        <w:spacing w:line="580" w:lineRule="exact"/>
        <w:ind w:firstLineChars="200" w:firstLine="640"/>
        <w:rPr>
          <w:rFonts w:ascii="黑体" w:eastAsia="黑体" w:hAnsi="黑体"/>
          <w:sz w:val="32"/>
          <w:szCs w:val="32"/>
        </w:rPr>
      </w:pPr>
      <w:r w:rsidRPr="00292847">
        <w:rPr>
          <w:rFonts w:ascii="黑体" w:eastAsia="黑体" w:hAnsi="黑体" w:hint="eastAsia"/>
          <w:sz w:val="32"/>
          <w:szCs w:val="32"/>
        </w:rPr>
        <w:t>十五、</w:t>
      </w:r>
      <w:r w:rsidR="00292847" w:rsidRPr="00292847">
        <w:rPr>
          <w:rFonts w:ascii="黑体" w:eastAsia="黑体" w:hAnsi="黑体" w:hint="eastAsia"/>
          <w:sz w:val="32"/>
          <w:szCs w:val="32"/>
        </w:rPr>
        <w:t>生效日期和新旧衔接</w:t>
      </w:r>
    </w:p>
    <w:p w:rsidR="0045748E" w:rsidRPr="00DF5466" w:rsidRDefault="0045748E" w:rsidP="00F06CC5">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本解释</w:t>
      </w:r>
      <w:r w:rsidR="00AA3388">
        <w:rPr>
          <w:rFonts w:ascii="仿宋_GB2312" w:eastAsia="仿宋_GB2312" w:hAnsi="仿宋" w:hint="eastAsia"/>
          <w:sz w:val="32"/>
          <w:szCs w:val="32"/>
        </w:rPr>
        <w:t>自20XX年1月1日起施行。</w:t>
      </w:r>
    </w:p>
    <w:sectPr w:rsidR="0045748E" w:rsidRPr="00DF5466" w:rsidSect="002C6901">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EA0847" w15:done="0"/>
  <w15:commentEx w15:paraId="4FE24B77" w15:done="0"/>
  <w15:commentEx w15:paraId="1904689F" w15:done="0"/>
  <w15:commentEx w15:paraId="0FF7445A" w15:done="0"/>
  <w15:commentEx w15:paraId="142427E7" w15:done="0"/>
  <w15:commentEx w15:paraId="2EAD2E7F" w15:done="0"/>
  <w15:commentEx w15:paraId="3EEF3B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09D" w:rsidRDefault="00AB109D" w:rsidP="002C6901">
      <w:r>
        <w:separator/>
      </w:r>
    </w:p>
  </w:endnote>
  <w:endnote w:type="continuationSeparator" w:id="1">
    <w:p w:rsidR="00AB109D" w:rsidRDefault="00AB109D" w:rsidP="002C6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5709"/>
    </w:sdtPr>
    <w:sdtContent>
      <w:p w:rsidR="002C6901" w:rsidRDefault="00601AED">
        <w:pPr>
          <w:pStyle w:val="a6"/>
          <w:jc w:val="center"/>
        </w:pPr>
        <w:r w:rsidRPr="00601AED">
          <w:fldChar w:fldCharType="begin"/>
        </w:r>
        <w:r w:rsidR="003137EF">
          <w:instrText xml:space="preserve"> PAGE   \* MERGEFORMAT </w:instrText>
        </w:r>
        <w:r w:rsidRPr="00601AED">
          <w:fldChar w:fldCharType="separate"/>
        </w:r>
        <w:r w:rsidR="00F06CC5" w:rsidRPr="00F06CC5">
          <w:rPr>
            <w:noProof/>
            <w:lang w:val="zh-CN"/>
          </w:rPr>
          <w:t>11</w:t>
        </w:r>
        <w:r>
          <w:rPr>
            <w:lang w:val="zh-CN"/>
          </w:rPr>
          <w:fldChar w:fldCharType="end"/>
        </w:r>
      </w:p>
    </w:sdtContent>
  </w:sdt>
  <w:p w:rsidR="002C6901" w:rsidRDefault="002C69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09D" w:rsidRDefault="00AB109D" w:rsidP="002C6901">
      <w:r>
        <w:separator/>
      </w:r>
    </w:p>
  </w:footnote>
  <w:footnote w:type="continuationSeparator" w:id="1">
    <w:p w:rsidR="00AB109D" w:rsidRDefault="00AB109D" w:rsidP="002C690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172A27"/>
    <w:rsid w:val="00003A76"/>
    <w:rsid w:val="00004BF1"/>
    <w:rsid w:val="00006BEF"/>
    <w:rsid w:val="000100C7"/>
    <w:rsid w:val="0001377B"/>
    <w:rsid w:val="00015EA9"/>
    <w:rsid w:val="0002135A"/>
    <w:rsid w:val="000224B1"/>
    <w:rsid w:val="0002517D"/>
    <w:rsid w:val="00025642"/>
    <w:rsid w:val="000260E0"/>
    <w:rsid w:val="00032FD4"/>
    <w:rsid w:val="000331EC"/>
    <w:rsid w:val="00033C54"/>
    <w:rsid w:val="000349FD"/>
    <w:rsid w:val="00035F5C"/>
    <w:rsid w:val="00044039"/>
    <w:rsid w:val="00051DE5"/>
    <w:rsid w:val="000641AF"/>
    <w:rsid w:val="0006518F"/>
    <w:rsid w:val="00067075"/>
    <w:rsid w:val="00074579"/>
    <w:rsid w:val="00074600"/>
    <w:rsid w:val="00076E51"/>
    <w:rsid w:val="000807B9"/>
    <w:rsid w:val="00081F4D"/>
    <w:rsid w:val="00082C48"/>
    <w:rsid w:val="000834A1"/>
    <w:rsid w:val="0008395D"/>
    <w:rsid w:val="00084382"/>
    <w:rsid w:val="00084852"/>
    <w:rsid w:val="0009000A"/>
    <w:rsid w:val="00093686"/>
    <w:rsid w:val="000A03D1"/>
    <w:rsid w:val="000A30F6"/>
    <w:rsid w:val="000A4A35"/>
    <w:rsid w:val="000A50A4"/>
    <w:rsid w:val="000A56DC"/>
    <w:rsid w:val="000B1192"/>
    <w:rsid w:val="000B1A91"/>
    <w:rsid w:val="000B25C8"/>
    <w:rsid w:val="000B2622"/>
    <w:rsid w:val="000B3BDD"/>
    <w:rsid w:val="000C0261"/>
    <w:rsid w:val="000C1FA9"/>
    <w:rsid w:val="000C6D75"/>
    <w:rsid w:val="000D2CCB"/>
    <w:rsid w:val="000D51B8"/>
    <w:rsid w:val="000D7482"/>
    <w:rsid w:val="000D7C48"/>
    <w:rsid w:val="000E321C"/>
    <w:rsid w:val="000E326C"/>
    <w:rsid w:val="000E41ED"/>
    <w:rsid w:val="000E5889"/>
    <w:rsid w:val="000E5CC9"/>
    <w:rsid w:val="000F2EFF"/>
    <w:rsid w:val="000F5CD6"/>
    <w:rsid w:val="000F6B25"/>
    <w:rsid w:val="00105712"/>
    <w:rsid w:val="001120DD"/>
    <w:rsid w:val="00112CB9"/>
    <w:rsid w:val="00127ECE"/>
    <w:rsid w:val="00130AB0"/>
    <w:rsid w:val="00130C50"/>
    <w:rsid w:val="00133AB6"/>
    <w:rsid w:val="00133AF2"/>
    <w:rsid w:val="0013502F"/>
    <w:rsid w:val="00137224"/>
    <w:rsid w:val="00142E9C"/>
    <w:rsid w:val="001447DE"/>
    <w:rsid w:val="001463A6"/>
    <w:rsid w:val="00146A3C"/>
    <w:rsid w:val="001624AB"/>
    <w:rsid w:val="00163F3B"/>
    <w:rsid w:val="0016562D"/>
    <w:rsid w:val="001673A8"/>
    <w:rsid w:val="00172A27"/>
    <w:rsid w:val="001738BF"/>
    <w:rsid w:val="00173E50"/>
    <w:rsid w:val="00174CBD"/>
    <w:rsid w:val="001751B3"/>
    <w:rsid w:val="001804E8"/>
    <w:rsid w:val="00180ABA"/>
    <w:rsid w:val="0018168D"/>
    <w:rsid w:val="00182EDA"/>
    <w:rsid w:val="001832AE"/>
    <w:rsid w:val="00183943"/>
    <w:rsid w:val="00184725"/>
    <w:rsid w:val="00193DB3"/>
    <w:rsid w:val="0019577C"/>
    <w:rsid w:val="00195A1A"/>
    <w:rsid w:val="00196BA3"/>
    <w:rsid w:val="0019733C"/>
    <w:rsid w:val="001A1E94"/>
    <w:rsid w:val="001A3A00"/>
    <w:rsid w:val="001A6363"/>
    <w:rsid w:val="001A7D2A"/>
    <w:rsid w:val="001B2FD6"/>
    <w:rsid w:val="001B540D"/>
    <w:rsid w:val="001B71F0"/>
    <w:rsid w:val="001C50F3"/>
    <w:rsid w:val="001C7595"/>
    <w:rsid w:val="001D6C91"/>
    <w:rsid w:val="001D718C"/>
    <w:rsid w:val="001E053B"/>
    <w:rsid w:val="001E4B40"/>
    <w:rsid w:val="001E5D1D"/>
    <w:rsid w:val="001E6E13"/>
    <w:rsid w:val="001F60D2"/>
    <w:rsid w:val="00200B71"/>
    <w:rsid w:val="002011CB"/>
    <w:rsid w:val="002046EB"/>
    <w:rsid w:val="002058FF"/>
    <w:rsid w:val="00206CFF"/>
    <w:rsid w:val="00207154"/>
    <w:rsid w:val="002123F9"/>
    <w:rsid w:val="00214D1A"/>
    <w:rsid w:val="002202F0"/>
    <w:rsid w:val="00221819"/>
    <w:rsid w:val="00221FAE"/>
    <w:rsid w:val="00223381"/>
    <w:rsid w:val="00225BB2"/>
    <w:rsid w:val="00227845"/>
    <w:rsid w:val="00227863"/>
    <w:rsid w:val="00230A77"/>
    <w:rsid w:val="00233852"/>
    <w:rsid w:val="0023561C"/>
    <w:rsid w:val="002370A8"/>
    <w:rsid w:val="002403A3"/>
    <w:rsid w:val="002420CC"/>
    <w:rsid w:val="00242B2B"/>
    <w:rsid w:val="00243488"/>
    <w:rsid w:val="00246280"/>
    <w:rsid w:val="0025047A"/>
    <w:rsid w:val="002511F9"/>
    <w:rsid w:val="00251A02"/>
    <w:rsid w:val="00252AF3"/>
    <w:rsid w:val="00253221"/>
    <w:rsid w:val="00253780"/>
    <w:rsid w:val="00253F86"/>
    <w:rsid w:val="002567A3"/>
    <w:rsid w:val="00257675"/>
    <w:rsid w:val="002606A0"/>
    <w:rsid w:val="00270640"/>
    <w:rsid w:val="0027234C"/>
    <w:rsid w:val="0027657B"/>
    <w:rsid w:val="0028055A"/>
    <w:rsid w:val="00282C7E"/>
    <w:rsid w:val="00283334"/>
    <w:rsid w:val="00285874"/>
    <w:rsid w:val="002904D7"/>
    <w:rsid w:val="00291510"/>
    <w:rsid w:val="002917C7"/>
    <w:rsid w:val="00291CF7"/>
    <w:rsid w:val="00291DD5"/>
    <w:rsid w:val="00292847"/>
    <w:rsid w:val="00295DD5"/>
    <w:rsid w:val="00296FD0"/>
    <w:rsid w:val="002A04D2"/>
    <w:rsid w:val="002A64CE"/>
    <w:rsid w:val="002B0942"/>
    <w:rsid w:val="002B2F21"/>
    <w:rsid w:val="002B4E0B"/>
    <w:rsid w:val="002B51D7"/>
    <w:rsid w:val="002C1FE1"/>
    <w:rsid w:val="002C3626"/>
    <w:rsid w:val="002C3F30"/>
    <w:rsid w:val="002C42FA"/>
    <w:rsid w:val="002C534E"/>
    <w:rsid w:val="002C6901"/>
    <w:rsid w:val="002C70A9"/>
    <w:rsid w:val="002C7B63"/>
    <w:rsid w:val="002D0B86"/>
    <w:rsid w:val="002D1CD3"/>
    <w:rsid w:val="002D1DDE"/>
    <w:rsid w:val="002D328C"/>
    <w:rsid w:val="002D410D"/>
    <w:rsid w:val="002D4AD6"/>
    <w:rsid w:val="002E1110"/>
    <w:rsid w:val="002F16DB"/>
    <w:rsid w:val="002F2AE4"/>
    <w:rsid w:val="002F2B26"/>
    <w:rsid w:val="002F6898"/>
    <w:rsid w:val="00302F72"/>
    <w:rsid w:val="0030752E"/>
    <w:rsid w:val="00311C19"/>
    <w:rsid w:val="003137EF"/>
    <w:rsid w:val="00323657"/>
    <w:rsid w:val="00335120"/>
    <w:rsid w:val="00336DA5"/>
    <w:rsid w:val="00337AA4"/>
    <w:rsid w:val="003401FC"/>
    <w:rsid w:val="00345865"/>
    <w:rsid w:val="00347152"/>
    <w:rsid w:val="0034737E"/>
    <w:rsid w:val="003512E0"/>
    <w:rsid w:val="00352C60"/>
    <w:rsid w:val="00352DE0"/>
    <w:rsid w:val="00363F83"/>
    <w:rsid w:val="00364093"/>
    <w:rsid w:val="00366295"/>
    <w:rsid w:val="00372B95"/>
    <w:rsid w:val="00373D53"/>
    <w:rsid w:val="0037591A"/>
    <w:rsid w:val="00377886"/>
    <w:rsid w:val="00377A77"/>
    <w:rsid w:val="00381048"/>
    <w:rsid w:val="00383A96"/>
    <w:rsid w:val="00386691"/>
    <w:rsid w:val="0039008B"/>
    <w:rsid w:val="00390E8B"/>
    <w:rsid w:val="00391BEF"/>
    <w:rsid w:val="003950A6"/>
    <w:rsid w:val="00395592"/>
    <w:rsid w:val="0039561C"/>
    <w:rsid w:val="003A014B"/>
    <w:rsid w:val="003A1CF9"/>
    <w:rsid w:val="003B0CB6"/>
    <w:rsid w:val="003B0DE6"/>
    <w:rsid w:val="003B610F"/>
    <w:rsid w:val="003C24B5"/>
    <w:rsid w:val="003D0F56"/>
    <w:rsid w:val="003D1479"/>
    <w:rsid w:val="003D16D4"/>
    <w:rsid w:val="003D1A6D"/>
    <w:rsid w:val="003D394E"/>
    <w:rsid w:val="003E6F9D"/>
    <w:rsid w:val="003F1040"/>
    <w:rsid w:val="00400E14"/>
    <w:rsid w:val="004012DC"/>
    <w:rsid w:val="00402E5D"/>
    <w:rsid w:val="00403671"/>
    <w:rsid w:val="00405487"/>
    <w:rsid w:val="00411DE7"/>
    <w:rsid w:val="00413B02"/>
    <w:rsid w:val="00416113"/>
    <w:rsid w:val="00420147"/>
    <w:rsid w:val="00422EB6"/>
    <w:rsid w:val="00423B6F"/>
    <w:rsid w:val="00423E1E"/>
    <w:rsid w:val="0042544D"/>
    <w:rsid w:val="0042596D"/>
    <w:rsid w:val="004321E4"/>
    <w:rsid w:val="00433093"/>
    <w:rsid w:val="004348E7"/>
    <w:rsid w:val="00436BD0"/>
    <w:rsid w:val="004374C8"/>
    <w:rsid w:val="004415E2"/>
    <w:rsid w:val="00446086"/>
    <w:rsid w:val="0044698B"/>
    <w:rsid w:val="00451092"/>
    <w:rsid w:val="004517F1"/>
    <w:rsid w:val="0045724E"/>
    <w:rsid w:val="0045748E"/>
    <w:rsid w:val="00462B60"/>
    <w:rsid w:val="004641EF"/>
    <w:rsid w:val="004670CA"/>
    <w:rsid w:val="00471CDB"/>
    <w:rsid w:val="00472602"/>
    <w:rsid w:val="0047335F"/>
    <w:rsid w:val="00476165"/>
    <w:rsid w:val="00493166"/>
    <w:rsid w:val="004935C3"/>
    <w:rsid w:val="004935DD"/>
    <w:rsid w:val="004937EF"/>
    <w:rsid w:val="00494E6F"/>
    <w:rsid w:val="00495D48"/>
    <w:rsid w:val="00495DE3"/>
    <w:rsid w:val="00496BC0"/>
    <w:rsid w:val="00497B97"/>
    <w:rsid w:val="004A15F3"/>
    <w:rsid w:val="004A63CC"/>
    <w:rsid w:val="004B0B78"/>
    <w:rsid w:val="004B27BA"/>
    <w:rsid w:val="004B2CFD"/>
    <w:rsid w:val="004B2D6E"/>
    <w:rsid w:val="004B444A"/>
    <w:rsid w:val="004B6EE0"/>
    <w:rsid w:val="004C14B0"/>
    <w:rsid w:val="004C2D63"/>
    <w:rsid w:val="004C601F"/>
    <w:rsid w:val="004C687C"/>
    <w:rsid w:val="004D2D1C"/>
    <w:rsid w:val="004D44C2"/>
    <w:rsid w:val="004D7615"/>
    <w:rsid w:val="004D7654"/>
    <w:rsid w:val="004E1A9D"/>
    <w:rsid w:val="004E2E8A"/>
    <w:rsid w:val="004E2FF7"/>
    <w:rsid w:val="004E5EB8"/>
    <w:rsid w:val="004F489C"/>
    <w:rsid w:val="004F5DB1"/>
    <w:rsid w:val="00502E0D"/>
    <w:rsid w:val="00503726"/>
    <w:rsid w:val="00503987"/>
    <w:rsid w:val="00505DE2"/>
    <w:rsid w:val="00506937"/>
    <w:rsid w:val="005112F1"/>
    <w:rsid w:val="00512C29"/>
    <w:rsid w:val="00513316"/>
    <w:rsid w:val="00513C6E"/>
    <w:rsid w:val="0051492C"/>
    <w:rsid w:val="00523EEF"/>
    <w:rsid w:val="00534CB5"/>
    <w:rsid w:val="00536DE7"/>
    <w:rsid w:val="00544CE2"/>
    <w:rsid w:val="00545612"/>
    <w:rsid w:val="00545A2D"/>
    <w:rsid w:val="00547645"/>
    <w:rsid w:val="00551A82"/>
    <w:rsid w:val="00555ECA"/>
    <w:rsid w:val="005712BD"/>
    <w:rsid w:val="00571DC8"/>
    <w:rsid w:val="005730D6"/>
    <w:rsid w:val="005815FB"/>
    <w:rsid w:val="00587F07"/>
    <w:rsid w:val="00594292"/>
    <w:rsid w:val="0059779B"/>
    <w:rsid w:val="005A0858"/>
    <w:rsid w:val="005A17B2"/>
    <w:rsid w:val="005A25F0"/>
    <w:rsid w:val="005A6CDF"/>
    <w:rsid w:val="005A7B13"/>
    <w:rsid w:val="005B5924"/>
    <w:rsid w:val="005B59F2"/>
    <w:rsid w:val="005B63DF"/>
    <w:rsid w:val="005C2FAB"/>
    <w:rsid w:val="005C4755"/>
    <w:rsid w:val="005C573E"/>
    <w:rsid w:val="005D00FF"/>
    <w:rsid w:val="005D6BA8"/>
    <w:rsid w:val="005D7242"/>
    <w:rsid w:val="005E0566"/>
    <w:rsid w:val="005E304E"/>
    <w:rsid w:val="005E4A40"/>
    <w:rsid w:val="005E5353"/>
    <w:rsid w:val="005F164F"/>
    <w:rsid w:val="005F2103"/>
    <w:rsid w:val="005F2B26"/>
    <w:rsid w:val="005F41BA"/>
    <w:rsid w:val="005F719F"/>
    <w:rsid w:val="00601AED"/>
    <w:rsid w:val="006040F8"/>
    <w:rsid w:val="00615228"/>
    <w:rsid w:val="00621DEB"/>
    <w:rsid w:val="006240FA"/>
    <w:rsid w:val="0062410C"/>
    <w:rsid w:val="00627938"/>
    <w:rsid w:val="00630A5F"/>
    <w:rsid w:val="006330FC"/>
    <w:rsid w:val="006353A0"/>
    <w:rsid w:val="00637EF8"/>
    <w:rsid w:val="00650B22"/>
    <w:rsid w:val="00655EFB"/>
    <w:rsid w:val="00656477"/>
    <w:rsid w:val="00664425"/>
    <w:rsid w:val="006656FF"/>
    <w:rsid w:val="0067146C"/>
    <w:rsid w:val="0067767F"/>
    <w:rsid w:val="006808EA"/>
    <w:rsid w:val="006818EC"/>
    <w:rsid w:val="006848E3"/>
    <w:rsid w:val="006905A5"/>
    <w:rsid w:val="006921B0"/>
    <w:rsid w:val="006922B3"/>
    <w:rsid w:val="006923F0"/>
    <w:rsid w:val="00692C72"/>
    <w:rsid w:val="0069509F"/>
    <w:rsid w:val="006A06A4"/>
    <w:rsid w:val="006A1FBA"/>
    <w:rsid w:val="006A2B45"/>
    <w:rsid w:val="006A3098"/>
    <w:rsid w:val="006A4AE8"/>
    <w:rsid w:val="006A5945"/>
    <w:rsid w:val="006A74AA"/>
    <w:rsid w:val="006B2622"/>
    <w:rsid w:val="006B2C0E"/>
    <w:rsid w:val="006B4CAB"/>
    <w:rsid w:val="006B4E32"/>
    <w:rsid w:val="006B4ECD"/>
    <w:rsid w:val="006B6912"/>
    <w:rsid w:val="006D1B7A"/>
    <w:rsid w:val="006D1C0E"/>
    <w:rsid w:val="006D2DF9"/>
    <w:rsid w:val="006D3FEB"/>
    <w:rsid w:val="006D7A40"/>
    <w:rsid w:val="006E35DB"/>
    <w:rsid w:val="006E483B"/>
    <w:rsid w:val="006F0495"/>
    <w:rsid w:val="006F1E9B"/>
    <w:rsid w:val="006F64D6"/>
    <w:rsid w:val="006F76AC"/>
    <w:rsid w:val="006F77F3"/>
    <w:rsid w:val="00704720"/>
    <w:rsid w:val="007061CA"/>
    <w:rsid w:val="00707285"/>
    <w:rsid w:val="00710926"/>
    <w:rsid w:val="00712F64"/>
    <w:rsid w:val="007151A6"/>
    <w:rsid w:val="0072121B"/>
    <w:rsid w:val="0072540D"/>
    <w:rsid w:val="007306D0"/>
    <w:rsid w:val="007309F7"/>
    <w:rsid w:val="00732381"/>
    <w:rsid w:val="00735805"/>
    <w:rsid w:val="00736A96"/>
    <w:rsid w:val="00740A5D"/>
    <w:rsid w:val="007412C0"/>
    <w:rsid w:val="007439BE"/>
    <w:rsid w:val="00744998"/>
    <w:rsid w:val="007458A9"/>
    <w:rsid w:val="0075219B"/>
    <w:rsid w:val="007532F5"/>
    <w:rsid w:val="007546D4"/>
    <w:rsid w:val="007573D0"/>
    <w:rsid w:val="007608A9"/>
    <w:rsid w:val="00767469"/>
    <w:rsid w:val="0077120D"/>
    <w:rsid w:val="00773833"/>
    <w:rsid w:val="00774783"/>
    <w:rsid w:val="00774AF6"/>
    <w:rsid w:val="007764A2"/>
    <w:rsid w:val="0077740B"/>
    <w:rsid w:val="00784F7E"/>
    <w:rsid w:val="00785092"/>
    <w:rsid w:val="007852CB"/>
    <w:rsid w:val="0078533A"/>
    <w:rsid w:val="00786147"/>
    <w:rsid w:val="0079127C"/>
    <w:rsid w:val="0079258E"/>
    <w:rsid w:val="0079385C"/>
    <w:rsid w:val="00793950"/>
    <w:rsid w:val="00795401"/>
    <w:rsid w:val="007A2D0B"/>
    <w:rsid w:val="007A4109"/>
    <w:rsid w:val="007A6347"/>
    <w:rsid w:val="007B2F68"/>
    <w:rsid w:val="007B3679"/>
    <w:rsid w:val="007B3E4D"/>
    <w:rsid w:val="007B4C56"/>
    <w:rsid w:val="007B52B1"/>
    <w:rsid w:val="007B5443"/>
    <w:rsid w:val="007B5921"/>
    <w:rsid w:val="007C14BE"/>
    <w:rsid w:val="007C16AA"/>
    <w:rsid w:val="007C225A"/>
    <w:rsid w:val="007C2C48"/>
    <w:rsid w:val="007D16D0"/>
    <w:rsid w:val="007D4A0B"/>
    <w:rsid w:val="007D7C52"/>
    <w:rsid w:val="007E07CB"/>
    <w:rsid w:val="007E4697"/>
    <w:rsid w:val="007E5CD7"/>
    <w:rsid w:val="008005FB"/>
    <w:rsid w:val="00801E8E"/>
    <w:rsid w:val="008038C8"/>
    <w:rsid w:val="008049C9"/>
    <w:rsid w:val="00807ED7"/>
    <w:rsid w:val="0081184E"/>
    <w:rsid w:val="00813A0E"/>
    <w:rsid w:val="0081402E"/>
    <w:rsid w:val="0081492A"/>
    <w:rsid w:val="0082167E"/>
    <w:rsid w:val="00826A5B"/>
    <w:rsid w:val="00830441"/>
    <w:rsid w:val="00830702"/>
    <w:rsid w:val="008403DB"/>
    <w:rsid w:val="00841048"/>
    <w:rsid w:val="008439F5"/>
    <w:rsid w:val="00844EC3"/>
    <w:rsid w:val="008451B1"/>
    <w:rsid w:val="00851983"/>
    <w:rsid w:val="00851B9E"/>
    <w:rsid w:val="00851C2F"/>
    <w:rsid w:val="00854540"/>
    <w:rsid w:val="0085582D"/>
    <w:rsid w:val="008603A7"/>
    <w:rsid w:val="00861EBF"/>
    <w:rsid w:val="008627F4"/>
    <w:rsid w:val="0086559C"/>
    <w:rsid w:val="00866051"/>
    <w:rsid w:val="0087090B"/>
    <w:rsid w:val="008774BF"/>
    <w:rsid w:val="00877C7B"/>
    <w:rsid w:val="0089205A"/>
    <w:rsid w:val="00894F22"/>
    <w:rsid w:val="008A4907"/>
    <w:rsid w:val="008A6265"/>
    <w:rsid w:val="008A6A17"/>
    <w:rsid w:val="008B035D"/>
    <w:rsid w:val="008B0947"/>
    <w:rsid w:val="008C33B4"/>
    <w:rsid w:val="008D0B32"/>
    <w:rsid w:val="008D1B21"/>
    <w:rsid w:val="008D2F9B"/>
    <w:rsid w:val="008D6769"/>
    <w:rsid w:val="008D69BE"/>
    <w:rsid w:val="008E0A01"/>
    <w:rsid w:val="008E1D05"/>
    <w:rsid w:val="008E4397"/>
    <w:rsid w:val="008E689E"/>
    <w:rsid w:val="008F008F"/>
    <w:rsid w:val="008F2E00"/>
    <w:rsid w:val="008F5542"/>
    <w:rsid w:val="00904DF8"/>
    <w:rsid w:val="0090500C"/>
    <w:rsid w:val="00907651"/>
    <w:rsid w:val="00907BCE"/>
    <w:rsid w:val="00911753"/>
    <w:rsid w:val="00911F43"/>
    <w:rsid w:val="00913971"/>
    <w:rsid w:val="00916D8A"/>
    <w:rsid w:val="00917D9F"/>
    <w:rsid w:val="00920C03"/>
    <w:rsid w:val="009255FE"/>
    <w:rsid w:val="00925E66"/>
    <w:rsid w:val="00936234"/>
    <w:rsid w:val="00936DB1"/>
    <w:rsid w:val="00946B1A"/>
    <w:rsid w:val="00950781"/>
    <w:rsid w:val="00953465"/>
    <w:rsid w:val="009538C3"/>
    <w:rsid w:val="009549A4"/>
    <w:rsid w:val="009557C6"/>
    <w:rsid w:val="00957835"/>
    <w:rsid w:val="0096159B"/>
    <w:rsid w:val="009615CF"/>
    <w:rsid w:val="00964621"/>
    <w:rsid w:val="00965CAF"/>
    <w:rsid w:val="00967CEF"/>
    <w:rsid w:val="0097159D"/>
    <w:rsid w:val="00973661"/>
    <w:rsid w:val="00975824"/>
    <w:rsid w:val="00980059"/>
    <w:rsid w:val="009825D2"/>
    <w:rsid w:val="0098417F"/>
    <w:rsid w:val="00984DEA"/>
    <w:rsid w:val="0098687F"/>
    <w:rsid w:val="009906C8"/>
    <w:rsid w:val="009927FF"/>
    <w:rsid w:val="00997D51"/>
    <w:rsid w:val="009A0B69"/>
    <w:rsid w:val="009A4BCD"/>
    <w:rsid w:val="009A54E7"/>
    <w:rsid w:val="009A7B56"/>
    <w:rsid w:val="009A7ECD"/>
    <w:rsid w:val="009A7FEA"/>
    <w:rsid w:val="009B0C28"/>
    <w:rsid w:val="009B244D"/>
    <w:rsid w:val="009B2C67"/>
    <w:rsid w:val="009B2E30"/>
    <w:rsid w:val="009B32AB"/>
    <w:rsid w:val="009B5CA5"/>
    <w:rsid w:val="009B64EA"/>
    <w:rsid w:val="009B7E28"/>
    <w:rsid w:val="009C12D2"/>
    <w:rsid w:val="009C75FB"/>
    <w:rsid w:val="009D18AC"/>
    <w:rsid w:val="009D3145"/>
    <w:rsid w:val="009D7153"/>
    <w:rsid w:val="009E3C94"/>
    <w:rsid w:val="009E4617"/>
    <w:rsid w:val="009F0347"/>
    <w:rsid w:val="009F0A51"/>
    <w:rsid w:val="009F0D1D"/>
    <w:rsid w:val="009F17B8"/>
    <w:rsid w:val="009F457D"/>
    <w:rsid w:val="00A0425B"/>
    <w:rsid w:val="00A04D8B"/>
    <w:rsid w:val="00A13D50"/>
    <w:rsid w:val="00A14783"/>
    <w:rsid w:val="00A14B11"/>
    <w:rsid w:val="00A14EFA"/>
    <w:rsid w:val="00A178EA"/>
    <w:rsid w:val="00A17F86"/>
    <w:rsid w:val="00A20F93"/>
    <w:rsid w:val="00A21823"/>
    <w:rsid w:val="00A21DAA"/>
    <w:rsid w:val="00A233D3"/>
    <w:rsid w:val="00A270ED"/>
    <w:rsid w:val="00A27829"/>
    <w:rsid w:val="00A31439"/>
    <w:rsid w:val="00A323F4"/>
    <w:rsid w:val="00A32B3C"/>
    <w:rsid w:val="00A338B3"/>
    <w:rsid w:val="00A343AE"/>
    <w:rsid w:val="00A35235"/>
    <w:rsid w:val="00A3568F"/>
    <w:rsid w:val="00A36E66"/>
    <w:rsid w:val="00A40387"/>
    <w:rsid w:val="00A4161C"/>
    <w:rsid w:val="00A43F74"/>
    <w:rsid w:val="00A441C7"/>
    <w:rsid w:val="00A46B84"/>
    <w:rsid w:val="00A51857"/>
    <w:rsid w:val="00A526F8"/>
    <w:rsid w:val="00A536B1"/>
    <w:rsid w:val="00A53BF7"/>
    <w:rsid w:val="00A5669E"/>
    <w:rsid w:val="00A61848"/>
    <w:rsid w:val="00A63259"/>
    <w:rsid w:val="00A668A8"/>
    <w:rsid w:val="00A71901"/>
    <w:rsid w:val="00A71D1B"/>
    <w:rsid w:val="00A73390"/>
    <w:rsid w:val="00A80D9E"/>
    <w:rsid w:val="00A82B77"/>
    <w:rsid w:val="00A84D36"/>
    <w:rsid w:val="00A858FD"/>
    <w:rsid w:val="00A85D3F"/>
    <w:rsid w:val="00A8721E"/>
    <w:rsid w:val="00A875BE"/>
    <w:rsid w:val="00A92208"/>
    <w:rsid w:val="00A93A40"/>
    <w:rsid w:val="00A95B2C"/>
    <w:rsid w:val="00AA1B89"/>
    <w:rsid w:val="00AA3388"/>
    <w:rsid w:val="00AA5174"/>
    <w:rsid w:val="00AA708A"/>
    <w:rsid w:val="00AB109D"/>
    <w:rsid w:val="00AB5B05"/>
    <w:rsid w:val="00AD1FE0"/>
    <w:rsid w:val="00AD28F2"/>
    <w:rsid w:val="00AD2CE1"/>
    <w:rsid w:val="00AD627D"/>
    <w:rsid w:val="00AE2FEE"/>
    <w:rsid w:val="00AE37EA"/>
    <w:rsid w:val="00AE5D7D"/>
    <w:rsid w:val="00AF6F91"/>
    <w:rsid w:val="00B15BB4"/>
    <w:rsid w:val="00B15C3D"/>
    <w:rsid w:val="00B3254A"/>
    <w:rsid w:val="00B3307D"/>
    <w:rsid w:val="00B3469C"/>
    <w:rsid w:val="00B40047"/>
    <w:rsid w:val="00B422ED"/>
    <w:rsid w:val="00B4541C"/>
    <w:rsid w:val="00B5378A"/>
    <w:rsid w:val="00B53C7D"/>
    <w:rsid w:val="00B54503"/>
    <w:rsid w:val="00B56F17"/>
    <w:rsid w:val="00B57DB3"/>
    <w:rsid w:val="00B61BA1"/>
    <w:rsid w:val="00B63F02"/>
    <w:rsid w:val="00B64367"/>
    <w:rsid w:val="00B64B20"/>
    <w:rsid w:val="00B64EE6"/>
    <w:rsid w:val="00B706A9"/>
    <w:rsid w:val="00B72CF6"/>
    <w:rsid w:val="00B762CD"/>
    <w:rsid w:val="00B822FE"/>
    <w:rsid w:val="00B864DC"/>
    <w:rsid w:val="00B878BC"/>
    <w:rsid w:val="00B9059C"/>
    <w:rsid w:val="00B9446E"/>
    <w:rsid w:val="00B96033"/>
    <w:rsid w:val="00B9712B"/>
    <w:rsid w:val="00B97FD5"/>
    <w:rsid w:val="00BA3DA8"/>
    <w:rsid w:val="00BA4A0C"/>
    <w:rsid w:val="00BA518C"/>
    <w:rsid w:val="00BA73F2"/>
    <w:rsid w:val="00BB1463"/>
    <w:rsid w:val="00BB400E"/>
    <w:rsid w:val="00BB41F0"/>
    <w:rsid w:val="00BB523F"/>
    <w:rsid w:val="00BB56E0"/>
    <w:rsid w:val="00BB5FFC"/>
    <w:rsid w:val="00BC1CC8"/>
    <w:rsid w:val="00BC4CB9"/>
    <w:rsid w:val="00BC4F1E"/>
    <w:rsid w:val="00BC6566"/>
    <w:rsid w:val="00BD22B3"/>
    <w:rsid w:val="00BE3346"/>
    <w:rsid w:val="00BE3ADF"/>
    <w:rsid w:val="00BE3C25"/>
    <w:rsid w:val="00BE4D62"/>
    <w:rsid w:val="00BE6C5A"/>
    <w:rsid w:val="00BF7368"/>
    <w:rsid w:val="00C024B0"/>
    <w:rsid w:val="00C02A66"/>
    <w:rsid w:val="00C06AAC"/>
    <w:rsid w:val="00C06CB0"/>
    <w:rsid w:val="00C13BE6"/>
    <w:rsid w:val="00C1446C"/>
    <w:rsid w:val="00C16AD6"/>
    <w:rsid w:val="00C17AB8"/>
    <w:rsid w:val="00C27337"/>
    <w:rsid w:val="00C2740D"/>
    <w:rsid w:val="00C3233C"/>
    <w:rsid w:val="00C32C78"/>
    <w:rsid w:val="00C358E5"/>
    <w:rsid w:val="00C36075"/>
    <w:rsid w:val="00C54724"/>
    <w:rsid w:val="00C54990"/>
    <w:rsid w:val="00C56AD6"/>
    <w:rsid w:val="00C56B39"/>
    <w:rsid w:val="00C56E81"/>
    <w:rsid w:val="00C57D5D"/>
    <w:rsid w:val="00C60568"/>
    <w:rsid w:val="00C61C56"/>
    <w:rsid w:val="00C64332"/>
    <w:rsid w:val="00C70531"/>
    <w:rsid w:val="00C72BE7"/>
    <w:rsid w:val="00C7318C"/>
    <w:rsid w:val="00C83B71"/>
    <w:rsid w:val="00C865BD"/>
    <w:rsid w:val="00C86664"/>
    <w:rsid w:val="00C86D93"/>
    <w:rsid w:val="00C95543"/>
    <w:rsid w:val="00C958EC"/>
    <w:rsid w:val="00C95AF2"/>
    <w:rsid w:val="00C9734B"/>
    <w:rsid w:val="00CA022C"/>
    <w:rsid w:val="00CA0B02"/>
    <w:rsid w:val="00CA47E8"/>
    <w:rsid w:val="00CB20DF"/>
    <w:rsid w:val="00CB345C"/>
    <w:rsid w:val="00CB3746"/>
    <w:rsid w:val="00CB6F53"/>
    <w:rsid w:val="00CC09B2"/>
    <w:rsid w:val="00CC57E6"/>
    <w:rsid w:val="00CC68B1"/>
    <w:rsid w:val="00CD0612"/>
    <w:rsid w:val="00CD2FB3"/>
    <w:rsid w:val="00CD420B"/>
    <w:rsid w:val="00CD46BB"/>
    <w:rsid w:val="00CD5030"/>
    <w:rsid w:val="00CD6EB7"/>
    <w:rsid w:val="00CE1DA9"/>
    <w:rsid w:val="00CE4A7C"/>
    <w:rsid w:val="00CF3142"/>
    <w:rsid w:val="00CF458A"/>
    <w:rsid w:val="00CF4D68"/>
    <w:rsid w:val="00D02BAD"/>
    <w:rsid w:val="00D05014"/>
    <w:rsid w:val="00D051B3"/>
    <w:rsid w:val="00D06060"/>
    <w:rsid w:val="00D10D4C"/>
    <w:rsid w:val="00D1224A"/>
    <w:rsid w:val="00D12F47"/>
    <w:rsid w:val="00D14700"/>
    <w:rsid w:val="00D17793"/>
    <w:rsid w:val="00D17AD4"/>
    <w:rsid w:val="00D17AFB"/>
    <w:rsid w:val="00D20096"/>
    <w:rsid w:val="00D20703"/>
    <w:rsid w:val="00D227E8"/>
    <w:rsid w:val="00D23533"/>
    <w:rsid w:val="00D27D8F"/>
    <w:rsid w:val="00D41A8C"/>
    <w:rsid w:val="00D439F0"/>
    <w:rsid w:val="00D472EC"/>
    <w:rsid w:val="00D50BF5"/>
    <w:rsid w:val="00D546DB"/>
    <w:rsid w:val="00D60C82"/>
    <w:rsid w:val="00D6227C"/>
    <w:rsid w:val="00D65465"/>
    <w:rsid w:val="00D66275"/>
    <w:rsid w:val="00D815B4"/>
    <w:rsid w:val="00D81713"/>
    <w:rsid w:val="00D821F4"/>
    <w:rsid w:val="00D85137"/>
    <w:rsid w:val="00D879DF"/>
    <w:rsid w:val="00D916AF"/>
    <w:rsid w:val="00D933CB"/>
    <w:rsid w:val="00D94F67"/>
    <w:rsid w:val="00D95602"/>
    <w:rsid w:val="00D9686F"/>
    <w:rsid w:val="00D96CBA"/>
    <w:rsid w:val="00D97CD7"/>
    <w:rsid w:val="00DA254E"/>
    <w:rsid w:val="00DA26A7"/>
    <w:rsid w:val="00DA3B2E"/>
    <w:rsid w:val="00DA43D0"/>
    <w:rsid w:val="00DA55CD"/>
    <w:rsid w:val="00DA56A1"/>
    <w:rsid w:val="00DA59FB"/>
    <w:rsid w:val="00DA5BDE"/>
    <w:rsid w:val="00DA5D29"/>
    <w:rsid w:val="00DB1270"/>
    <w:rsid w:val="00DB12D1"/>
    <w:rsid w:val="00DB3C32"/>
    <w:rsid w:val="00DB401C"/>
    <w:rsid w:val="00DB4FEA"/>
    <w:rsid w:val="00DB6C58"/>
    <w:rsid w:val="00DB77DE"/>
    <w:rsid w:val="00DC0419"/>
    <w:rsid w:val="00DC29B7"/>
    <w:rsid w:val="00DC31D6"/>
    <w:rsid w:val="00DC3C8F"/>
    <w:rsid w:val="00DC3E47"/>
    <w:rsid w:val="00DC7475"/>
    <w:rsid w:val="00DD0C34"/>
    <w:rsid w:val="00DD30D4"/>
    <w:rsid w:val="00DD332E"/>
    <w:rsid w:val="00DD4917"/>
    <w:rsid w:val="00DE45A0"/>
    <w:rsid w:val="00DF384A"/>
    <w:rsid w:val="00DF5466"/>
    <w:rsid w:val="00DF5B55"/>
    <w:rsid w:val="00DF6EFE"/>
    <w:rsid w:val="00E009A9"/>
    <w:rsid w:val="00E03EDC"/>
    <w:rsid w:val="00E10A7E"/>
    <w:rsid w:val="00E10E13"/>
    <w:rsid w:val="00E11F03"/>
    <w:rsid w:val="00E12992"/>
    <w:rsid w:val="00E153F0"/>
    <w:rsid w:val="00E16CB1"/>
    <w:rsid w:val="00E20AA4"/>
    <w:rsid w:val="00E21225"/>
    <w:rsid w:val="00E260F2"/>
    <w:rsid w:val="00E27BD8"/>
    <w:rsid w:val="00E31694"/>
    <w:rsid w:val="00E40DB3"/>
    <w:rsid w:val="00E4389B"/>
    <w:rsid w:val="00E44689"/>
    <w:rsid w:val="00E47FA1"/>
    <w:rsid w:val="00E51800"/>
    <w:rsid w:val="00E52623"/>
    <w:rsid w:val="00E5682A"/>
    <w:rsid w:val="00E61C1D"/>
    <w:rsid w:val="00E6424B"/>
    <w:rsid w:val="00E643A5"/>
    <w:rsid w:val="00E6552E"/>
    <w:rsid w:val="00E67801"/>
    <w:rsid w:val="00E77804"/>
    <w:rsid w:val="00E84837"/>
    <w:rsid w:val="00E8663D"/>
    <w:rsid w:val="00E9001C"/>
    <w:rsid w:val="00E96FB7"/>
    <w:rsid w:val="00EA44FB"/>
    <w:rsid w:val="00EA731A"/>
    <w:rsid w:val="00EA76C6"/>
    <w:rsid w:val="00EB03AF"/>
    <w:rsid w:val="00EB137F"/>
    <w:rsid w:val="00EB3E5D"/>
    <w:rsid w:val="00EC18FE"/>
    <w:rsid w:val="00EC3B5F"/>
    <w:rsid w:val="00EC4D60"/>
    <w:rsid w:val="00EC5F69"/>
    <w:rsid w:val="00ED31D2"/>
    <w:rsid w:val="00ED672F"/>
    <w:rsid w:val="00EE1206"/>
    <w:rsid w:val="00EE6112"/>
    <w:rsid w:val="00EE75F0"/>
    <w:rsid w:val="00EF0292"/>
    <w:rsid w:val="00EF120C"/>
    <w:rsid w:val="00EF2589"/>
    <w:rsid w:val="00F011FF"/>
    <w:rsid w:val="00F022CB"/>
    <w:rsid w:val="00F02946"/>
    <w:rsid w:val="00F0608D"/>
    <w:rsid w:val="00F063CF"/>
    <w:rsid w:val="00F06CC5"/>
    <w:rsid w:val="00F10643"/>
    <w:rsid w:val="00F10BAE"/>
    <w:rsid w:val="00F26D8C"/>
    <w:rsid w:val="00F3413B"/>
    <w:rsid w:val="00F342B5"/>
    <w:rsid w:val="00F34378"/>
    <w:rsid w:val="00F3444D"/>
    <w:rsid w:val="00F35863"/>
    <w:rsid w:val="00F3590B"/>
    <w:rsid w:val="00F42979"/>
    <w:rsid w:val="00F46E61"/>
    <w:rsid w:val="00F50B35"/>
    <w:rsid w:val="00F51E26"/>
    <w:rsid w:val="00F629F1"/>
    <w:rsid w:val="00F64209"/>
    <w:rsid w:val="00F70DA8"/>
    <w:rsid w:val="00F71404"/>
    <w:rsid w:val="00F72202"/>
    <w:rsid w:val="00F777CF"/>
    <w:rsid w:val="00F77854"/>
    <w:rsid w:val="00F83A81"/>
    <w:rsid w:val="00F8681B"/>
    <w:rsid w:val="00F871FE"/>
    <w:rsid w:val="00F91D5B"/>
    <w:rsid w:val="00F92806"/>
    <w:rsid w:val="00F94729"/>
    <w:rsid w:val="00F95432"/>
    <w:rsid w:val="00FA015A"/>
    <w:rsid w:val="00FA0844"/>
    <w:rsid w:val="00FB0307"/>
    <w:rsid w:val="00FB0DA9"/>
    <w:rsid w:val="00FB0EEE"/>
    <w:rsid w:val="00FB1FC3"/>
    <w:rsid w:val="00FB2B93"/>
    <w:rsid w:val="00FB318B"/>
    <w:rsid w:val="00FB3DA5"/>
    <w:rsid w:val="00FB4A02"/>
    <w:rsid w:val="00FB4C15"/>
    <w:rsid w:val="00FC45A3"/>
    <w:rsid w:val="00FC6A62"/>
    <w:rsid w:val="00FC70A2"/>
    <w:rsid w:val="00FD15AF"/>
    <w:rsid w:val="00FD2B29"/>
    <w:rsid w:val="00FD4B55"/>
    <w:rsid w:val="00FD4EEC"/>
    <w:rsid w:val="00FD7237"/>
    <w:rsid w:val="00FD7868"/>
    <w:rsid w:val="00FE2A97"/>
    <w:rsid w:val="00FE3AB8"/>
    <w:rsid w:val="00FF14FC"/>
    <w:rsid w:val="00FF2FBA"/>
    <w:rsid w:val="03C84257"/>
    <w:rsid w:val="03DA76CE"/>
    <w:rsid w:val="05FA47ED"/>
    <w:rsid w:val="06651443"/>
    <w:rsid w:val="07D715C2"/>
    <w:rsid w:val="09526736"/>
    <w:rsid w:val="09CF545F"/>
    <w:rsid w:val="0A1F18B4"/>
    <w:rsid w:val="0E6F56F9"/>
    <w:rsid w:val="29FE4F05"/>
    <w:rsid w:val="2B681A13"/>
    <w:rsid w:val="32D5520B"/>
    <w:rsid w:val="36162E71"/>
    <w:rsid w:val="3F567108"/>
    <w:rsid w:val="42A41895"/>
    <w:rsid w:val="4FEB23D1"/>
    <w:rsid w:val="528100CF"/>
    <w:rsid w:val="53491362"/>
    <w:rsid w:val="5ABC14F5"/>
    <w:rsid w:val="5E8A59C0"/>
    <w:rsid w:val="613867B9"/>
    <w:rsid w:val="627B1E04"/>
    <w:rsid w:val="638C12F1"/>
    <w:rsid w:val="64A31E72"/>
    <w:rsid w:val="650E21C4"/>
    <w:rsid w:val="6BD809EF"/>
    <w:rsid w:val="6C4E3F5F"/>
    <w:rsid w:val="6ECA2EC4"/>
    <w:rsid w:val="700F5216"/>
    <w:rsid w:val="74CA37D9"/>
    <w:rsid w:val="782B0714"/>
    <w:rsid w:val="7A903FCB"/>
    <w:rsid w:val="7D0D677A"/>
    <w:rsid w:val="7F5260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901"/>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2C690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
    <w:link w:val="3Char"/>
    <w:rsid w:val="002C6901"/>
    <w:pPr>
      <w:keepNext/>
      <w:keepLines/>
      <w:widowControl w:val="0"/>
      <w:spacing w:before="260" w:line="416" w:lineRule="auto"/>
      <w:jc w:val="both"/>
      <w:outlineLvl w:val="2"/>
    </w:pPr>
    <w:rPr>
      <w:rFonts w:ascii="Calibri" w:eastAsia="Calibri" w:hAnsi="Calibri" w:cs="Calibri"/>
      <w:b/>
      <w:bC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C6901"/>
    <w:pPr>
      <w:jc w:val="left"/>
    </w:pPr>
  </w:style>
  <w:style w:type="paragraph" w:styleId="a4">
    <w:name w:val="Plain Text"/>
    <w:link w:val="Char0"/>
    <w:rsid w:val="002C6901"/>
    <w:pPr>
      <w:widowControl w:val="0"/>
      <w:jc w:val="both"/>
    </w:pPr>
    <w:rPr>
      <w:rFonts w:ascii="宋体" w:hAnsi="宋体" w:cs="宋体"/>
      <w:color w:val="000000"/>
      <w:kern w:val="2"/>
      <w:sz w:val="21"/>
      <w:szCs w:val="21"/>
      <w:u w:color="000000"/>
    </w:rPr>
  </w:style>
  <w:style w:type="paragraph" w:styleId="a5">
    <w:name w:val="Balloon Text"/>
    <w:basedOn w:val="a"/>
    <w:link w:val="Char1"/>
    <w:uiPriority w:val="99"/>
    <w:semiHidden/>
    <w:unhideWhenUsed/>
    <w:qFormat/>
    <w:rsid w:val="002C6901"/>
    <w:rPr>
      <w:sz w:val="18"/>
      <w:szCs w:val="18"/>
    </w:rPr>
  </w:style>
  <w:style w:type="paragraph" w:styleId="a6">
    <w:name w:val="footer"/>
    <w:basedOn w:val="a"/>
    <w:link w:val="Char2"/>
    <w:uiPriority w:val="99"/>
    <w:unhideWhenUsed/>
    <w:rsid w:val="002C6901"/>
    <w:pPr>
      <w:tabs>
        <w:tab w:val="center" w:pos="4153"/>
        <w:tab w:val="right" w:pos="8306"/>
      </w:tabs>
      <w:snapToGrid w:val="0"/>
      <w:jc w:val="left"/>
    </w:pPr>
    <w:rPr>
      <w:sz w:val="18"/>
      <w:szCs w:val="18"/>
    </w:rPr>
  </w:style>
  <w:style w:type="paragraph" w:styleId="a7">
    <w:name w:val="header"/>
    <w:basedOn w:val="a"/>
    <w:link w:val="Char3"/>
    <w:uiPriority w:val="99"/>
    <w:semiHidden/>
    <w:unhideWhenUsed/>
    <w:rsid w:val="002C6901"/>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2C6901"/>
    <w:rPr>
      <w:b/>
      <w:bCs/>
    </w:rPr>
  </w:style>
  <w:style w:type="character" w:styleId="a9">
    <w:name w:val="annotation reference"/>
    <w:basedOn w:val="a0"/>
    <w:uiPriority w:val="99"/>
    <w:semiHidden/>
    <w:unhideWhenUsed/>
    <w:qFormat/>
    <w:rsid w:val="002C6901"/>
    <w:rPr>
      <w:sz w:val="21"/>
      <w:szCs w:val="21"/>
    </w:rPr>
  </w:style>
  <w:style w:type="character" w:customStyle="1" w:styleId="Char3">
    <w:name w:val="页眉 Char"/>
    <w:basedOn w:val="a0"/>
    <w:link w:val="a7"/>
    <w:uiPriority w:val="99"/>
    <w:semiHidden/>
    <w:rsid w:val="002C6901"/>
    <w:rPr>
      <w:sz w:val="18"/>
      <w:szCs w:val="18"/>
    </w:rPr>
  </w:style>
  <w:style w:type="character" w:customStyle="1" w:styleId="Char2">
    <w:name w:val="页脚 Char"/>
    <w:basedOn w:val="a0"/>
    <w:link w:val="a6"/>
    <w:uiPriority w:val="99"/>
    <w:rsid w:val="002C6901"/>
    <w:rPr>
      <w:sz w:val="18"/>
      <w:szCs w:val="18"/>
    </w:rPr>
  </w:style>
  <w:style w:type="character" w:customStyle="1" w:styleId="3Char">
    <w:name w:val="标题 3 Char"/>
    <w:basedOn w:val="a0"/>
    <w:link w:val="3"/>
    <w:rsid w:val="002C6901"/>
    <w:rPr>
      <w:rFonts w:ascii="Calibri" w:eastAsia="Calibri" w:hAnsi="Calibri" w:cs="Calibri"/>
      <w:b/>
      <w:bCs/>
      <w:color w:val="000000"/>
      <w:sz w:val="32"/>
      <w:szCs w:val="32"/>
      <w:u w:color="000000"/>
    </w:rPr>
  </w:style>
  <w:style w:type="character" w:customStyle="1" w:styleId="Char0">
    <w:name w:val="纯文本 Char"/>
    <w:basedOn w:val="a0"/>
    <w:link w:val="a4"/>
    <w:rsid w:val="002C6901"/>
    <w:rPr>
      <w:rFonts w:ascii="宋体" w:eastAsia="宋体" w:hAnsi="宋体" w:cs="宋体"/>
      <w:color w:val="000000"/>
      <w:szCs w:val="21"/>
      <w:u w:color="000000"/>
    </w:rPr>
  </w:style>
  <w:style w:type="paragraph" w:customStyle="1" w:styleId="AA">
    <w:name w:val="正文 A A"/>
    <w:rsid w:val="002C6901"/>
    <w:pPr>
      <w:widowControl w:val="0"/>
      <w:spacing w:after="160" w:line="259" w:lineRule="auto"/>
      <w:jc w:val="both"/>
    </w:pPr>
    <w:rPr>
      <w:rFonts w:ascii="Calibri" w:eastAsia="Calibri" w:hAnsi="Calibri" w:cs="Calibri"/>
      <w:color w:val="000000"/>
      <w:sz w:val="22"/>
      <w:szCs w:val="22"/>
      <w:u w:color="000000"/>
    </w:rPr>
  </w:style>
  <w:style w:type="paragraph" w:customStyle="1" w:styleId="Ab">
    <w:name w:val="正文 A"/>
    <w:rsid w:val="002C6901"/>
    <w:pPr>
      <w:widowControl w:val="0"/>
      <w:jc w:val="both"/>
    </w:pPr>
    <w:rPr>
      <w:rFonts w:ascii="Calibri" w:eastAsia="Calibri" w:hAnsi="Calibri" w:cs="Calibri"/>
      <w:color w:val="000000"/>
      <w:kern w:val="2"/>
      <w:sz w:val="21"/>
      <w:szCs w:val="21"/>
      <w:u w:color="000000"/>
    </w:rPr>
  </w:style>
  <w:style w:type="character" w:customStyle="1" w:styleId="Char">
    <w:name w:val="批注文字 Char"/>
    <w:basedOn w:val="a0"/>
    <w:link w:val="a3"/>
    <w:uiPriority w:val="99"/>
    <w:semiHidden/>
    <w:qFormat/>
    <w:rsid w:val="002C6901"/>
  </w:style>
  <w:style w:type="character" w:customStyle="1" w:styleId="Char4">
    <w:name w:val="批注主题 Char"/>
    <w:basedOn w:val="Char"/>
    <w:link w:val="a8"/>
    <w:uiPriority w:val="99"/>
    <w:semiHidden/>
    <w:qFormat/>
    <w:rsid w:val="002C6901"/>
    <w:rPr>
      <w:b/>
      <w:bCs/>
    </w:rPr>
  </w:style>
  <w:style w:type="character" w:customStyle="1" w:styleId="Char1">
    <w:name w:val="批注框文本 Char"/>
    <w:basedOn w:val="a0"/>
    <w:link w:val="a5"/>
    <w:uiPriority w:val="99"/>
    <w:semiHidden/>
    <w:qFormat/>
    <w:rsid w:val="002C6901"/>
    <w:rPr>
      <w:sz w:val="18"/>
      <w:szCs w:val="18"/>
    </w:rPr>
  </w:style>
  <w:style w:type="character" w:customStyle="1" w:styleId="2Char">
    <w:name w:val="标题 2 Char"/>
    <w:basedOn w:val="a0"/>
    <w:link w:val="2"/>
    <w:uiPriority w:val="9"/>
    <w:semiHidden/>
    <w:qFormat/>
    <w:rsid w:val="002C69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赵劼</dc:creator>
  <cp:lastModifiedBy>admin</cp:lastModifiedBy>
  <cp:revision>58</cp:revision>
  <dcterms:created xsi:type="dcterms:W3CDTF">2019-10-31T03:07:00Z</dcterms:created>
  <dcterms:modified xsi:type="dcterms:W3CDTF">2019-11-05T00:09:00Z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