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209"/>
        <w:keepNext w:val="0"/>
        <w:keepLines w:val="0"/>
        <w:pageBreakBefore w:val="0"/>
        <w:widowControl/>
        <w:suppressLineNumbers w:val="0"/>
        <w:suppressAutoHyphens w:val="0"/>
        <w:spacing w:line="560" w:lineRule="exact"/>
        <w:rPr>
          <w:rFonts w:cs="仿宋_GB2312" w:hint="eastAsia"/>
          <w:szCs w:val="32"/>
          <w:shd w:val="clear" w:color="auto" w:fill="FFFFFF"/>
        </w:rPr>
      </w:pPr>
      <w:bookmarkStart w:id="0" w:name="wpds__正文__File"/>
      <w:bookmarkStart w:id="1" w:name="_Toc83218865"/>
      <w:r>
        <w:rPr>
          <w:rFonts w:ascii="方正黑体_GBK" w:eastAsia="方正黑体_GBK" w:hint="eastAsia"/>
          <w:vanish w:val="0"/>
          <w:szCs w:val="32"/>
        </w:rPr>
        <w:t>附件16</w:t>
      </w:r>
    </w:p>
    <w:p>
      <w:pPr>
        <w:pStyle w:val="148"/>
      </w:pPr>
    </w:p>
    <w:p>
      <w:pPr>
        <w:pStyle w:val="211"/>
        <w:pBdr>
          <w:top w:val="none" w:sz="0" w:space="0" w:color="auto"/>
          <w:left w:val="none" w:sz="0" w:space="0" w:color="auto"/>
          <w:bottom w:val="none" w:sz="0" w:space="0" w:color="auto"/>
          <w:right w:val="none" w:sz="0" w:space="0" w:color="auto"/>
        </w:pBdr>
        <w:spacing w:before="0" w:beforeAutospacing="0" w:after="0" w:afterAutospacing="0" w:line="560" w:lineRule="exact"/>
        <w:ind w:left="0" w:right="0" w:firstLineChars="0" w:firstLine="0"/>
        <w:jc w:val="center"/>
        <w:rPr>
          <w:rFonts w:ascii="方正小标宋_GBK" w:eastAsia="方正小标宋_GBK" w:cs="宋体" w:hint="eastAsia"/>
          <w:b w:val="0"/>
          <w:bCs/>
          <w:vanish w:val="0"/>
        </w:rPr>
      </w:pPr>
      <w:bookmarkStart w:id="2" w:name="_Toc51461909"/>
      <w:bookmarkStart w:id="3" w:name="_Toc51461914"/>
      <w:bookmarkStart w:id="4" w:name="_Toc82338300"/>
      <w:r>
        <w:rPr>
          <w:rFonts w:ascii="方正小标宋_GBK" w:eastAsia="方正小标宋_GBK" w:cs="宋体" w:hint="eastAsia"/>
          <w:b w:val="0"/>
          <w:bCs/>
          <w:vanish w:val="0"/>
        </w:rPr>
        <w:t>中华人民共和国海关计核违反海关监管规定</w:t>
      </w:r>
      <w:bookmarkStart w:id="5" w:name="_Toc51461910"/>
      <w:bookmarkStart w:id="6" w:name="_Toc51461915"/>
      <w:bookmarkEnd w:id="2"/>
      <w:bookmarkEnd w:id="3"/>
      <w:r>
        <w:rPr>
          <w:rFonts w:ascii="方正小标宋_GBK" w:eastAsia="方正小标宋_GBK" w:cs="宋体"/>
          <w:b w:val="0"/>
          <w:bCs/>
          <w:vanish w:val="0"/>
        </w:rPr>
        <w:br/>
      </w:r>
      <w:r>
        <w:rPr>
          <w:rFonts w:ascii="方正小标宋_GBK" w:eastAsia="方正小标宋_GBK" w:cs="宋体" w:hint="eastAsia"/>
          <w:b w:val="0"/>
          <w:bCs/>
          <w:vanish w:val="0"/>
        </w:rPr>
        <w:t>案件货物、物品价值办法</w:t>
      </w:r>
      <w:bookmarkEnd w:id="1"/>
      <w:bookmarkEnd w:id="4"/>
      <w:bookmarkEnd w:id="5"/>
      <w:bookmarkEnd w:id="6"/>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p>
    <w:p>
      <w:pPr>
        <w:pStyle w:val="212"/>
        <w:pBdr>
          <w:top w:val="none" w:sz="0" w:space="0" w:color="auto"/>
          <w:left w:val="none" w:sz="0" w:space="0" w:color="auto"/>
          <w:bottom w:val="none" w:sz="0" w:space="0" w:color="auto"/>
          <w:right w:val="none" w:sz="0" w:space="0" w:color="auto"/>
        </w:pBdr>
        <w:spacing w:beforeLines="50" w:before="156" w:beforeAutospacing="0" w:afterLines="50" w:after="156" w:afterAutospacing="0"/>
        <w:ind w:left="0" w:right="0" w:firstLineChars="62" w:firstLine="198"/>
        <w:jc w:val="center"/>
        <w:rPr>
          <w:rFonts w:ascii="方正黑体_GBK" w:eastAsia="方正黑体_GBK" w:cs="宋体" w:hint="eastAsia"/>
          <w:vanish w:val="0"/>
          <w:szCs w:val="32"/>
        </w:rPr>
      </w:pPr>
      <w:r>
        <w:rPr>
          <w:rFonts w:ascii="方正黑体_GBK" w:eastAsia="方正黑体_GBK" w:cs="宋体" w:hint="eastAsia"/>
          <w:vanish w:val="0"/>
          <w:szCs w:val="32"/>
        </w:rPr>
        <w:t>第一章  总则</w:t>
      </w:r>
    </w:p>
    <w:p>
      <w:pPr>
        <w:pStyle w:val="212"/>
        <w:pBdr>
          <w:top w:val="none" w:sz="0" w:space="0" w:color="auto"/>
          <w:left w:val="none" w:sz="0" w:space="0" w:color="auto"/>
          <w:bottom w:val="none" w:sz="0" w:space="0" w:color="auto"/>
          <w:right w:val="none" w:sz="0" w:space="0" w:color="auto"/>
        </w:pBdr>
        <w:spacing w:beforeLines="50" w:before="156" w:beforeAutospacing="0" w:afterLines="50" w:after="156" w:afterAutospacing="0"/>
        <w:ind w:left="0" w:right="0" w:firstLineChars="62" w:firstLine="198"/>
        <w:jc w:val="center"/>
        <w:rPr>
          <w:rFonts w:ascii="方正黑体_GBK" w:eastAsia="方正黑体_GBK" w:cs="宋体" w:hint="eastAsia"/>
          <w:vanish w:val="0"/>
          <w:szCs w:val="32"/>
        </w:rPr>
      </w:pP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第一条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为了准确计核违反海关监管规定案件的货物、物品价值，根据《中华人民共和国海关法》（以下简称《海关法》）、《中华人民共和国关税法》（以下简称《关税法》）、《中华人民共和国海关行政处罚实施条例》（以下简称《处罚条例》）的规定，制定本办法。</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第二条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计核违</w:t>
      </w:r>
      <w:bookmarkStart w:id="7" w:name="_GoBack"/>
      <w:bookmarkEnd w:id="7"/>
      <w:r>
        <w:rPr>
          <w:rFonts w:ascii="Times New Roman" w:eastAsia="方正仿宋_GBK" w:cs="宋体" w:hAnsi="Times New Roman" w:hint="eastAsia"/>
          <w:vanish w:val="0"/>
          <w:szCs w:val="32"/>
        </w:rPr>
        <w:t>反海关监管规定案件货物、物品价值的，适用本办法。</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第三条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海关应当在确定违法货物、物品及其计税价格，计核进出口关税、进口环节海关代征税的基础上，根据违法货物、物品的计税价格和相应税款计核货物、物品价值。</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第四条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海关计核违法货物、物品价值或者计核案件漏缴税款的，应当通过行政处罚告知书，将违法货物、物品价值或者漏缴税款数额告知当事人。</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p>
    <w:p>
      <w:pPr>
        <w:pStyle w:val="212"/>
        <w:pBdr>
          <w:top w:val="none" w:sz="0" w:space="0" w:color="auto"/>
          <w:left w:val="none" w:sz="0" w:space="0" w:color="auto"/>
          <w:bottom w:val="none" w:sz="0" w:space="0" w:color="auto"/>
          <w:right w:val="none" w:sz="0" w:space="0" w:color="auto"/>
        </w:pBdr>
        <w:spacing w:beforeLines="50" w:before="156" w:beforeAutospacing="0" w:afterLines="50" w:after="156" w:afterAutospacing="0"/>
        <w:ind w:left="0" w:right="0" w:firstLineChars="62" w:firstLine="198"/>
        <w:jc w:val="center"/>
        <w:rPr>
          <w:rFonts w:ascii="方正黑体_GBK" w:eastAsia="方正黑体_GBK" w:cs="宋体" w:hint="eastAsia"/>
          <w:vanish w:val="0"/>
          <w:szCs w:val="32"/>
        </w:rPr>
      </w:pPr>
      <w:r>
        <w:rPr>
          <w:rFonts w:ascii="方正黑体_GBK" w:eastAsia="方正黑体_GBK" w:cs="宋体" w:hint="eastAsia"/>
          <w:vanish w:val="0"/>
          <w:szCs w:val="32"/>
        </w:rPr>
        <w:t>第二章  违法货物、物品的确定</w:t>
      </w:r>
    </w:p>
    <w:p>
      <w:pPr>
        <w:pStyle w:val="212"/>
        <w:pBdr>
          <w:top w:val="none" w:sz="0" w:space="0" w:color="auto"/>
          <w:left w:val="none" w:sz="0" w:space="0" w:color="auto"/>
          <w:bottom w:val="none" w:sz="0" w:space="0" w:color="auto"/>
          <w:right w:val="none" w:sz="0" w:space="0" w:color="auto"/>
        </w:pBdr>
        <w:spacing w:beforeLines="50" w:before="156" w:beforeAutospacing="0" w:afterLines="50" w:after="156" w:afterAutospacing="0"/>
        <w:ind w:left="0" w:right="0" w:firstLineChars="62" w:firstLine="198"/>
        <w:jc w:val="center"/>
        <w:rPr>
          <w:rFonts w:ascii="方正黑体_GBK" w:eastAsia="方正黑体_GBK" w:cs="宋体" w:hint="eastAsia"/>
          <w:vanish w:val="0"/>
          <w:szCs w:val="32"/>
        </w:rPr>
      </w:pPr>
    </w:p>
    <w:p>
      <w:pPr>
        <w:pStyle w:val="212"/>
        <w:pBdr>
          <w:top w:val="none" w:sz="0" w:space="0" w:color="auto"/>
          <w:left w:val="none" w:sz="0" w:space="0" w:color="auto"/>
          <w:bottom w:val="none" w:sz="0" w:space="0" w:color="auto"/>
          <w:right w:val="none" w:sz="0" w:space="0" w:color="auto"/>
        </w:pBdr>
        <w:spacing w:beforeLines="50" w:before="156" w:beforeAutospacing="0" w:afterLines="50" w:after="156" w:afterAutospacing="0"/>
        <w:ind w:left="0" w:right="0" w:firstLineChars="62" w:firstLine="198"/>
        <w:jc w:val="center"/>
        <w:rPr>
          <w:rFonts w:ascii="方正楷体_GBK" w:eastAsia="方正楷体_GBK" w:cs="宋体" w:hint="eastAsia"/>
          <w:b/>
          <w:bCs w:val="0"/>
          <w:vanish w:val="0"/>
          <w:szCs w:val="32"/>
        </w:rPr>
      </w:pPr>
      <w:r>
        <w:rPr>
          <w:rFonts w:ascii="方正楷体_GBK" w:eastAsia="方正楷体_GBK" w:cs="宋体" w:hint="eastAsia"/>
          <w:b/>
          <w:bCs w:val="0"/>
          <w:vanish w:val="0"/>
          <w:szCs w:val="32"/>
        </w:rPr>
        <w:t>第一节  违法货物的确定</w:t>
      </w:r>
    </w:p>
    <w:p>
      <w:pPr>
        <w:pStyle w:val="212"/>
        <w:pBdr>
          <w:top w:val="none" w:sz="0" w:space="0" w:color="auto"/>
          <w:left w:val="none" w:sz="0" w:space="0" w:color="auto"/>
          <w:bottom w:val="none" w:sz="0" w:space="0" w:color="auto"/>
          <w:right w:val="none" w:sz="0" w:space="0" w:color="auto"/>
        </w:pBdr>
        <w:spacing w:beforeLines="50" w:before="156" w:beforeAutospacing="0" w:afterLines="50" w:after="156" w:afterAutospacing="0"/>
        <w:ind w:left="0" w:right="0" w:firstLineChars="62" w:firstLine="198"/>
        <w:jc w:val="center"/>
        <w:rPr>
          <w:rFonts w:ascii="方正楷体_GBK" w:eastAsia="方正楷体_GBK" w:cs="宋体" w:hint="eastAsia"/>
          <w:b/>
          <w:bCs w:val="0"/>
          <w:vanish w:val="0"/>
          <w:szCs w:val="32"/>
        </w:rPr>
      </w:pP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第五条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违反国家进出口管理规定，进出口国家限制进出口货物，申报时不能向海关提交许可证件的，违法货物为不能提交许可证件的实际进出口货物。</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第六条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货物进出口时应当申报的项目没有申报或者申报不实，影响国家许可证件管理的，违法货物为实际进出口货物。其中，仅数量申报不实的，违法货物为实际进出口货物数量超出许可证件进出口额度部分的货物；许可证件为“非一批一证”管理，且许可证件还有剩余额度的，违法货物为实际进出口货物数量超出申报数量部分的货物。</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第七条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货物进出口时应当申报的项目没有申报或者申报不实，影响国家税款征收的，违法货物为实际进出口货物。其中，仅数量申报不实的，违法货物为实际进出口货物数量与申报数量差额部分的货物。</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第八条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加工贸易货物进出口时应当申报的项目没有申报或者申报不实的，违法货物按以下方式确定：</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（一）加工贸易货物进出口时应当申报的项目没有申报或者申报不实，影响国家许可证件管理的，违法货物按照本办法第六条确定。</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（二）加工贸易货物进口时应当申报的项目没有申报或者申报不实，影响国家税款征收的，违法货物为实际进口货物；其中，仅数量申报不实的，违法货物为实际进口货物数量与申报数量差额部分的货物。</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三）加工贸易货物出口时应当申报的项目没有申报或者申报不实，影响国家税款征收的，违法货物为申报出口货物所耗用的保税料件。其中，仅数量申报不实的，违法货物为申报出口货物数量与实际出口货物数量差额部分货物所耗用的保税料件。</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第九条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未经海关许可，擅自将海关监管货物开拆、提取、交付、发运、调换、改装、抵押、质押、留置、转让、更换标记、移作他用或者进行其他处置的，违法货物为被开拆、提取、交付、发运、调换、改装、抵押、质押、留置、转让、更换标记、移作他用或者进行其他处置的海关监管货物。</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第十条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未经海关许可，在海关监管区以外存放海关监管货物的，违法货物为在海关监管区以外存放的海关监管货物。</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第十一条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海关监管货物在运输、储存、加工、装配、寄售、展示中灭失、数量短少，且不能提供正当理由的，违法货物为灭失、数量短少货物。</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有关货物品名、规格记录不真实，不能提供正当理由的，违法货物为应当真实记录的实际货物；有关货物数量记录不真实，不能提供正当理由的，违法货物为应当真实记录的实际数量与记录数量差额部分的货物。</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第十二条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经营保税货物运输、储存、加工、装配、寄售、展示等业务，没有依照规定办理收存、交付、结转等手续的，违法货物为没有依照规定办理收存、交付、结转等海关手续的保税货物。</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第十三条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经营保税货物运输、储存、加工、装配、寄售、展示等业务，没有依照规定办理核销手续，或者中止、延长、变更、转让有关合同不依照规定办理海关手续的，违法货物为已实际进口但未依法出口、结转、征税内销或者未进行其他合法处置的保税货物。</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第十四条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没有如实向海关申报加工贸易制成品单耗的，违法货物为申报单耗与实际单耗的差额与制成品数量的乘积所对应的货物，其计算公式为：</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违法货物</w:t>
      </w:r>
      <w:r>
        <w:rPr>
          <w:rFonts w:ascii="Times New Roman" w:cs="宋体" w:hAnsi="Times New Roman"/>
          <w:vanish w:val="0"/>
          <w:szCs w:val="32"/>
        </w:rPr>
        <w:t>=</w:t>
      </w:r>
      <w:r>
        <w:rPr>
          <w:rFonts w:ascii="Times New Roman" w:eastAsia="方正仿宋_GBK" w:cs="宋体" w:hAnsi="Times New Roman" w:hint="eastAsia"/>
          <w:vanish w:val="0"/>
          <w:szCs w:val="32"/>
        </w:rPr>
        <w:t>制成品数量×（申报单位耗料量</w:t>
      </w:r>
      <w:r>
        <w:rPr>
          <w:rFonts w:ascii="Times New Roman" w:cs="宋体" w:hAnsi="Times New Roman"/>
          <w:vanish w:val="0"/>
          <w:szCs w:val="32"/>
        </w:rPr>
        <w:t>-</w:t>
      </w:r>
      <w:r>
        <w:rPr>
          <w:rFonts w:ascii="Times New Roman" w:eastAsia="方正仿宋_GBK" w:cs="宋体" w:hAnsi="Times New Roman" w:hint="eastAsia"/>
          <w:vanish w:val="0"/>
          <w:szCs w:val="32"/>
        </w:rPr>
        <w:t>实际单位耗料量）</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第十五条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未按照规定期限将过境、转运、通运货物运输出境，擅自留在境内的，违法货物为擅自留在境内的过境、转运、通运货物。</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第十六条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未按照规定期限将暂时进出</w:t>
      </w:r>
      <w:r>
        <w:rPr>
          <w:rFonts w:ascii="Times New Roman" w:eastAsia="方正仿宋_GBK" w:cs="宋体" w:hAnsi="Times New Roman"/>
          <w:vanish w:val="0"/>
          <w:szCs w:val="32"/>
        </w:rPr>
        <w:t>口</w:t>
      </w:r>
      <w:r>
        <w:rPr>
          <w:rFonts w:ascii="Times New Roman" w:eastAsia="方正仿宋_GBK" w:cs="宋体" w:hAnsi="Times New Roman" w:hint="eastAsia"/>
          <w:vanish w:val="0"/>
          <w:szCs w:val="32"/>
        </w:rPr>
        <w:t>货物复运出境或者复运进境，擅自留在境内或者境外的，违法货物为擅自留在境内或者境外的暂时进出</w:t>
      </w:r>
      <w:r>
        <w:rPr>
          <w:rFonts w:ascii="Times New Roman" w:eastAsia="方正仿宋_GBK" w:cs="宋体" w:hAnsi="Times New Roman"/>
          <w:vanish w:val="0"/>
          <w:szCs w:val="32"/>
        </w:rPr>
        <w:t>口</w:t>
      </w:r>
      <w:r>
        <w:rPr>
          <w:rFonts w:ascii="Times New Roman" w:eastAsia="方正仿宋_GBK" w:cs="宋体" w:hAnsi="Times New Roman" w:hint="eastAsia"/>
          <w:vanish w:val="0"/>
          <w:szCs w:val="32"/>
        </w:rPr>
        <w:t>货物。</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第十七条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有违反海关监管规定的其他行为，致使海关不能或者中断对进出口货物实施监管的，违法货物为海关不能或者中断实施监管的进出口货物。</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p>
    <w:p>
      <w:pPr>
        <w:pStyle w:val="212"/>
        <w:pBdr>
          <w:top w:val="none" w:sz="0" w:space="0" w:color="auto"/>
          <w:left w:val="none" w:sz="0" w:space="0" w:color="auto"/>
          <w:bottom w:val="none" w:sz="0" w:space="0" w:color="auto"/>
          <w:right w:val="none" w:sz="0" w:space="0" w:color="auto"/>
        </w:pBdr>
        <w:spacing w:beforeLines="50" w:before="156" w:beforeAutospacing="0" w:afterLines="50" w:after="156" w:afterAutospacing="0"/>
        <w:ind w:left="0" w:right="0" w:firstLineChars="62" w:firstLine="198"/>
        <w:jc w:val="center"/>
        <w:rPr>
          <w:rFonts w:ascii="方正楷体_GBK" w:eastAsia="方正楷体_GBK" w:cs="宋体" w:hint="eastAsia"/>
          <w:b/>
          <w:bCs w:val="0"/>
          <w:vanish w:val="0"/>
          <w:szCs w:val="32"/>
        </w:rPr>
      </w:pPr>
      <w:r>
        <w:rPr>
          <w:rFonts w:ascii="方正楷体_GBK" w:eastAsia="方正楷体_GBK" w:cs="宋体" w:hint="eastAsia"/>
          <w:b/>
          <w:bCs w:val="0"/>
          <w:vanish w:val="0"/>
          <w:szCs w:val="32"/>
        </w:rPr>
        <w:t>第二节  违法物品的确定</w:t>
      </w:r>
    </w:p>
    <w:p>
      <w:pPr>
        <w:pStyle w:val="212"/>
        <w:pBdr>
          <w:top w:val="none" w:sz="0" w:space="0" w:color="auto"/>
          <w:left w:val="none" w:sz="0" w:space="0" w:color="auto"/>
          <w:bottom w:val="none" w:sz="0" w:space="0" w:color="auto"/>
          <w:right w:val="none" w:sz="0" w:space="0" w:color="auto"/>
        </w:pBdr>
        <w:spacing w:beforeLines="50" w:before="156" w:beforeAutospacing="0" w:afterLines="50" w:after="156" w:afterAutospacing="0"/>
        <w:ind w:left="0" w:right="0" w:firstLineChars="62" w:firstLine="198"/>
        <w:jc w:val="center"/>
        <w:rPr>
          <w:rFonts w:ascii="方正楷体_GBK" w:eastAsia="方正楷体_GBK" w:cs="宋体" w:hint="eastAsia"/>
          <w:b/>
          <w:bCs w:val="0"/>
          <w:vanish w:val="0"/>
          <w:szCs w:val="32"/>
        </w:rPr>
      </w:pP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第十八条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未经海关许可，擅自将海关尚未放行的进出境物品开拆、交付、投递、转移或者进行其他处置的，违法物品为被开拆、交付、投递、转移或者进行其他处置的物品。</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第十九条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个人运输、携带、邮寄超过合理数量的自用物品进出境未向海关申报的，或者运输、携带、邮寄超过规定数量但仍属自用的国家限制进出境物品进出境，未向海关申报但没有以藏匿、伪装等方式逃避海关监管的，违法物品为实际进出境自用物品数量超过合理数量或者规定数量部分的物品。</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第二十条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个人运输、携带、邮寄物品进出境品名申报不实的，违法物品为实际进出境物品。</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个人运输、携带、邮寄物品进出境数量申报不实的，违法物品为实际进出境物品数量超过合理数量或者规定数量部分的物品；申报数量超过合理数量或者规定数量的，违法物品为实际进出境物品数量超过申报数量部分的物品。</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第二十一条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经海关登记准予暂时免税进境或者暂时免税出境的物品，未按照规定复带出境或者复带进境的，违法物品为未复带出境或者未复带进境的物品。</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第二十二条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未经海关批准，过境人员将其所带物品留在境内的，违法物品为过境人员留在境内的物品。</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p>
    <w:p>
      <w:pPr>
        <w:pStyle w:val="212"/>
        <w:pBdr>
          <w:top w:val="none" w:sz="0" w:space="0" w:color="auto"/>
          <w:left w:val="none" w:sz="0" w:space="0" w:color="auto"/>
          <w:bottom w:val="none" w:sz="0" w:space="0" w:color="auto"/>
          <w:right w:val="none" w:sz="0" w:space="0" w:color="auto"/>
        </w:pBdr>
        <w:spacing w:beforeLines="50" w:before="156" w:beforeAutospacing="0" w:afterLines="50" w:after="156" w:afterAutospacing="0"/>
        <w:ind w:left="0" w:right="0" w:firstLineChars="62" w:firstLine="198"/>
        <w:jc w:val="center"/>
        <w:rPr>
          <w:rFonts w:ascii="方正黑体_GBK" w:eastAsia="方正黑体_GBK" w:cs="宋体" w:hint="eastAsia"/>
          <w:vanish w:val="0"/>
          <w:szCs w:val="32"/>
        </w:rPr>
      </w:pPr>
      <w:r>
        <w:rPr>
          <w:rFonts w:ascii="方正黑体_GBK" w:eastAsia="方正黑体_GBK" w:cs="宋体" w:hint="eastAsia"/>
          <w:vanish w:val="0"/>
          <w:szCs w:val="32"/>
        </w:rPr>
        <w:t>第三章  违法货物、物品税款的计核</w:t>
      </w:r>
    </w:p>
    <w:p>
      <w:pPr>
        <w:pStyle w:val="212"/>
        <w:pBdr>
          <w:top w:val="none" w:sz="0" w:space="0" w:color="auto"/>
          <w:left w:val="none" w:sz="0" w:space="0" w:color="auto"/>
          <w:bottom w:val="none" w:sz="0" w:space="0" w:color="auto"/>
          <w:right w:val="none" w:sz="0" w:space="0" w:color="auto"/>
        </w:pBdr>
        <w:spacing w:beforeLines="50" w:before="156" w:beforeAutospacing="0" w:afterLines="50" w:after="156" w:afterAutospacing="0"/>
        <w:ind w:left="0" w:right="0" w:firstLineChars="62" w:firstLine="198"/>
        <w:jc w:val="center"/>
        <w:rPr>
          <w:rFonts w:ascii="方正黑体_GBK" w:eastAsia="方正黑体_GBK" w:cs="宋体" w:hint="eastAsia"/>
          <w:vanish w:val="0"/>
          <w:szCs w:val="32"/>
        </w:rPr>
      </w:pP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第二十三条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计核违法货物、物品税款的，应当根据办案需要收集以下单证、材料：</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（一）违法货物、物品的报关单、进出境备案清单、合同、商业发票、提（运）单、保险单、加工贸易手册、电子账册、电子化手册、原产地证明、国内增值税发票以及其他有关单证；</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（二）证明违法货物、物品品名、规格、成分、功能、生产工艺、新旧程度等属性的材料；</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（三）证明违法货物、物品税款缴纳情况的材料；</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（四）证明违法行为发生时间或者被发现时间的材料；</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（五）计核税款需要收集的其他单证、材料。</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第二十四条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违法货物、物品的计税价格应当按照《关税法》、国务院规定的进境物品关税简易征收办法，以及《中华人民共和国海关确定进出口货物计税价格办法》的规定予以确定。</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计核违法货物、物品的税款，应当适用违法行为发生之日实施的税率和计征汇率。违法行为发生之日无法确定的，适用违法行为被发现之日实施的税率和计征汇率。</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第二十五条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应当申报的项目未申报或者申报不实案件的漏缴税款为实际进出口货物的应缴税款与申报进出口货物的计核税款的差额。</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第二十六条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未经海关许可，擅自将特定减免税货物抵押、质押、留置、转让、移作他用或者进行其他处置的，违法货物的计税价格为海关确定的该货物原进口时的价格扣除折旧部分价值。</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未经海关许可，擅自将特定减免税货物转让的，案件的漏缴税款为违法货物的应缴税款；擅自将特定减免税货物抵押、质押、留置、移作他用的，案件的漏缴税款为违法行为持续时间占海关监管年限的比例所对应的税款。</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未经海关许可，擅自将不作价设备抵押、质押、留置、转让、移作他用或者进行其他处置的，有关计税价格、漏缴税款等参照本条第一、二款进行计核。</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第二十七条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加工贸易进出口货物申报不实，影响国家税款征收的，案件的漏缴税款按以下方式计核：</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（一）加工贸易货物进口申报不实的，实际进口货物的税款与申报进口货物的税款差额为案件的漏缴税款。</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（二）加工贸易货物出口申报不实的，申报出口货物耗用保税料件的税款与实际出口货物耗用保税料件的税款差额为案件的漏缴税款。</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（三）加工贸易货物以一般贸易方式出口的，实际出口货物耗用保税料件的税款为案件的漏缴税款。</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第二十八条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海关计核货物、物品税款的，应当制作《中华人民共和国海关办理违反海关监管规定案件货物、物品税款计核证明书》（以下简称《税款计核证明书》，见附件），加盖海关税款计核专用章，并随附《中华人民共和国海关办理违反海关监管规定案件货物、物品税款计核资料清单》（以下简称《税款计核资料清单》）。</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《税款计核证明书》应当包括以下内容：</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（一）计核事项；</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（二）计核依据和计核方法；</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（三）计核结论；</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（四）计核部门和计核人员签章。</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《税款计核资料清单》应当包括货物、物品的品名、规格、税则号列、数量、计税价格、原产地、税率、计征汇率、税款等内容。</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p>
    <w:p>
      <w:pPr>
        <w:pStyle w:val="212"/>
        <w:pBdr>
          <w:top w:val="none" w:sz="0" w:space="0" w:color="auto"/>
          <w:left w:val="none" w:sz="0" w:space="0" w:color="auto"/>
          <w:bottom w:val="none" w:sz="0" w:space="0" w:color="auto"/>
          <w:right w:val="none" w:sz="0" w:space="0" w:color="auto"/>
        </w:pBdr>
        <w:spacing w:beforeLines="50" w:before="156" w:beforeAutospacing="0" w:afterLines="50" w:after="156" w:afterAutospacing="0"/>
        <w:ind w:left="0" w:right="0" w:firstLineChars="62" w:firstLine="198"/>
        <w:jc w:val="center"/>
        <w:rPr>
          <w:rFonts w:ascii="方正黑体_GBK" w:eastAsia="方正黑体_GBK" w:cs="宋体" w:hint="eastAsia"/>
          <w:vanish w:val="0"/>
          <w:szCs w:val="32"/>
        </w:rPr>
      </w:pPr>
      <w:r>
        <w:rPr>
          <w:rFonts w:ascii="方正黑体_GBK" w:eastAsia="方正黑体_GBK" w:cs="宋体" w:hint="eastAsia"/>
          <w:vanish w:val="0"/>
          <w:szCs w:val="32"/>
        </w:rPr>
        <w:t>第四章  违法货物、物品价值的计核</w:t>
      </w:r>
    </w:p>
    <w:p>
      <w:pPr>
        <w:pStyle w:val="212"/>
        <w:pBdr>
          <w:top w:val="none" w:sz="0" w:space="0" w:color="auto"/>
          <w:left w:val="none" w:sz="0" w:space="0" w:color="auto"/>
          <w:bottom w:val="none" w:sz="0" w:space="0" w:color="auto"/>
          <w:right w:val="none" w:sz="0" w:space="0" w:color="auto"/>
        </w:pBdr>
        <w:spacing w:beforeLines="50" w:before="156" w:beforeAutospacing="0" w:afterLines="50" w:after="156" w:afterAutospacing="0"/>
        <w:ind w:left="0" w:right="0" w:firstLineChars="62" w:firstLine="198"/>
        <w:jc w:val="center"/>
        <w:rPr>
          <w:rFonts w:ascii="方正黑体_GBK" w:eastAsia="方正黑体_GBK" w:cs="宋体" w:hint="eastAsia"/>
          <w:vanish w:val="0"/>
          <w:szCs w:val="32"/>
        </w:rPr>
      </w:pP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第二十九条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违法货物价值依据违法货物的计税价格、进出口关税、进口环节海关代征税之和进行计核；违法物品价值依据违法物品的计税价格和应纳税额之和进行计核。</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第三十条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国务院关税税则委员会规定按货物征税的进境物品，按照本办法有关货物价值的规定计核价值。</w:t>
      </w:r>
    </w:p>
    <w:p>
      <w:pPr>
        <w:pStyle w:val="212"/>
        <w:pBdr>
          <w:top w:val="none" w:sz="0" w:space="0" w:color="auto"/>
          <w:left w:val="none" w:sz="0" w:space="0" w:color="auto"/>
          <w:bottom w:val="none" w:sz="0" w:space="0" w:color="auto"/>
          <w:right w:val="none" w:sz="0" w:space="0" w:color="auto"/>
        </w:pBdr>
        <w:spacing w:beforeLines="50" w:before="156" w:beforeAutospacing="0" w:afterLines="50" w:after="156" w:afterAutospacing="0"/>
        <w:ind w:left="0" w:right="0" w:firstLineChars="62" w:firstLine="198"/>
        <w:jc w:val="center"/>
        <w:rPr>
          <w:rFonts w:ascii="方正黑体_GBK" w:eastAsia="方正黑体_GBK" w:cs="宋体" w:hint="eastAsia"/>
          <w:vanish w:val="0"/>
          <w:szCs w:val="32"/>
        </w:rPr>
      </w:pPr>
    </w:p>
    <w:p>
      <w:pPr>
        <w:pStyle w:val="212"/>
        <w:pBdr>
          <w:top w:val="none" w:sz="0" w:space="0" w:color="auto"/>
          <w:left w:val="none" w:sz="0" w:space="0" w:color="auto"/>
          <w:bottom w:val="none" w:sz="0" w:space="0" w:color="auto"/>
          <w:right w:val="none" w:sz="0" w:space="0" w:color="auto"/>
        </w:pBdr>
        <w:spacing w:beforeLines="50" w:before="156" w:beforeAutospacing="0" w:afterLines="50" w:after="156" w:afterAutospacing="0"/>
        <w:ind w:left="0" w:right="0" w:firstLineChars="62" w:firstLine="198"/>
        <w:jc w:val="center"/>
        <w:rPr>
          <w:rFonts w:ascii="方正黑体_GBK" w:eastAsia="方正黑体_GBK" w:cs="宋体" w:hint="eastAsia"/>
          <w:vanish w:val="0"/>
          <w:szCs w:val="32"/>
        </w:rPr>
      </w:pPr>
      <w:r>
        <w:rPr>
          <w:rFonts w:ascii="方正黑体_GBK" w:eastAsia="方正黑体_GBK" w:cs="宋体" w:hint="eastAsia"/>
          <w:vanish w:val="0"/>
          <w:szCs w:val="32"/>
        </w:rPr>
        <w:t>第五章  附则</w:t>
      </w:r>
    </w:p>
    <w:p>
      <w:pPr>
        <w:pStyle w:val="212"/>
        <w:pBdr>
          <w:top w:val="none" w:sz="0" w:space="0" w:color="auto"/>
          <w:left w:val="none" w:sz="0" w:space="0" w:color="auto"/>
          <w:bottom w:val="none" w:sz="0" w:space="0" w:color="auto"/>
          <w:right w:val="none" w:sz="0" w:space="0" w:color="auto"/>
        </w:pBdr>
        <w:spacing w:beforeLines="50" w:before="156" w:beforeAutospacing="0" w:afterLines="50" w:after="156" w:afterAutospacing="0"/>
        <w:ind w:left="0" w:right="0" w:firstLineChars="62" w:firstLine="198"/>
        <w:jc w:val="center"/>
        <w:rPr>
          <w:rFonts w:ascii="方正黑体_GBK" w:eastAsia="方正黑体_GBK" w:cs="宋体" w:hint="eastAsia"/>
          <w:vanish w:val="0"/>
          <w:szCs w:val="32"/>
        </w:rPr>
      </w:pP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第三十一条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下列情形不需要计核违法货物、物品价值：</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（一）依据《处罚条例》第十五条第（一）、（二）项、第二十一条至第二十四条、第二十六条至第三十二条规定作出行政处罚的；</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（二）涉及禁止进出境的货物、物品，无法计核货物、物品价值的；</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（三）涉及其他特殊货物、物品，价值难以确定的。</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第三十二条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本办法所称“违法货物、物品”，是指违反海关监管规定的行为所指向的特定货物、物品。</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第三十三条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本办法由海关总署负责解释。</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方正黑体_GBK" w:eastAsia="方正黑体_GBK" w:cs="宋体" w:hint="eastAsia"/>
          <w:vanish w:val="0"/>
          <w:szCs w:val="32"/>
        </w:rPr>
        <w:t>第三十四条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本办法自</w:t>
      </w:r>
      <w:r>
        <w:rPr>
          <w:rFonts w:ascii="Times New Roman" w:cs="宋体" w:hAnsi="Times New Roman"/>
          <w:vanish w:val="0"/>
          <w:szCs w:val="32"/>
        </w:rPr>
        <w:t>2009</w:t>
      </w:r>
      <w:r>
        <w:rPr>
          <w:rFonts w:ascii="Times New Roman" w:eastAsia="方正仿宋_GBK" w:cs="宋体" w:hAnsi="Times New Roman" w:hint="eastAsia"/>
          <w:vanish w:val="0"/>
          <w:szCs w:val="32"/>
        </w:rPr>
        <w:t>年</w:t>
      </w:r>
      <w:r>
        <w:rPr>
          <w:rFonts w:ascii="Times New Roman" w:cs="宋体" w:hAnsi="Times New Roman"/>
          <w:vanish w:val="0"/>
          <w:szCs w:val="32"/>
        </w:rPr>
        <w:t>6</w:t>
      </w:r>
      <w:r>
        <w:rPr>
          <w:rFonts w:ascii="Times New Roman" w:eastAsia="方正仿宋_GBK" w:cs="宋体" w:hAnsi="Times New Roman" w:hint="eastAsia"/>
          <w:vanish w:val="0"/>
          <w:szCs w:val="32"/>
        </w:rPr>
        <w:t>月</w:t>
      </w:r>
      <w:r>
        <w:rPr>
          <w:rFonts w:ascii="Times New Roman" w:cs="宋体" w:hAnsi="Times New Roman"/>
          <w:vanish w:val="0"/>
          <w:szCs w:val="32"/>
        </w:rPr>
        <w:t>1</w:t>
      </w:r>
      <w:r>
        <w:rPr>
          <w:rFonts w:ascii="Times New Roman" w:eastAsia="方正仿宋_GBK" w:cs="宋体" w:hAnsi="Times New Roman" w:hint="eastAsia"/>
          <w:vanish w:val="0"/>
          <w:szCs w:val="32"/>
        </w:rPr>
        <w:t>日起施行。</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　　</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r>
        <w:rPr>
          <w:rFonts w:ascii="Times New Roman" w:eastAsia="方正仿宋_GBK" w:cs="宋体" w:hAnsi="Times New Roman" w:hint="eastAsia"/>
          <w:vanish w:val="0"/>
          <w:szCs w:val="32"/>
        </w:rPr>
        <w:t>附件：税款计核证明书</w:t>
      </w:r>
    </w:p>
    <w:p>
      <w:pPr>
        <w:pStyle w:val="212"/>
        <w:pBdr>
          <w:top w:val="none" w:sz="0" w:space="0" w:color="auto"/>
          <w:left w:val="none" w:sz="0" w:space="0" w:color="auto"/>
          <w:bottom w:val="none" w:sz="0" w:space="0" w:color="auto"/>
          <w:right w:val="none" w:sz="0" w:space="0" w:color="auto"/>
        </w:pBdr>
        <w:rPr>
          <w:rFonts w:ascii="Times New Roman" w:cs="宋体" w:hAnsi="Times New Roman"/>
          <w:vanish w:val="0"/>
          <w:szCs w:val="32"/>
        </w:rPr>
      </w:pPr>
    </w:p>
    <w:p>
      <w:pPr>
        <w:pStyle w:val="212"/>
        <w:ind w:left="0" w:firstLineChars="0" w:firstLine="0"/>
        <w:rPr>
          <w:rFonts w:ascii="方正黑体_GBK" w:eastAsia="方正黑体_GBK"/>
        </w:rPr>
        <w:sectPr>
          <w:pgSz w:w="11907" w:h="16840"/>
          <w:pgMar w:top="2041" w:right="1531" w:bottom="2041" w:left="1531" w:header="851" w:footer="992" w:gutter="0"/>
          <w:docGrid w:type="lines" w:linePitch="312" w:charSpace="-6553"/>
        </w:sectPr>
      </w:pPr>
      <w:bookmarkEnd w:id="0"/>
    </w:p>
    <w:p>
      <w:pPr>
        <w:pStyle w:val="369"/>
        <w:rPr>
          <w:rFonts w:ascii="方正黑体_GBK" w:eastAsia="方正黑体_GBK" w:hint="eastAsia"/>
          <w:sz w:val="32"/>
          <w:szCs w:val="32"/>
        </w:rPr>
      </w:pPr>
      <w:r>
        <w:rPr>
          <w:rFonts w:ascii="方正黑体_GBK" w:eastAsia="方正黑体_GBK" w:hint="eastAsia"/>
          <w:sz w:val="32"/>
          <w:szCs w:val="32"/>
        </w:rPr>
        <w:t>附件</w:t>
      </w:r>
    </w:p>
    <w:p>
      <w:pPr>
        <w:pStyle w:val="369"/>
        <w:spacing w:line="480" w:lineRule="exact"/>
        <w:jc w:val="center"/>
        <w:rPr>
          <w:rFonts w:ascii="方正小标宋_GBK" w:eastAsia="方正小标宋_GBK" w:hint="eastAsia"/>
          <w:sz w:val="36"/>
          <w:szCs w:val="36"/>
        </w:rPr>
      </w:pPr>
      <w:r>
        <w:rPr>
          <w:rFonts w:ascii="方正小标宋_GBK" w:eastAsia="方正小标宋_GBK" w:hint="eastAsia"/>
          <w:sz w:val="36"/>
          <w:szCs w:val="36"/>
        </w:rPr>
        <w:t>中华人民共和国海关办理违反海关监管规定案件</w:t>
      </w:r>
    </w:p>
    <w:p>
      <w:pPr>
        <w:pStyle w:val="369"/>
        <w:spacing w:line="480" w:lineRule="exact"/>
        <w:jc w:val="center"/>
        <w:rPr>
          <w:rFonts w:ascii="方正小标宋_GBK" w:eastAsia="方正小标宋_GBK" w:hint="eastAsia"/>
          <w:sz w:val="36"/>
          <w:szCs w:val="36"/>
        </w:rPr>
      </w:pPr>
      <w:r>
        <w:rPr>
          <w:rFonts w:ascii="方正小标宋_GBK" w:eastAsia="方正小标宋_GBK" w:hint="eastAsia"/>
          <w:sz w:val="36"/>
          <w:szCs w:val="36"/>
        </w:rPr>
        <w:t>货物、物品税款计核证明书</w:t>
      </w:r>
    </w:p>
    <w:p>
      <w:pPr>
        <w:pStyle w:val="369"/>
        <w:widowControl/>
        <w:spacing w:before="100" w:beforeAutospacing="1" w:after="100" w:afterAutospacing="1"/>
        <w:jc w:val="right"/>
        <w:rPr>
          <w:rFonts w:eastAsia="方正仿宋_GBK" w:hint="eastAsia"/>
          <w:color w:val="000000"/>
          <w:sz w:val="32"/>
          <w:szCs w:val="32"/>
        </w:rPr>
      </w:pPr>
      <w:r>
        <w:rPr>
          <w:rFonts w:eastAsia="方正仿宋_GBK" w:hint="eastAsia"/>
          <w:color w:val="000000"/>
          <w:sz w:val="32"/>
          <w:szCs w:val="32"/>
        </w:rPr>
        <w:t>XX关计核字20XX年第XX 号</w:t>
      </w:r>
    </w:p>
    <w:tbl>
      <w:tblPr>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Pr>
      <w:tblGrid>
        <w:gridCol w:w="1373"/>
        <w:gridCol w:w="6921"/>
      </w:tblGrid>
      <w:tr>
        <w:trPr>
          <w:trHeight w:val="1348"/>
        </w:trPr>
        <w:tc>
          <w:tcPr>
            <w:tcW w:w="1343" w:type="dxa"/>
            <w:tcBorders>
              <w:top w:val="outset" w:sz="6" w:space="0" w:color="auto"/>
              <w:left w:val="outset" w:sz="6" w:space="0" w:color="auto"/>
              <w:bottom w:val="outset" w:sz="6" w:space="0" w:color="auto"/>
              <w:right w:val="outset" w:sz="6" w:space="0" w:color="auto"/>
              <w:tl2br w:val="nil"/>
              <w:tr2bl w:val="nil"/>
            </w:tcBorders>
            <w:vAlign w:val="center"/>
          </w:tcPr>
          <w:p>
            <w:pPr>
              <w:pStyle w:val="369"/>
              <w:widowControl/>
              <w:adjustRightInd w:val="0"/>
              <w:snapToGrid w:val="0"/>
              <w:jc w:val="center"/>
              <w:rPr>
                <w:rFonts w:ascii="方正仿宋_GBK" w:eastAsia="方正仿宋_GBK" w:cs="宋体" w:hint="eastAsia"/>
                <w:kern w:val="0"/>
                <w:sz w:val="28"/>
                <w:szCs w:val="28"/>
              </w:rPr>
            </w:pPr>
            <w:r>
              <w:rPr>
                <w:rFonts w:ascii="方正仿宋_GBK" w:eastAsia="方正仿宋_GBK" w:cs="宋体" w:hint="eastAsia"/>
                <w:kern w:val="0"/>
                <w:sz w:val="28"/>
                <w:szCs w:val="28"/>
              </w:rPr>
              <w:t>计</w:t>
            </w:r>
          </w:p>
          <w:p>
            <w:pPr>
              <w:pStyle w:val="369"/>
              <w:widowControl/>
              <w:adjustRightInd w:val="0"/>
              <w:snapToGrid w:val="0"/>
              <w:jc w:val="center"/>
              <w:rPr>
                <w:rFonts w:ascii="方正仿宋_GBK" w:eastAsia="方正仿宋_GBK" w:cs="宋体" w:hint="eastAsia"/>
                <w:kern w:val="0"/>
                <w:sz w:val="28"/>
                <w:szCs w:val="28"/>
              </w:rPr>
            </w:pPr>
            <w:r>
              <w:rPr>
                <w:rFonts w:ascii="方正仿宋_GBK" w:eastAsia="方正仿宋_GBK" w:cs="宋体" w:hint="eastAsia"/>
                <w:kern w:val="0"/>
                <w:sz w:val="28"/>
                <w:szCs w:val="28"/>
              </w:rPr>
              <w:t>核</w:t>
            </w:r>
          </w:p>
          <w:p>
            <w:pPr>
              <w:pStyle w:val="369"/>
              <w:widowControl/>
              <w:adjustRightInd w:val="0"/>
              <w:snapToGrid w:val="0"/>
              <w:jc w:val="center"/>
              <w:rPr>
                <w:rFonts w:ascii="方正仿宋_GBK" w:eastAsia="方正仿宋_GBK" w:cs="宋体" w:hint="eastAsia"/>
                <w:kern w:val="0"/>
                <w:sz w:val="28"/>
                <w:szCs w:val="28"/>
              </w:rPr>
            </w:pPr>
            <w:r>
              <w:rPr>
                <w:rFonts w:ascii="方正仿宋_GBK" w:eastAsia="方正仿宋_GBK" w:cs="宋体" w:hint="eastAsia"/>
                <w:kern w:val="0"/>
                <w:sz w:val="28"/>
                <w:szCs w:val="28"/>
              </w:rPr>
              <w:t>事</w:t>
            </w:r>
          </w:p>
          <w:p>
            <w:pPr>
              <w:pStyle w:val="369"/>
              <w:widowControl/>
              <w:adjustRightInd w:val="0"/>
              <w:snapToGrid w:val="0"/>
              <w:jc w:val="center"/>
              <w:rPr>
                <w:rFonts w:ascii="方正仿宋_GBK" w:eastAsia="方正仿宋_GBK" w:cs="宋体" w:hint="eastAsia"/>
                <w:kern w:val="0"/>
                <w:sz w:val="28"/>
                <w:szCs w:val="28"/>
              </w:rPr>
            </w:pPr>
            <w:r>
              <w:rPr>
                <w:rFonts w:ascii="方正仿宋_GBK" w:eastAsia="方正仿宋_GBK" w:cs="宋体" w:hint="eastAsia"/>
                <w:kern w:val="0"/>
                <w:sz w:val="28"/>
                <w:szCs w:val="28"/>
              </w:rPr>
              <w:t>项</w:t>
            </w:r>
          </w:p>
        </w:tc>
        <w:tc>
          <w:tcPr>
            <w:tcW w:w="6891" w:type="dxa"/>
            <w:tcBorders>
              <w:top w:val="outset" w:sz="6" w:space="0" w:color="auto"/>
              <w:left w:val="outset" w:sz="6" w:space="0" w:color="auto"/>
              <w:bottom w:val="outset" w:sz="6" w:space="0" w:color="auto"/>
              <w:right w:val="outset" w:sz="6" w:space="0" w:color="auto"/>
              <w:tl2br w:val="nil"/>
              <w:tr2bl w:val="nil"/>
            </w:tcBorders>
            <w:vAlign w:val="center"/>
          </w:tcPr>
          <w:p>
            <w:pPr>
              <w:pStyle w:val="369"/>
              <w:widowControl/>
              <w:adjustRightInd w:val="0"/>
              <w:snapToGrid w:val="0"/>
              <w:jc w:val="left"/>
              <w:rPr>
                <w:rFonts w:ascii="宋体" w:eastAsia="方正仿宋_GBK" w:cs="宋体" w:hAnsi="宋体" w:hint="eastAsia"/>
                <w:kern w:val="0"/>
                <w:sz w:val="28"/>
                <w:szCs w:val="28"/>
              </w:rPr>
            </w:pPr>
            <w:r>
              <w:rPr>
                <w:rFonts w:ascii="宋体" w:eastAsia="方正仿宋_GBK" w:cs="宋体" w:hAnsi="宋体" w:hint="eastAsia"/>
                <w:kern w:val="0"/>
                <w:sz w:val="28"/>
                <w:szCs w:val="28"/>
              </w:rPr>
              <w:t> 计核涉案货物、物品税款</w:t>
            </w:r>
          </w:p>
        </w:tc>
      </w:tr>
      <w:tr>
        <w:trPr>
          <w:trHeight w:val="2918"/>
        </w:trPr>
        <w:tc>
          <w:tcPr>
            <w:tcW w:w="1343" w:type="dxa"/>
            <w:tcBorders>
              <w:top w:val="outset" w:sz="6" w:space="0" w:color="auto"/>
              <w:left w:val="outset" w:sz="6" w:space="0" w:color="auto"/>
              <w:bottom w:val="outset" w:sz="6" w:space="0" w:color="auto"/>
              <w:right w:val="outset" w:sz="6" w:space="0" w:color="auto"/>
              <w:tl2br w:val="nil"/>
              <w:tr2bl w:val="nil"/>
            </w:tcBorders>
            <w:vAlign w:val="center"/>
          </w:tcPr>
          <w:p>
            <w:pPr>
              <w:pStyle w:val="369"/>
              <w:widowControl/>
              <w:adjustRightInd w:val="0"/>
              <w:snapToGrid w:val="0"/>
              <w:jc w:val="center"/>
              <w:rPr>
                <w:rFonts w:ascii="方正仿宋_GBK" w:eastAsia="方正仿宋_GBK" w:cs="宋体" w:hint="eastAsia"/>
                <w:kern w:val="0"/>
                <w:sz w:val="28"/>
                <w:szCs w:val="28"/>
              </w:rPr>
            </w:pPr>
            <w:r>
              <w:rPr>
                <w:rFonts w:ascii="方正仿宋_GBK" w:eastAsia="方正仿宋_GBK" w:cs="宋体" w:hint="eastAsia"/>
                <w:kern w:val="0"/>
                <w:sz w:val="28"/>
                <w:szCs w:val="28"/>
              </w:rPr>
              <w:t>计核</w:t>
              <w:br/>
              <w:t>依据</w:t>
              <w:br/>
              <w:t>和计核方</w:t>
              <w:br/>
              <w:t>法</w:t>
            </w:r>
          </w:p>
        </w:tc>
        <w:tc>
          <w:tcPr>
            <w:tcW w:w="6891" w:type="dxa"/>
            <w:tcBorders>
              <w:top w:val="outset" w:sz="6" w:space="0" w:color="auto"/>
              <w:left w:val="outset" w:sz="6" w:space="0" w:color="auto"/>
              <w:bottom w:val="outset" w:sz="6" w:space="0" w:color="auto"/>
              <w:right w:val="outset" w:sz="6" w:space="0" w:color="auto"/>
              <w:tl2br w:val="nil"/>
              <w:tr2bl w:val="nil"/>
            </w:tcBorders>
          </w:tcPr>
          <w:p>
            <w:pPr>
              <w:pStyle w:val="369"/>
              <w:widowControl/>
              <w:adjustRightInd w:val="0"/>
              <w:snapToGrid w:val="0"/>
              <w:rPr>
                <w:rFonts w:ascii="方正仿宋_GBK" w:eastAsia="方正仿宋_GBK" w:cs="宋体" w:hint="eastAsia"/>
                <w:kern w:val="0"/>
                <w:sz w:val="28"/>
                <w:szCs w:val="28"/>
              </w:rPr>
            </w:pPr>
          </w:p>
        </w:tc>
      </w:tr>
      <w:tr>
        <w:trPr>
          <w:trHeight w:val="1621"/>
        </w:trPr>
        <w:tc>
          <w:tcPr>
            <w:tcW w:w="1343" w:type="dxa"/>
            <w:tcBorders>
              <w:top w:val="outset" w:sz="6" w:space="0" w:color="auto"/>
              <w:left w:val="outset" w:sz="6" w:space="0" w:color="auto"/>
              <w:bottom w:val="outset" w:sz="6" w:space="0" w:color="auto"/>
              <w:right w:val="outset" w:sz="6" w:space="0" w:color="auto"/>
              <w:tl2br w:val="nil"/>
              <w:tr2bl w:val="nil"/>
            </w:tcBorders>
            <w:vAlign w:val="center"/>
          </w:tcPr>
          <w:p>
            <w:pPr>
              <w:pStyle w:val="369"/>
              <w:widowControl/>
              <w:adjustRightInd w:val="0"/>
              <w:snapToGrid w:val="0"/>
              <w:jc w:val="center"/>
              <w:rPr>
                <w:rFonts w:ascii="方正仿宋_GBK" w:eastAsia="方正仿宋_GBK" w:cs="宋体" w:hint="eastAsia"/>
                <w:kern w:val="0"/>
                <w:sz w:val="28"/>
                <w:szCs w:val="28"/>
              </w:rPr>
            </w:pPr>
            <w:r>
              <w:rPr>
                <w:rFonts w:ascii="方正仿宋_GBK" w:eastAsia="方正仿宋_GBK" w:cs="宋体" w:hint="eastAsia"/>
                <w:kern w:val="0"/>
                <w:sz w:val="28"/>
                <w:szCs w:val="28"/>
              </w:rPr>
              <w:t>计</w:t>
            </w:r>
          </w:p>
          <w:p>
            <w:pPr>
              <w:pStyle w:val="369"/>
              <w:widowControl/>
              <w:adjustRightInd w:val="0"/>
              <w:snapToGrid w:val="0"/>
              <w:jc w:val="center"/>
              <w:rPr>
                <w:rFonts w:ascii="方正仿宋_GBK" w:eastAsia="方正仿宋_GBK" w:cs="宋体" w:hint="eastAsia"/>
                <w:kern w:val="0"/>
                <w:sz w:val="28"/>
                <w:szCs w:val="28"/>
              </w:rPr>
            </w:pPr>
            <w:r>
              <w:rPr>
                <w:rFonts w:ascii="方正仿宋_GBK" w:eastAsia="方正仿宋_GBK" w:cs="宋体" w:hint="eastAsia"/>
                <w:kern w:val="0"/>
                <w:sz w:val="28"/>
                <w:szCs w:val="28"/>
              </w:rPr>
              <w:t>核</w:t>
            </w:r>
          </w:p>
          <w:p>
            <w:pPr>
              <w:pStyle w:val="369"/>
              <w:widowControl/>
              <w:adjustRightInd w:val="0"/>
              <w:snapToGrid w:val="0"/>
              <w:jc w:val="center"/>
              <w:rPr>
                <w:rFonts w:ascii="方正仿宋_GBK" w:eastAsia="方正仿宋_GBK" w:cs="宋体" w:hint="eastAsia"/>
                <w:kern w:val="0"/>
                <w:sz w:val="28"/>
                <w:szCs w:val="28"/>
              </w:rPr>
            </w:pPr>
            <w:r>
              <w:rPr>
                <w:rFonts w:ascii="方正仿宋_GBK" w:eastAsia="方正仿宋_GBK" w:cs="宋体" w:hint="eastAsia"/>
                <w:kern w:val="0"/>
                <w:sz w:val="28"/>
                <w:szCs w:val="28"/>
              </w:rPr>
              <w:t>结</w:t>
            </w:r>
          </w:p>
          <w:p>
            <w:pPr>
              <w:pStyle w:val="369"/>
              <w:widowControl/>
              <w:adjustRightInd w:val="0"/>
              <w:snapToGrid w:val="0"/>
              <w:jc w:val="center"/>
              <w:rPr>
                <w:rFonts w:ascii="方正仿宋_GBK" w:eastAsia="方正仿宋_GBK" w:cs="宋体" w:hint="eastAsia"/>
                <w:kern w:val="0"/>
                <w:sz w:val="28"/>
                <w:szCs w:val="28"/>
              </w:rPr>
            </w:pPr>
            <w:r>
              <w:rPr>
                <w:rFonts w:ascii="方正仿宋_GBK" w:eastAsia="方正仿宋_GBK" w:cs="宋体" w:hint="eastAsia"/>
                <w:kern w:val="0"/>
                <w:sz w:val="28"/>
                <w:szCs w:val="28"/>
              </w:rPr>
              <w:t>论</w:t>
            </w:r>
          </w:p>
        </w:tc>
        <w:tc>
          <w:tcPr>
            <w:tcW w:w="6891" w:type="dxa"/>
            <w:tcBorders>
              <w:top w:val="outset" w:sz="6" w:space="0" w:color="auto"/>
              <w:left w:val="outset" w:sz="6" w:space="0" w:color="auto"/>
              <w:bottom w:val="outset" w:sz="6" w:space="0" w:color="auto"/>
              <w:right w:val="outset" w:sz="6" w:space="0" w:color="auto"/>
              <w:tl2br w:val="nil"/>
              <w:tr2bl w:val="nil"/>
            </w:tcBorders>
            <w:vAlign w:val="center"/>
          </w:tcPr>
          <w:p>
            <w:pPr>
              <w:pStyle w:val="369"/>
              <w:widowControl/>
              <w:adjustRightInd w:val="0"/>
              <w:snapToGrid w:val="0"/>
              <w:ind w:firstLine="555"/>
              <w:jc w:val="left"/>
              <w:rPr>
                <w:rFonts w:ascii="方正仿宋_GBK" w:eastAsia="方正仿宋_GBK" w:cs="宋体" w:hint="eastAsia"/>
                <w:kern w:val="0"/>
                <w:sz w:val="28"/>
                <w:szCs w:val="28"/>
              </w:rPr>
            </w:pPr>
            <w:r>
              <w:rPr>
                <w:rFonts w:ascii="方正仿宋_GBK" w:eastAsia="方正仿宋_GBK" w:cs="宋体" w:hint="eastAsia"/>
                <w:kern w:val="0"/>
                <w:sz w:val="28"/>
                <w:szCs w:val="28"/>
              </w:rPr>
              <w:t>经核定，________________一案，涉案货物、物品</w:t>
            </w:r>
          </w:p>
          <w:p>
            <w:pPr>
              <w:pStyle w:val="369"/>
              <w:widowControl/>
              <w:adjustRightInd w:val="0"/>
              <w:snapToGrid w:val="0"/>
              <w:ind w:firstLine="555"/>
              <w:jc w:val="left"/>
              <w:rPr>
                <w:rFonts w:ascii="方正仿宋_GBK" w:eastAsia="方正仿宋_GBK" w:cs="宋体" w:hint="eastAsia"/>
                <w:kern w:val="0"/>
                <w:sz w:val="28"/>
                <w:szCs w:val="28"/>
              </w:rPr>
            </w:pPr>
            <w:r>
              <w:rPr>
                <w:rFonts w:ascii="方正仿宋_GBK" w:eastAsia="方正仿宋_GBK" w:cs="宋体" w:hint="eastAsia"/>
                <w:kern w:val="0"/>
                <w:sz w:val="28"/>
                <w:szCs w:val="28"/>
              </w:rPr>
              <w:t>计税价格共计人民币______________元；</w:t>
            </w:r>
          </w:p>
          <w:p>
            <w:pPr>
              <w:pStyle w:val="369"/>
              <w:widowControl/>
              <w:adjustRightInd w:val="0"/>
              <w:snapToGrid w:val="0"/>
              <w:ind w:firstLine="555"/>
              <w:jc w:val="left"/>
              <w:rPr>
                <w:rFonts w:ascii="方正仿宋_GBK" w:eastAsia="方正仿宋_GBK" w:cs="宋体" w:hint="eastAsia"/>
                <w:kern w:val="0"/>
                <w:sz w:val="28"/>
                <w:szCs w:val="28"/>
              </w:rPr>
            </w:pPr>
            <w:r>
              <w:rPr>
                <w:rFonts w:ascii="方正仿宋_GBK" w:eastAsia="方正仿宋_GBK" w:cs="宋体" w:hint="eastAsia"/>
                <w:kern w:val="0"/>
                <w:sz w:val="28"/>
                <w:szCs w:val="28"/>
              </w:rPr>
              <w:t>应纳税款共计人民币______________元；</w:t>
            </w:r>
          </w:p>
          <w:p>
            <w:pPr>
              <w:pStyle w:val="369"/>
              <w:widowControl/>
              <w:adjustRightInd w:val="0"/>
              <w:snapToGrid w:val="0"/>
              <w:ind w:firstLineChars="200" w:firstLine="560"/>
              <w:jc w:val="left"/>
              <w:rPr>
                <w:rFonts w:ascii="方正仿宋_GBK" w:eastAsia="方正仿宋_GBK" w:cs="宋体" w:hint="eastAsia"/>
                <w:kern w:val="0"/>
                <w:sz w:val="28"/>
                <w:szCs w:val="28"/>
              </w:rPr>
            </w:pPr>
            <w:r>
              <w:rPr>
                <w:rFonts w:ascii="方正仿宋_GBK" w:eastAsia="方正仿宋_GBK" w:cs="宋体" w:hint="eastAsia"/>
                <w:kern w:val="0"/>
                <w:sz w:val="28"/>
                <w:szCs w:val="28"/>
              </w:rPr>
              <w:t>漏缴税款共计人民币______________元。</w:t>
            </w:r>
          </w:p>
        </w:tc>
      </w:tr>
      <w:tr>
        <w:trPr>
          <w:trHeight w:val="2552"/>
        </w:trPr>
        <w:tc>
          <w:tcPr>
            <w:tcW w:w="8264" w:type="dxa"/>
            <w:gridSpan w:val="2"/>
            <w:tcBorders>
              <w:top w:val="outset" w:sz="6" w:space="0" w:color="auto"/>
              <w:left w:val="outset" w:sz="6" w:space="0" w:color="auto"/>
              <w:bottom w:val="outset" w:sz="6" w:space="0" w:color="auto"/>
              <w:right w:val="outset" w:sz="6" w:space="0" w:color="auto"/>
              <w:tl2br w:val="nil"/>
              <w:tr2bl w:val="nil"/>
            </w:tcBorders>
            <w:vAlign w:val="center"/>
          </w:tcPr>
          <w:tbl>
            <w:tblPr>
              <w:jc w:val="left"/>
              <w:tblInd w:w="0" w:type="dxa"/>
              <w:tblW w:w="5000" w:type="pct"/>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1884"/>
              <w:gridCol w:w="1649"/>
              <w:gridCol w:w="2417"/>
              <w:gridCol w:w="2181"/>
            </w:tblGrid>
            <w:tr>
              <w:trPr>
                <w:trHeight w:val="600"/>
              </w:trPr>
              <w:tc>
                <w:tcPr>
                  <w:tcW w:w="1136" w:type="pct"/>
                  <w:tcBorders>
                    <w:top w:val="nil"/>
                    <w:left w:val="nil"/>
                    <w:bottom w:val="nil"/>
                    <w:right w:val="nil"/>
                    <w:tl2br w:val="nil"/>
                    <w:tr2bl w:val="nil"/>
                  </w:tcBorders>
                  <w:vAlign w:val="center"/>
                </w:tcPr>
                <w:p>
                  <w:pPr>
                    <w:pStyle w:val="369"/>
                    <w:widowControl/>
                    <w:adjustRightInd w:val="0"/>
                    <w:snapToGrid w:val="0"/>
                    <w:jc w:val="left"/>
                    <w:rPr>
                      <w:rFonts w:ascii="方正仿宋_GBK" w:eastAsia="方正仿宋_GBK" w:cs="宋体"/>
                      <w:kern w:val="0"/>
                      <w:sz w:val="28"/>
                      <w:szCs w:val="28"/>
                    </w:rPr>
                  </w:pPr>
                  <w:r>
                    <w:rPr>
                      <w:rFonts w:ascii="方正仿宋_GBK" w:eastAsia="方正仿宋_GBK" w:cs="宋体" w:hint="eastAsia"/>
                      <w:kern w:val="0"/>
                      <w:sz w:val="28"/>
                      <w:szCs w:val="28"/>
                    </w:rPr>
                    <w:t>计核人员</w:t>
                  </w:r>
                </w:p>
                <w:p>
                  <w:pPr>
                    <w:pStyle w:val="369"/>
                    <w:widowControl/>
                    <w:adjustRightInd w:val="0"/>
                    <w:snapToGrid w:val="0"/>
                    <w:jc w:val="left"/>
                    <w:rPr>
                      <w:rFonts w:ascii="方正仿宋_GBK" w:eastAsia="方正仿宋_GBK" w:cs="宋体" w:hint="eastAsia"/>
                      <w:kern w:val="0"/>
                      <w:sz w:val="28"/>
                      <w:szCs w:val="28"/>
                    </w:rPr>
                  </w:pPr>
                  <w:r>
                    <w:rPr>
                      <w:rFonts w:ascii="方正仿宋_GBK" w:eastAsia="方正仿宋_GBK" w:cs="宋体" w:hint="eastAsia"/>
                      <w:kern w:val="0"/>
                      <w:sz w:val="28"/>
                      <w:szCs w:val="28"/>
                    </w:rPr>
                    <w:t>签名：</w:t>
                  </w:r>
                </w:p>
              </w:tc>
              <w:tc>
                <w:tcPr>
                  <w:tcW w:w="992" w:type="pct"/>
                  <w:tcBorders>
                    <w:top w:val="nil"/>
                    <w:left w:val="nil"/>
                    <w:bottom w:val="nil"/>
                    <w:right w:val="nil"/>
                    <w:tl2br w:val="nil"/>
                    <w:tr2bl w:val="nil"/>
                  </w:tcBorders>
                  <w:vAlign w:val="bottom"/>
                </w:tcPr>
                <w:p>
                  <w:pPr>
                    <w:pStyle w:val="369"/>
                    <w:widowControl/>
                    <w:adjustRightInd w:val="0"/>
                    <w:snapToGrid w:val="0"/>
                    <w:jc w:val="center"/>
                    <w:rPr>
                      <w:rFonts w:ascii="方正仿宋_GBK" w:eastAsia="方正仿宋_GBK" w:cs="宋体" w:hint="eastAsia"/>
                      <w:kern w:val="0"/>
                      <w:sz w:val="28"/>
                      <w:szCs w:val="28"/>
                    </w:rPr>
                  </w:pPr>
                  <w:r>
                    <w:rPr>
                      <w:rFonts w:ascii="方正仿宋_GBK" w:eastAsia="方正仿宋_GBK" w:cs="宋体" w:hint="eastAsia"/>
                      <w:kern w:val="0"/>
                      <w:sz w:val="28"/>
                      <w:szCs w:val="28"/>
                    </w:rPr>
                    <mc:AlternateContent>
                      <mc:Choice Requires="wps">
                        <w:drawing>
                          <wp:inline distT="0" distB="0" distL="114298" distR="114298">
                            <wp:extent cx="1014730" cy="9524"/>
                            <wp:effectExtent l="0" t="0" r="0" b="0"/>
                            <wp:docPr id="1" name="矩形 2 2"/>
                            <wp:cNvGraphicFramePr>
                              <a:graphicFrameLocks noChangeAspect="0"/>
                            </wp:cNvGraphicFramePr>
                            <a:graphic>
                              <a:graphicData uri="http://schemas.microsoft.com/office/word/2010/wordprocessingShape">
                                <wps:wsp>
                                  <wps:cNvSpPr/>
                                  <wps:spPr>
                                    <a:xfrm rot="0">
                                      <a:off x="0" y="0"/>
                                      <a:ext cx="1014730" cy="9524"/>
                                    </a:xfrm>
                                    <a:prstGeom prst="rect"/>
                                    <a:solidFill>
                                      <a:srgbClr val="000000"/>
                                    </a:solidFill>
                                    <a:ln w="9525" cmpd="sng" cap="flat">
                                      <a:noFill/>
                                      <a:prstDash val="solid"/>
                                      <a:miter/>
                                    </a:ln>
                                  </wps:spPr>
                                  <wps:bodyPr vert="horz" wrap="square" lIns="91440" tIns="45720" rIns="91440" bIns="45720" anchor="t" anchorCtr="0" upright="1">
                                    <a:noAutofit/>
                                  </wps:bodyPr>
                                </wps:wsp>
                              </a:graphicData>
                            </a:graphic>
                          </wp:inline>
                        </w:drawing>
                      </mc:Choice>
                      <mc:Fallback>
                        <w:pict>
                          <v:rect type="#_x0000_t1" id="矩形 2 2 2" o:spid="_x0000_s2" fillcolor="#000000" stroked="f" style="width:79.90002pt;height:0.74998856pt;">
                            <v:stroke color="#000000"/>
                            <w10:anchorLock/>
                          </v:rect>
                        </w:pict>
                      </mc:Fallback>
                    </mc:AlternateContent>
                  </w:r>
                </w:p>
              </w:tc>
              <w:tc>
                <w:tcPr>
                  <w:tcW w:w="1463" w:type="pct"/>
                  <w:tcBorders>
                    <w:top w:val="nil"/>
                    <w:left w:val="nil"/>
                    <w:bottom w:val="nil"/>
                    <w:right w:val="nil"/>
                    <w:tl2br w:val="nil"/>
                    <w:tr2bl w:val="nil"/>
                  </w:tcBorders>
                  <w:vAlign w:val="center"/>
                </w:tcPr>
                <w:p>
                  <w:pPr>
                    <w:pStyle w:val="369"/>
                    <w:widowControl/>
                    <w:adjustRightInd w:val="0"/>
                    <w:snapToGrid w:val="0"/>
                    <w:ind w:firstLineChars="50" w:firstLine="140"/>
                    <w:jc w:val="left"/>
                    <w:rPr>
                      <w:rFonts w:ascii="方正仿宋_GBK" w:eastAsia="方正仿宋_GBK" w:cs="宋体" w:hint="eastAsia"/>
                      <w:kern w:val="0"/>
                      <w:sz w:val="28"/>
                      <w:szCs w:val="28"/>
                    </w:rPr>
                  </w:pPr>
                  <w:r>
                    <w:rPr>
                      <w:rFonts w:ascii="方正仿宋_GBK" w:eastAsia="方正仿宋_GBK" w:cs="宋体" w:hint="eastAsia"/>
                      <w:kern w:val="0"/>
                      <w:sz w:val="28"/>
                      <w:szCs w:val="28"/>
                    </w:rPr>
                    <w:t>计核单位（部门）：</w:t>
                  </w:r>
                </w:p>
              </w:tc>
              <w:tc>
                <w:tcPr>
                  <w:tcW w:w="1318" w:type="pct"/>
                  <w:tcBorders>
                    <w:top w:val="nil"/>
                    <w:left w:val="nil"/>
                    <w:bottom w:val="nil"/>
                    <w:right w:val="nil"/>
                    <w:tl2br w:val="nil"/>
                    <w:tr2bl w:val="nil"/>
                  </w:tcBorders>
                  <w:vAlign w:val="bottom"/>
                </w:tcPr>
                <w:p>
                  <w:pPr>
                    <w:pStyle w:val="369"/>
                    <w:widowControl/>
                    <w:adjustRightInd w:val="0"/>
                    <w:snapToGrid w:val="0"/>
                    <w:jc w:val="center"/>
                    <w:rPr>
                      <w:rFonts w:ascii="方正仿宋_GBK" w:eastAsia="方正仿宋_GBK" w:cs="宋体" w:hint="eastAsia"/>
                      <w:kern w:val="0"/>
                      <w:sz w:val="28"/>
                      <w:szCs w:val="28"/>
                    </w:rPr>
                  </w:pPr>
                  <w:r>
                    <w:rPr>
                      <w:rFonts w:ascii="方正仿宋_GBK" w:eastAsia="方正仿宋_GBK" w:cs="宋体" w:hint="eastAsia"/>
                      <w:kern w:val="0"/>
                      <w:sz w:val="28"/>
                      <w:szCs w:val="28"/>
                    </w:rPr>
                    <mc:AlternateContent>
                      <mc:Choice Requires="wps">
                        <w:drawing>
                          <wp:inline distT="0" distB="0" distL="114298" distR="114298">
                            <wp:extent cx="1382395" cy="9525"/>
                            <wp:effectExtent l="0" t="0" r="0" b="0"/>
                            <wp:docPr id="3" name="矩形 4 4"/>
                            <wp:cNvGraphicFramePr>
                              <a:graphicFrameLocks noChangeAspect="0"/>
                            </wp:cNvGraphicFramePr>
                            <a:graphic>
                              <a:graphicData uri="http://schemas.microsoft.com/office/word/2010/wordprocessingShape">
                                <wps:wsp>
                                  <wps:cNvSpPr/>
                                  <wps:spPr>
                                    <a:xfrm rot="0">
                                      <a:off x="0" y="0"/>
                                      <a:ext cx="1382395" cy="9525"/>
                                    </a:xfrm>
                                    <a:prstGeom prst="rect"/>
                                    <a:solidFill>
                                      <a:srgbClr val="000000"/>
                                    </a:solidFill>
                                    <a:ln w="9525" cmpd="sng" cap="flat">
                                      <a:noFill/>
                                      <a:prstDash val="solid"/>
                                      <a:miter/>
                                    </a:ln>
                                  </wps:spPr>
                                  <wps:bodyPr vert="horz" wrap="square" lIns="91440" tIns="45720" rIns="91440" bIns="45720" anchor="t" anchorCtr="0" upright="1">
                                    <a:noAutofit/>
                                  </wps:bodyPr>
                                </wps:wsp>
                              </a:graphicData>
                            </a:graphic>
                          </wp:inline>
                        </w:drawing>
                      </mc:Choice>
                      <mc:Fallback>
                        <w:pict>
                          <v:rect type="#_x0000_t1" id="矩形 4 4 4" o:spid="_x0000_s4" fillcolor="#000000" stroked="f" style="width:108.85001pt;height:0.75pt;">
                            <v:stroke color="#000000"/>
                            <w10:anchorLock/>
                          </v:rect>
                        </w:pict>
                      </mc:Fallback>
                    </mc:AlternateContent>
                  </w:r>
                </w:p>
              </w:tc>
            </w:tr>
            <w:tr>
              <w:trPr>
                <w:trHeight w:val="522"/>
              </w:trPr>
              <w:tc>
                <w:tcPr>
                  <w:tcW w:w="1136" w:type="pct"/>
                  <w:tcBorders>
                    <w:top w:val="nil"/>
                    <w:left w:val="nil"/>
                    <w:bottom w:val="nil"/>
                    <w:right w:val="nil"/>
                    <w:tl2br w:val="nil"/>
                    <w:tr2bl w:val="nil"/>
                  </w:tcBorders>
                  <w:vAlign w:val="center"/>
                </w:tcPr>
                <w:p>
                  <w:pPr>
                    <w:pStyle w:val="369"/>
                    <w:widowControl/>
                    <w:adjustRightInd w:val="0"/>
                    <w:snapToGrid w:val="0"/>
                    <w:jc w:val="left"/>
                    <w:rPr>
                      <w:rFonts w:ascii="方正仿宋_GBK" w:eastAsia="方正仿宋_GBK" w:cs="宋体" w:hint="eastAsia"/>
                      <w:kern w:val="0"/>
                      <w:sz w:val="28"/>
                      <w:szCs w:val="28"/>
                    </w:rPr>
                  </w:pPr>
                </w:p>
              </w:tc>
              <w:tc>
                <w:tcPr>
                  <w:tcW w:w="992" w:type="pct"/>
                  <w:tcBorders>
                    <w:top w:val="nil"/>
                    <w:left w:val="nil"/>
                    <w:bottom w:val="nil"/>
                    <w:right w:val="nil"/>
                    <w:tl2br w:val="nil"/>
                    <w:tr2bl w:val="nil"/>
                  </w:tcBorders>
                  <w:vAlign w:val="bottom"/>
                </w:tcPr>
                <w:p>
                  <w:pPr>
                    <w:pStyle w:val="369"/>
                    <w:widowControl/>
                    <w:adjustRightInd w:val="0"/>
                    <w:snapToGrid w:val="0"/>
                    <w:jc w:val="center"/>
                    <w:rPr>
                      <w:rFonts w:ascii="方正仿宋_GBK" w:eastAsia="方正仿宋_GBK" w:cs="宋体" w:hint="eastAsia"/>
                      <w:kern w:val="0"/>
                      <w:sz w:val="28"/>
                      <w:szCs w:val="28"/>
                    </w:rPr>
                  </w:pPr>
                  <w:r>
                    <w:rPr>
                      <w:rFonts w:ascii="方正仿宋_GBK" w:eastAsia="方正仿宋_GBK" w:cs="宋体" w:hint="eastAsia"/>
                      <w:kern w:val="0"/>
                      <w:sz w:val="28"/>
                      <w:szCs w:val="28"/>
                    </w:rPr>
                    <mc:AlternateContent>
                      <mc:Choice Requires="wps">
                        <w:drawing>
                          <wp:inline distT="0" distB="0" distL="114298" distR="114298">
                            <wp:extent cx="1014730" cy="9525"/>
                            <wp:effectExtent l="0" t="0" r="0" b="0"/>
                            <wp:docPr id="5" name="矩形 6 6"/>
                            <wp:cNvGraphicFramePr>
                              <a:graphicFrameLocks noChangeAspect="0"/>
                            </wp:cNvGraphicFramePr>
                            <a:graphic>
                              <a:graphicData uri="http://schemas.microsoft.com/office/word/2010/wordprocessingShape">
                                <wps:wsp>
                                  <wps:cNvSpPr/>
                                  <wps:spPr>
                                    <a:xfrm rot="0">
                                      <a:off x="0" y="0"/>
                                      <a:ext cx="1014730" cy="9525"/>
                                    </a:xfrm>
                                    <a:prstGeom prst="rect"/>
                                    <a:solidFill>
                                      <a:srgbClr val="000000"/>
                                    </a:solidFill>
                                    <a:ln w="9525" cmpd="sng" cap="flat">
                                      <a:noFill/>
                                      <a:prstDash val="solid"/>
                                      <a:miter/>
                                    </a:ln>
                                  </wps:spPr>
                                  <wps:bodyPr vert="horz" wrap="square" lIns="91440" tIns="45720" rIns="91440" bIns="45720" anchor="t" anchorCtr="0" upright="1">
                                    <a:noAutofit/>
                                  </wps:bodyPr>
                                </wps:wsp>
                              </a:graphicData>
                            </a:graphic>
                          </wp:inline>
                        </w:drawing>
                      </mc:Choice>
                      <mc:Fallback>
                        <w:pict>
                          <v:rect type="#_x0000_t1" id="矩形 6 6 6" o:spid="_x0000_s6" fillcolor="#000000" stroked="f" style="width:79.90002pt;height:0.75pt;">
                            <v:stroke color="#000000"/>
                            <w10:anchorLock/>
                          </v:rect>
                        </w:pict>
                      </mc:Fallback>
                    </mc:AlternateContent>
                  </w:r>
                </w:p>
              </w:tc>
              <w:tc>
                <w:tcPr>
                  <w:tcW w:w="1463" w:type="pct"/>
                  <w:tcBorders>
                    <w:top w:val="nil"/>
                    <w:left w:val="nil"/>
                    <w:bottom w:val="nil"/>
                    <w:right w:val="nil"/>
                    <w:tl2br w:val="nil"/>
                    <w:tr2bl w:val="nil"/>
                  </w:tcBorders>
                  <w:vAlign w:val="center"/>
                </w:tcPr>
                <w:p>
                  <w:pPr>
                    <w:pStyle w:val="369"/>
                    <w:widowControl/>
                    <w:adjustRightInd w:val="0"/>
                    <w:snapToGrid w:val="0"/>
                    <w:jc w:val="left"/>
                    <w:rPr>
                      <w:rFonts w:ascii="方正仿宋_GBK" w:eastAsia="方正仿宋_GBK" w:cs="宋体" w:hint="eastAsia"/>
                      <w:kern w:val="0"/>
                      <w:sz w:val="28"/>
                      <w:szCs w:val="28"/>
                    </w:rPr>
                  </w:pPr>
                </w:p>
              </w:tc>
              <w:tc>
                <w:tcPr>
                  <w:tcW w:w="1318" w:type="pct"/>
                  <w:tcBorders>
                    <w:top w:val="nil"/>
                    <w:left w:val="nil"/>
                    <w:bottom w:val="nil"/>
                    <w:right w:val="nil"/>
                    <w:tl2br w:val="nil"/>
                    <w:tr2bl w:val="nil"/>
                  </w:tcBorders>
                  <w:vAlign w:val="center"/>
                </w:tcPr>
                <w:p>
                  <w:pPr>
                    <w:pStyle w:val="369"/>
                    <w:widowControl/>
                    <w:adjustRightInd w:val="0"/>
                    <w:snapToGrid w:val="0"/>
                    <w:jc w:val="left"/>
                    <w:rPr>
                      <w:rFonts w:ascii="方正仿宋_GBK" w:eastAsia="方正仿宋_GBK" w:cs="宋体" w:hint="eastAsia"/>
                      <w:kern w:val="0"/>
                      <w:sz w:val="28"/>
                      <w:szCs w:val="28"/>
                    </w:rPr>
                  </w:pPr>
                </w:p>
              </w:tc>
            </w:tr>
            <w:tr>
              <w:trPr>
                <w:trHeight w:val="205"/>
              </w:trPr>
              <w:tc>
                <w:tcPr>
                  <w:tcW w:w="1136" w:type="pct"/>
                  <w:tcBorders>
                    <w:top w:val="nil"/>
                    <w:left w:val="nil"/>
                    <w:bottom w:val="nil"/>
                    <w:right w:val="nil"/>
                    <w:tl2br w:val="nil"/>
                    <w:tr2bl w:val="nil"/>
                  </w:tcBorders>
                  <w:vAlign w:val="center"/>
                </w:tcPr>
                <w:p>
                  <w:pPr>
                    <w:pStyle w:val="369"/>
                    <w:widowControl/>
                    <w:adjustRightInd w:val="0"/>
                    <w:snapToGrid w:val="0"/>
                    <w:jc w:val="left"/>
                    <w:rPr>
                      <w:rFonts w:ascii="方正仿宋_GBK" w:eastAsia="方正仿宋_GBK" w:cs="宋体" w:hint="eastAsia"/>
                      <w:kern w:val="0"/>
                      <w:sz w:val="28"/>
                      <w:szCs w:val="28"/>
                    </w:rPr>
                  </w:pPr>
                </w:p>
              </w:tc>
              <w:tc>
                <w:tcPr>
                  <w:tcW w:w="992" w:type="pct"/>
                  <w:tcBorders>
                    <w:top w:val="nil"/>
                    <w:left w:val="nil"/>
                    <w:bottom w:val="nil"/>
                    <w:right w:val="nil"/>
                    <w:tl2br w:val="nil"/>
                    <w:tr2bl w:val="nil"/>
                  </w:tcBorders>
                  <w:vAlign w:val="bottom"/>
                </w:tcPr>
                <w:p>
                  <w:pPr>
                    <w:pStyle w:val="369"/>
                    <w:widowControl/>
                    <w:adjustRightInd w:val="0"/>
                    <w:snapToGrid w:val="0"/>
                    <w:jc w:val="left"/>
                    <w:rPr>
                      <w:rFonts w:ascii="方正仿宋_GBK" w:eastAsia="方正仿宋_GBK" w:cs="宋体" w:hint="eastAsia"/>
                      <w:kern w:val="0"/>
                      <w:sz w:val="28"/>
                      <w:szCs w:val="28"/>
                    </w:rPr>
                  </w:pPr>
                </w:p>
              </w:tc>
              <w:tc>
                <w:tcPr>
                  <w:tcW w:w="2799" w:type="pct"/>
                  <w:gridSpan w:val="2"/>
                  <w:tcBorders>
                    <w:top w:val="nil"/>
                    <w:left w:val="nil"/>
                    <w:bottom w:val="nil"/>
                    <w:right w:val="nil"/>
                    <w:tl2br w:val="nil"/>
                    <w:tr2bl w:val="nil"/>
                  </w:tcBorders>
                  <w:vAlign w:val="center"/>
                </w:tcPr>
                <w:p>
                  <w:pPr>
                    <w:pStyle w:val="369"/>
                    <w:widowControl/>
                    <w:adjustRightInd w:val="0"/>
                    <w:snapToGrid w:val="0"/>
                    <w:jc w:val="center"/>
                    <w:rPr>
                      <w:rFonts w:ascii="方正仿宋_GBK" w:eastAsia="方正仿宋_GBK" w:cs="宋体" w:hint="eastAsia"/>
                      <w:kern w:val="0"/>
                      <w:sz w:val="28"/>
                      <w:szCs w:val="28"/>
                    </w:rPr>
                  </w:pPr>
                  <w:r>
                    <w:rPr>
                      <w:rFonts w:ascii="方正仿宋_GBK" w:eastAsia="方正仿宋_GBK" w:cs="宋体" w:hint="eastAsia"/>
                      <w:kern w:val="0"/>
                      <w:sz w:val="28"/>
                      <w:szCs w:val="28"/>
                    </w:rPr>
                    <w:t>（盖章）</w:t>
                  </w:r>
                </w:p>
                <w:p>
                  <w:pPr>
                    <w:pStyle w:val="369"/>
                    <w:widowControl/>
                    <w:adjustRightInd w:val="0"/>
                    <w:snapToGrid w:val="0"/>
                    <w:jc w:val="center"/>
                    <w:rPr>
                      <w:rFonts w:ascii="方正仿宋_GBK" w:eastAsia="方正仿宋_GBK" w:cs="宋体" w:hint="eastAsia"/>
                      <w:kern w:val="0"/>
                      <w:sz w:val="28"/>
                      <w:szCs w:val="28"/>
                    </w:rPr>
                  </w:pPr>
                  <w:r>
                    <w:rPr>
                      <w:rFonts w:ascii="方正仿宋_GBK" w:eastAsia="方正仿宋_GBK" w:cs="宋体" w:hint="eastAsia"/>
                      <w:kern w:val="0"/>
                      <w:sz w:val="28"/>
                      <w:szCs w:val="28"/>
                    </w:rPr>
                    <w:t>年</w:t>
                  </w:r>
                  <w:r>
                    <w:rPr>
                      <w:rFonts w:ascii="宋体" w:eastAsia="方正仿宋_GBK" w:cs="宋体" w:hAnsi="宋体" w:hint="eastAsia"/>
                      <w:kern w:val="0"/>
                      <w:sz w:val="28"/>
                      <w:szCs w:val="28"/>
                    </w:rPr>
                    <w:t>   </w:t>
                  </w:r>
                  <w:r>
                    <w:rPr>
                      <w:rFonts w:ascii="方正仿宋_GBK" w:eastAsia="方正仿宋_GBK" w:cs="宋体" w:hint="eastAsia"/>
                      <w:kern w:val="0"/>
                      <w:sz w:val="28"/>
                      <w:szCs w:val="28"/>
                    </w:rPr>
                    <w:t xml:space="preserve"> 月</w:t>
                  </w:r>
                  <w:r>
                    <w:rPr>
                      <w:rFonts w:ascii="宋体" w:eastAsia="方正仿宋_GBK" w:cs="宋体" w:hAnsi="宋体" w:hint="eastAsia"/>
                      <w:kern w:val="0"/>
                      <w:sz w:val="28"/>
                      <w:szCs w:val="28"/>
                    </w:rPr>
                    <w:t>   </w:t>
                  </w:r>
                  <w:r>
                    <w:rPr>
                      <w:rFonts w:ascii="方正仿宋_GBK" w:eastAsia="方正仿宋_GBK" w:cs="宋体" w:hint="eastAsia"/>
                      <w:kern w:val="0"/>
                      <w:sz w:val="28"/>
                      <w:szCs w:val="28"/>
                    </w:rPr>
                    <w:t xml:space="preserve"> 日</w:t>
                  </w:r>
                </w:p>
              </w:tc>
            </w:tr>
          </w:tbl>
          <w:p>
            <w:pPr>
              <w:pStyle w:val="369"/>
              <w:widowControl/>
              <w:adjustRightInd w:val="0"/>
              <w:snapToGrid w:val="0"/>
              <w:jc w:val="left"/>
              <w:rPr>
                <w:rFonts w:ascii="方正仿宋_GBK" w:eastAsia="方正仿宋_GBK" w:cs="宋体" w:hint="eastAsia"/>
                <w:kern w:val="0"/>
                <w:sz w:val="28"/>
                <w:szCs w:val="28"/>
              </w:rPr>
            </w:pPr>
          </w:p>
        </w:tc>
      </w:tr>
      <w:tr>
        <w:trPr>
          <w:trHeight w:val="865"/>
        </w:trPr>
        <w:tc>
          <w:tcPr>
            <w:tcW w:w="8264" w:type="dxa"/>
            <w:gridSpan w:val="2"/>
            <w:tcBorders>
              <w:top w:val="outset" w:sz="6" w:space="0" w:color="auto"/>
              <w:left w:val="outset" w:sz="6" w:space="0" w:color="auto"/>
              <w:bottom w:val="outset" w:sz="6" w:space="0" w:color="auto"/>
              <w:right w:val="outset" w:sz="6" w:space="0" w:color="auto"/>
              <w:tl2br w:val="nil"/>
              <w:tr2bl w:val="nil"/>
            </w:tcBorders>
            <w:vAlign w:val="center"/>
          </w:tcPr>
          <w:p>
            <w:pPr>
              <w:pStyle w:val="369"/>
              <w:widowControl/>
              <w:adjustRightInd w:val="0"/>
              <w:snapToGrid w:val="0"/>
              <w:jc w:val="left"/>
              <w:rPr>
                <w:rFonts w:ascii="方正仿宋_GBK" w:eastAsia="方正仿宋_GBK" w:cs="宋体" w:hint="eastAsia"/>
                <w:kern w:val="0"/>
                <w:sz w:val="28"/>
                <w:szCs w:val="28"/>
              </w:rPr>
            </w:pPr>
            <w:r>
              <w:rPr>
                <w:rFonts w:ascii="宋体" w:eastAsia="方正仿宋_GBK" w:cs="宋体" w:hAnsi="宋体" w:hint="eastAsia"/>
                <w:kern w:val="0"/>
                <w:sz w:val="28"/>
                <w:szCs w:val="28"/>
              </w:rPr>
              <w:t> </w:t>
            </w:r>
            <w:r>
              <w:rPr>
                <w:rFonts w:ascii="方正仿宋_GBK" w:eastAsia="方正仿宋_GBK" w:cs="宋体" w:hint="eastAsia"/>
                <w:kern w:val="0"/>
                <w:sz w:val="28"/>
                <w:szCs w:val="28"/>
              </w:rPr>
              <w:t xml:space="preserve">备注： </w:t>
            </w:r>
          </w:p>
        </w:tc>
      </w:tr>
    </w:tbl>
    <w:p>
      <w:pPr>
        <w:pStyle w:val="212"/>
        <w:ind w:left="0" w:firstLineChars="0" w:firstLine="0"/>
        <w:rPr>
          <w:rFonts w:ascii="方正黑体_GBK" w:eastAsia="方正黑体_GBK" w:hint="eastAsia"/>
        </w:rPr>
      </w:pPr>
    </w:p>
    <w:sectPr>
      <w:footerReference w:type="default" r:id="rId2"/>
      <w:footerReference w:type="even" r:id="rId3"/>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panose1 w:val="00000000000000000000"/>
    <w:charset w:val="86"/>
    <w:family w:val="script"/>
    <w:pitch w:val="variable"/>
    <w:sig w:usb0="00000001" w:usb1="080E0000" w:usb2="00000010" w:usb3="00000000" w:csb0="00040000" w:csb1="00000000"/>
  </w:font>
  <w:font w:name="仿宋_GB2312">
    <w:altName w:val="仿宋"/>
    <w:panose1 w:val="00000000000000000000"/>
    <w:charset w:val="00"/>
    <w:family w:val="auto"/>
    <w:pitch w:val="variable"/>
    <w:sig w:usb0="00000000" w:usb1="00000000" w:usb2="00000000" w:usb3="00000000" w:csb0="00000000" w:csb1="00000000"/>
  </w:font>
  <w:font w:name="方正小标宋_GBK">
    <w:altName w:val="苹方-简"/>
    <w:panose1 w:val="03000509000000000000"/>
    <w:charset w:val="86"/>
    <w:family w:val="script"/>
    <w:pitch w:val="variable"/>
    <w:sig w:usb0="00000001"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3000509000000000000"/>
    <w:charset w:val="86"/>
    <w:family w:val="script"/>
    <w:pitch w:val="variable"/>
    <w:sig w:usb0="00000001" w:usb1="080E0000" w:usb2="00000000" w:usb3="00000000" w:csb0="00040000" w:csb1="00000000"/>
  </w:font>
  <w:font w:name="方正楷体_GBK">
    <w:altName w:val="微软雅黑"/>
    <w:panose1 w:val="00000000000000000000"/>
    <w:charset w:val="86"/>
    <w:family w:val="script"/>
    <w:pitch w:val="variable"/>
    <w:sig w:usb0="00000001" w:usb1="080E0000" w:usb2="00000010" w:usb3="00000000" w:csb0="00040000" w:csb1="0000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Unicode MS">
    <w:altName w:val="DejaVu Sans"/>
    <w:panose1 w:val="00000000000000000000"/>
    <w:charset w:val="00"/>
    <w:family w:val="auto"/>
    <w:pitch w:val="variable"/>
    <w:sig w:usb0="00000000" w:usb1="00000000" w:usb2="00000000" w:usb3="00000000" w:csb0="00000000" w:csb1="00000000"/>
  </w:font>
  <w:font w:name="Lucida Sans">
    <w:altName w:val="DejaVu Sans"/>
    <w:panose1 w:val="00000000000000000000"/>
    <w:charset w:val="00"/>
    <w:family w:val="swiss"/>
    <w:pitch w:val="variable"/>
    <w:sig w:usb0="00000003" w:usb1="00000000" w:usb2="00000000" w:usb3="00000000" w:csb0="00000001" w:csb1="00000000"/>
  </w:font>
  <w:font w:name="Courier New">
    <w:altName w:val="DejaVu Sans"/>
    <w:panose1 w:val="02070409020205090404"/>
    <w:charset w:val="00"/>
    <w:family w:val="auto"/>
    <w:pitch w:val="variable"/>
    <w:sig w:usb0="00007A87" w:usb1="80000000" w:usb2="00000008" w:usb3="00000000" w:csb0="400001FF" w:csb1="FFFF0000"/>
  </w:font>
  <w:font w:name="SimSun">
    <w:altName w:val="宋体"/>
    <w:panose1 w:val="02010600030101010101"/>
    <w:charset w:val="86"/>
    <w:family w:val="auto"/>
    <w:pitch w:val="variable"/>
    <w:sig w:usb0="00000003" w:usb1="080E0000" w:usb2="00000000" w:usb3="00000000" w:csb0="00040001" w:csb1="00000000"/>
  </w:font>
  <w:font w:name="等线">
    <w:altName w:val="方正黑体_GBK"/>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70"/>
      <w:framePr w:w="0" w:hRule="auto" w:wrap="around" w:vAnchor="text" w:hAnchor="margin" w:xAlign="center" w:y="1" w:anchorLock="0"/>
      <w:tabs>
        <w:tab w:val="center" w:pos="4153"/>
        <w:tab w:val="right" w:pos="8306"/>
      </w:tabs>
      <w:rPr>
        <w:rStyle w:val="152"/>
      </w:rPr>
    </w:pPr>
    <w:r>
      <w:rPr>
        <w:rStyle w:val="152"/>
      </w:rPr>
      <w:fldChar w:fldCharType="begin"/>
    </w:r>
    <w:r>
      <w:rPr>
        <w:rStyle w:val="152"/>
      </w:rPr>
      <w:instrText xml:space="preserve">PAGE  </w:instrText>
    </w:r>
    <w:r>
      <w:rPr>
        <w:rStyle w:val="152"/>
      </w:rPr>
      <w:fldChar w:fldCharType="separate"/>
    </w:r>
    <w:r>
      <w:rPr>
        <w:rStyle w:val="152"/>
        <w:lang w:val="en-US" w:eastAsia="zh-CN"/>
      </w:rPr>
      <w:t>1</w:t>
    </w:r>
    <w:r>
      <w:rPr>
        <w:rStyle w:val="152"/>
      </w:rPr>
      <w:fldChar w:fldCharType="end"/>
    </w:r>
  </w:p>
  <w:p>
    <w:pPr>
      <w:pStyle w:val="370"/>
      <w:tabs>
        <w:tab w:val="center" w:pos="4153"/>
        <w:tab w:val="right" w:pos="8306"/>
      </w:tabs>
      <w:ind w:right="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framePr w:w="0" w:hRule="auto" w:wrap="around" w:vAnchor="text" w:hAnchor="margin" w:xAlign="center" w:y="1" w:anchorLock="0"/>
      <w:tabs>
        <w:tab w:val="center" w:pos="4153"/>
        <w:tab w:val="right" w:pos="8306"/>
      </w:tabs>
      <w:rPr>
        <w:rStyle w:val="152"/>
      </w:rPr>
    </w:pPr>
    <w:r>
      <w:rPr>
        <w:rStyle w:val="152"/>
      </w:rPr>
      <w:fldChar w:fldCharType="begin"/>
    </w:r>
    <w:r>
      <w:rPr>
        <w:rStyle w:val="152"/>
      </w:rPr>
      <w:instrText xml:space="preserve">PAGE  </w:instrText>
    </w:r>
    <w:r>
      <w:rPr>
        <w:rStyle w:val="152"/>
      </w:rPr>
      <w:fldChar w:fldCharType="separate"/>
    </w:r>
    <w:r>
      <w:rPr>
        <w:rStyle w:val="152"/>
        <w:vanish/>
      </w:rPr>
      <w:t xml:space="preserve"> </w:t>
    </w:r>
    <w:r>
      <w:rPr>
        <w:rStyle w:val="152"/>
      </w:rPr>
      <w:fldChar w:fldCharType="end"/>
    </w:r>
  </w:p>
  <w:p>
    <w:pPr>
      <w:pStyle w:val="19"/>
      <w:tabs>
        <w:tab w:val="center" w:pos="4153"/>
        <w:tab w:val="right" w:pos="8306"/>
      </w:tabs>
      <w:ind w:right="360"/>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8"/>
    <w:multiLevelType w:val="singleLevel"/>
    <w:tmpl w:val="00000000"/>
    <w:lvl w:ilvl="0">
      <w:start w:val="1"/>
      <w:numFmt w:val="decimal"/>
      <w:lvlRestart w:val="0"/>
      <w:pStyle w:val="49"/>
      <w:lvlText w:val="%1."/>
      <w:lvlJc w:val="left"/>
      <w:pPr>
        <w:tabs>
          <w:tab w:val="num" w:pos="360"/>
        </w:tabs>
        <w:ind w:left="360" w:hanging="360"/>
      </w:pPr>
    </w:lvl>
  </w:abstractNum>
  <w:abstractNum w:abstractNumId="1">
    <w:nsid w:val="FE3A0F26"/>
    <w:multiLevelType w:val="singleLevel"/>
    <w:tmpl w:val="00000000"/>
    <w:lvl w:ilvl="0">
      <w:start w:val="1"/>
      <w:numFmt w:val="bullet"/>
      <w:lvlRestart w:val="0"/>
      <w:pStyle w:val="54"/>
      <w:lvlText w:val="●"/>
      <w:lvlJc w:val="left"/>
      <w:pPr>
        <w:tabs>
          <w:tab w:val="num" w:pos="780"/>
        </w:tabs>
        <w:ind w:left="780" w:hanging="360"/>
      </w:pPr>
      <w:rPr>
        <w:rFonts w:ascii="宋体" w:hAnsi="宋体" w:hint="default"/>
      </w:rPr>
    </w:lvl>
  </w:abstractNum>
  <w:abstractNum w:abstractNumId="2">
    <w:nsid w:val="41D8E2A4"/>
    <w:multiLevelType w:val="singleLevel"/>
    <w:tmpl w:val="00000000"/>
    <w:lvl w:ilvl="0">
      <w:start w:val="1"/>
      <w:numFmt w:val="bullet"/>
      <w:lvlRestart w:val="0"/>
      <w:pStyle w:val="55"/>
      <w:lvlText w:val="●"/>
      <w:lvlJc w:val="left"/>
      <w:pPr>
        <w:tabs>
          <w:tab w:val="num" w:pos="1200"/>
        </w:tabs>
        <w:ind w:left="1200" w:hanging="360"/>
      </w:pPr>
      <w:rPr>
        <w:rFonts w:ascii="宋体" w:hAnsi="宋体" w:hint="default"/>
      </w:rPr>
    </w:lvl>
  </w:abstractNum>
  <w:abstractNum w:abstractNumId="3">
    <w:nsid w:val="E1599975"/>
    <w:multiLevelType w:val="singleLevel"/>
    <w:tmpl w:val="00000000"/>
    <w:lvl w:ilvl="0">
      <w:start w:val="1"/>
      <w:numFmt w:val="bullet"/>
      <w:lvlRestart w:val="0"/>
      <w:pStyle w:val="56"/>
      <w:lvlText w:val="●"/>
      <w:lvlJc w:val="left"/>
      <w:pPr>
        <w:tabs>
          <w:tab w:val="num" w:pos="1620"/>
        </w:tabs>
        <w:ind w:left="1620" w:hanging="360"/>
      </w:pPr>
      <w:rPr>
        <w:rFonts w:ascii="宋体" w:hAnsi="宋体" w:hint="default"/>
      </w:rPr>
    </w:lvl>
  </w:abstractNum>
  <w:abstractNum w:abstractNumId="4">
    <w:nsid w:val="C752CA00"/>
    <w:multiLevelType w:val="singleLevel"/>
    <w:tmpl w:val="00000000"/>
    <w:lvl w:ilvl="0">
      <w:start w:val="1"/>
      <w:numFmt w:val="bullet"/>
      <w:lvlRestart w:val="0"/>
      <w:pStyle w:val="57"/>
      <w:lvlText w:val="●"/>
      <w:lvlJc w:val="left"/>
      <w:pPr>
        <w:tabs>
          <w:tab w:val="num" w:pos="2040"/>
        </w:tabs>
        <w:ind w:left="2040" w:hanging="360"/>
      </w:pPr>
      <w:rPr>
        <w:rFonts w:ascii="宋体" w:hAnsi="宋体" w:hint="default"/>
      </w:rPr>
    </w:lvl>
  </w:abstractNum>
  <w:abstractNum w:abstractNumId="5">
    <w:nsid w:val="4F56E015"/>
    <w:multiLevelType w:val="singleLevel"/>
    <w:tmpl w:val="00000000"/>
    <w:lvl w:ilvl="0">
      <w:start w:val="1"/>
      <w:numFmt w:val="decimal"/>
      <w:lvlRestart w:val="0"/>
      <w:pStyle w:val="59"/>
      <w:lvlText w:val="%1."/>
      <w:lvlJc w:val="left"/>
      <w:pPr>
        <w:tabs>
          <w:tab w:val="num" w:pos="1200"/>
        </w:tabs>
        <w:ind w:left="1200" w:hanging="360"/>
      </w:pPr>
    </w:lvl>
  </w:abstractNum>
  <w:abstractNum w:abstractNumId="6">
    <w:nsid w:val="FC83710C"/>
    <w:multiLevelType w:val="singleLevel"/>
    <w:tmpl w:val="00000000"/>
    <w:lvl w:ilvl="0">
      <w:start w:val="1"/>
      <w:numFmt w:val="decimal"/>
      <w:lvlRestart w:val="0"/>
      <w:pStyle w:val="6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68"/>
  <w:doNotDisplayPageBoundaries/>
  <w:displayBackgroundShape/>
  <w:bordersDoNotSurroundHeader/>
  <w:bordersDoNotSurroundFooter/>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2"/>
      <w:lang w:val="en-US" w:eastAsia="zh-CN" w:bidi="ar-SA"/>
    </w:rPr>
  </w:style>
  <w:style w:type="paragraph" w:styleId="1">
    <w:name w:val="heading 1"/>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2"/>
    <w:autoRedefine/>
    <w:next w:val="0"/>
    <w:pPr>
      <w:widowControl w:val="0"/>
      <w:ind w:left="420"/>
      <w:jc w:val="both"/>
    </w:pPr>
    <w:rPr>
      <w:rFonts w:ascii="Times New Roman" w:eastAsia="方正仿宋_GBK" w:cs="Times New Roman" w:hAnsi="Times New Roman"/>
      <w:kern w:val="2"/>
      <w:sz w:val="32"/>
      <w:szCs w:val="22"/>
      <w:lang w:val="en-US" w:eastAsia="zh-CN" w:bidi="ar-SA"/>
    </w:rPr>
  </w:style>
  <w:style w:type="paragraph" w:styleId="17">
    <w:name w:val="toc 8"/>
    <w:basedOn w:val="0"/>
    <w:autoRedefine/>
    <w:next w:val="0"/>
    <w:pPr>
      <w:ind w:left="2940"/>
    </w:pPr>
  </w:style>
  <w:style w:type="paragraph" w:styleId="18">
    <w:name w:val="header"/>
    <w:next w:val="22"/>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styleId="19">
    <w:name w:val="footer"/>
    <w:next w:val="15"/>
    <w:pPr>
      <w:widowControl w:val="0"/>
      <w:tabs>
        <w:tab w:val="center" w:pos="4153"/>
        <w:tab w:val="right" w:pos="8306"/>
      </w:tabs>
      <w:snapToGrid w:val="0"/>
      <w:jc w:val="left"/>
    </w:pPr>
    <w:rPr>
      <w:rFonts w:ascii="Times New Roman" w:eastAsia="宋体" w:cs="Times New Roman" w:hAnsi="Times New Roman"/>
      <w:kern w:val="2"/>
      <w:sz w:val="18"/>
      <w:szCs w:val="18"/>
      <w:lang w:val="en-US" w:eastAsia="zh-CN" w:bidi="ar-SA"/>
    </w:rPr>
  </w:style>
  <w:style w:type="paragraph" w:styleId="20">
    <w:name w:val="Title"/>
    <w:basedOn w:val="0"/>
    <w:pPr>
      <w:spacing w:before="240" w:after="60"/>
      <w:jc w:val="center"/>
      <w:outlineLvl w:val="0"/>
    </w:pPr>
    <w:rPr>
      <w:rFonts w:ascii="Arial" w:hAnsi="Arial"/>
      <w:b/>
      <w:sz w:val="32"/>
    </w:rPr>
  </w:style>
  <w:style w:type="paragraph" w:styleId="21">
    <w:name w:val="Closing"/>
    <w:basedOn w:val="0"/>
    <w:pPr>
      <w:ind w:left="4320"/>
    </w:pPr>
  </w:style>
  <w:style w:type="paragraph" w:customStyle="1" w:styleId="22">
    <w:name w:val="样式 23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4 三号"/>
    <w:next w:val="64"/>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style4"/>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6">
    <w:name w:val="样式 小四"/>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7">
    <w:name w:val="样式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8">
    <w:name w:val="样式 12 10 磅"/>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9">
    <w:name w:val="样式 1 10 磅"/>
    <w:pPr>
      <w:widowControl w:val="0"/>
      <w:jc w:val="both"/>
    </w:pPr>
    <w:rPr>
      <w:rFonts w:ascii="Calibri" w:eastAsia="宋体" w:cs="Arial" w:hAnsi="Calibri"/>
      <w:bCs/>
      <w:kern w:val="2"/>
      <w:sz w:val="21"/>
      <w:szCs w:val="22"/>
      <w:lang w:val="en-US" w:eastAsia="zh-CN" w:bidi="ar-SA"/>
    </w:rPr>
  </w:style>
  <w:style w:type="paragraph" w:customStyle="1" w:styleId="30">
    <w:name w:val="样式 2 10 磅"/>
    <w:pPr>
      <w:widowControl w:val="0"/>
      <w:jc w:val="both"/>
    </w:pPr>
    <w:rPr>
      <w:rFonts w:ascii="Times New Roman" w:eastAsia="宋体" w:cs="Lucida Sans"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Lucida Sans"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Lucida Sans" w:hAnsi="Times New Roman"/>
      <w:kern w:val="2"/>
      <w:sz w:val="21"/>
      <w:szCs w:val="21"/>
      <w:lang w:val="en-US" w:eastAsia="zh-CN" w:bidi="ar-SA"/>
    </w:rPr>
  </w:style>
  <w:style w:type="paragraph" w:customStyle="1" w:styleId="33">
    <w:name w:val="样式 5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
    <w:name w:val="样式 6 10 磅"/>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5">
    <w:name w:val="样式 7 10 磅"/>
    <w:next w:val="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6">
    <w:name w:val="样式 8 10 磅"/>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7">
    <w:name w:val="样式 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8">
    <w:name w:val="样式 9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9">
    <w:name w:val="样式 2 三号"/>
    <w:next w:val="51"/>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3 三号"/>
    <w:next w:val="5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4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3">
    <w:name w:val="样式 15 三号"/>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6 三号"/>
    <w:next w:val="6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5">
    <w:name w:val="样式 7 三号"/>
    <w:next w:val="6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6">
    <w:name w:val="样式 10 10 磅"/>
    <w:next w:val="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47">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
    <w:name w:val="样式 9 三号"/>
    <w:next w:val="2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9">
    <w:name w:val="样式 10 三号"/>
    <w:next w:val="38"/>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1 小四"/>
    <w:next w:val="16"/>
    <w:pPr>
      <w:widowControl w:val="0"/>
    </w:pPr>
    <w:rPr>
      <w:rFonts w:ascii="宋体" w:eastAsia="宋体" w:cs="Times New Roman"/>
      <w:kern w:val="2"/>
      <w:sz w:val="24"/>
      <w:szCs w:val="21"/>
      <w:lang w:val="en-US" w:eastAsia="zh-CN" w:bidi="ar-SA"/>
    </w:rPr>
  </w:style>
  <w:style w:type="paragraph" w:customStyle="1" w:styleId="51">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38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55">
    <w:name w:val="样式 11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6">
    <w:name w:val="样式 12 三号"/>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7">
    <w:name w:val="样式 13 三号"/>
    <w:next w:val="8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8">
    <w:name w:val="样式 14 三号"/>
    <w:next w:val="45"/>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16 三号"/>
    <w:next w:val="9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7 三号"/>
    <w:next w:val="10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
    <w:name w:val="样式 18 三号"/>
    <w:next w:val="10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3">
    <w:name w:val="样式 19 三号"/>
    <w:next w:val="2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22 三号"/>
    <w:next w:val="29"/>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20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66">
    <w:name w:val="样式 21 三号"/>
    <w:next w:val="11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7">
    <w:name w:val="样式 25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6 小四"/>
    <w:next w:val="23"/>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69">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26 三号"/>
    <w:next w:val="1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2">
    <w:name w:val="样式 27 三号"/>
    <w:next w:val="1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10 小四"/>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4"/>
      <w:szCs w:val="21"/>
      <w:u w:val="none" w:color="auto"/>
      <w:shd w:val="clear" w:color="auto" w:fill="auto"/>
      <w:vertAlign w:val="baseline"/>
      <w:em w:val="none"/>
      <w:lang w:val="en-US" w:eastAsia="zh-CN" w:bidi="ar-SA"/>
    </w:rPr>
  </w:style>
  <w:style w:type="paragraph" w:customStyle="1" w:styleId="75">
    <w:name w:val="样式 28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29 三号"/>
    <w:next w:val="1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7">
    <w:name w:val="样式 30 三号"/>
    <w:next w:val="1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
    <w:name w:val="样式 31 三号"/>
    <w:next w:val="13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32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33 三号"/>
    <w:next w:val="13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1">
    <w:name w:val="样式 34 三号"/>
    <w:next w:val="13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82">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3">
    <w:name w:val="样式 35 三号"/>
    <w:next w:val="13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85">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88">
    <w:name w:val="样式 39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0">
    <w:name w:val="样式 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2">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93">
    <w:name w:val="样式 11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94">
    <w:name w:val="样式 4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95">
    <w:name w:val="样式 13 10 磅"/>
    <w:next w:val="7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6">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97">
    <w:name w:val="样式 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8">
    <w:name w:val="样式 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9">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00">
    <w:name w:val="样式 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Times New Roman"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
    <w:name w:val="样式 14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2">
    <w:name w:val="样式 47 三号"/>
    <w:next w:val="15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3">
    <w:name w:val="样式 15 10 磅"/>
    <w:next w:val="8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4">
    <w:name w:val="样式 16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5">
    <w:name w:val="样式 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6">
    <w:name w:val="样式 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7">
    <w:name w:val="样式 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168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8">
    <w:name w:val="样式 51 三号"/>
    <w:next w:val="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0"/>
      <w:lang w:val="en-US" w:eastAsia="zh-CN" w:bidi="ar-SA"/>
    </w:rPr>
  </w:style>
  <w:style w:type="paragraph" w:customStyle="1" w:styleId="111">
    <w:name w:val="样式 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2">
    <w:name w:val="样式 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3">
    <w:name w:val="样式 5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4">
    <w:name w:val="样式 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5">
    <w:name w:val="样式 5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6">
    <w:name w:val="样式 57 三号"/>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8">
    <w:name w:val="样式 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9">
    <w:name w:val="样式 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0">
    <w:name w:val="样式 61 三号"/>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62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2">
    <w:name w:val="样式 6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3">
    <w:name w:val="样式 6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4">
    <w:name w:val="样式 65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5">
    <w:name w:val="样式 66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6">
    <w:name w:val="样式 6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7">
    <w:name w:val="样式 6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8">
    <w:name w:val="样式 69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70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7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31">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3">
    <w:name w:val="样式 "/>
    <w:rPr>
      <w:rFonts w:ascii="Times New Roman" w:eastAsia="宋体" w:cs="Times New Roman" w:hAnsi="Times New Roman"/>
      <w:sz w:val="20"/>
      <w:szCs w:val="20"/>
      <w:lang w:val="en-US" w:eastAsia="zh-CN" w:bidi="ar-SA"/>
    </w:rPr>
  </w:style>
  <w:style w:type="paragraph" w:customStyle="1" w:styleId="134">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5">
    <w:name w:val="样式 1 "/>
    <w:rPr>
      <w:rFonts w:ascii="Times New Roman" w:eastAsia="宋体" w:cs="Times New Roman" w:hAnsi="Times New Roman"/>
      <w:sz w:val="20"/>
      <w:szCs w:val="20"/>
      <w:lang w:val="en-US" w:eastAsia="zh-CN" w:bidi="ar-SA"/>
    </w:rPr>
  </w:style>
  <w:style w:type="paragraph" w:customStyle="1" w:styleId="136">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7">
    <w:name w:val="样式 2 "/>
    <w:rPr>
      <w:rFonts w:ascii="Times New Roman" w:eastAsia="宋体" w:cs="Times New Roman" w:hAnsi="Times New Roman"/>
      <w:sz w:val="20"/>
      <w:szCs w:val="20"/>
      <w:lang w:val="en-US" w:eastAsia="zh-CN" w:bidi="ar-SA"/>
    </w:rPr>
  </w:style>
  <w:style w:type="paragraph" w:styleId="138">
    <w:name w:val="index 6"/>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39">
    <w:name w:val="index 8"/>
    <w:basedOn w:val="0"/>
    <w:autoRedefine/>
    <w:next w:val="0"/>
    <w:pPr>
      <w:ind w:left="2940"/>
    </w:pPr>
  </w:style>
  <w:style w:type="paragraph" w:styleId="140">
    <w:name w:val="index 9"/>
    <w:basedOn w:val="0"/>
    <w:autoRedefine/>
    <w:next w:val="0"/>
    <w:pPr>
      <w:ind w:left="3360"/>
    </w:pPr>
  </w:style>
  <w:style w:type="paragraph" w:styleId="141">
    <w:name w:val="toc 3"/>
    <w:basedOn w:val="0"/>
    <w:autoRedefine/>
    <w:next w:val="0"/>
    <w:pPr>
      <w:ind w:left="840"/>
    </w:pPr>
  </w:style>
  <w:style w:type="paragraph" w:styleId="142">
    <w:name w:val="toc 4"/>
    <w:basedOn w:val="0"/>
    <w:autoRedefine/>
    <w:next w:val="0"/>
    <w:pPr>
      <w:ind w:left="1260"/>
    </w:pPr>
  </w:style>
  <w:style w:type="paragraph" w:styleId="143">
    <w:name w:val="toc 5"/>
    <w:basedOn w:val="0"/>
    <w:autoRedefine/>
    <w:next w:val="0"/>
    <w:pPr>
      <w:ind w:left="1680"/>
    </w:pPr>
  </w:style>
  <w:style w:type="paragraph" w:styleId="144">
    <w:name w:val="toc 6"/>
    <w:basedOn w:val="0"/>
    <w:autoRedefine/>
    <w:next w:val="0"/>
    <w:pPr>
      <w:ind w:left="2100"/>
    </w:pPr>
  </w:style>
  <w:style w:type="paragraph" w:styleId="145">
    <w:name w:val="toc 7"/>
    <w:basedOn w:val="0"/>
    <w:autoRedefine/>
    <w:next w:val="0"/>
    <w:pPr>
      <w:ind w:left="2520"/>
    </w:pPr>
  </w:style>
  <w:style w:type="paragraph" w:styleId="146">
    <w:name w:val="toc 9"/>
    <w:basedOn w:val="0"/>
    <w:autoRedefine/>
    <w:next w:val="0"/>
    <w:pPr>
      <w:ind w:left="3360"/>
    </w:pPr>
  </w:style>
  <w:style w:type="paragraph" w:styleId="147">
    <w:name w:val="footnote text"/>
    <w:basedOn w:val="0"/>
    <w:pPr>
      <w:snapToGrid w:val="0"/>
      <w:jc w:val="left"/>
    </w:pPr>
    <w:rPr>
      <w:sz w:val="18"/>
      <w:szCs w:val="18"/>
    </w:rPr>
  </w:style>
  <w:style w:type="paragraph" w:styleId="148">
    <w:name w:val="annotation text"/>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styleId="149">
    <w:name w:val="table of figures"/>
    <w:basedOn w:val="0"/>
    <w:next w:val="0"/>
  </w:style>
  <w:style w:type="paragraph" w:styleId="150">
    <w:name w:val="envelope return"/>
    <w:basedOn w:val="0"/>
    <w:pPr>
      <w:snapToGrid w:val="0"/>
    </w:pPr>
    <w:rPr>
      <w:rFonts w:ascii="Times New Roman" w:hAnsi="Times New Roman"/>
    </w:rPr>
  </w:style>
  <w:style w:type="character" w:styleId="151">
    <w:name w:val="line number"/>
    <w:basedOn w:val="10"/>
  </w:style>
  <w:style w:type="character" w:styleId="152">
    <w:name w:val="page number"/>
  </w:style>
  <w:style w:type="paragraph" w:styleId="153">
    <w:name w:val="endnote text"/>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54">
    <w:name w:val="table of authorities"/>
    <w:basedOn w:val="0"/>
    <w:next w:val="0"/>
    <w:pPr>
      <w:ind w:left="420"/>
    </w:pPr>
  </w:style>
  <w:style w:type="paragraph" w:styleId="155">
    <w:name w:val="toa heading"/>
    <w:basedOn w:val="0"/>
    <w:next w:val="0"/>
    <w:pPr>
      <w:spacing w:before="120"/>
    </w:pPr>
    <w:rPr>
      <w:rFonts w:ascii="Times New Roman" w:hAnsi="Times New Roman"/>
      <w:sz w:val="24"/>
      <w:szCs w:val="24"/>
    </w:rPr>
  </w:style>
  <w:style w:type="paragraph" w:styleId="156">
    <w:name w:val="List Number"/>
    <w:basedOn w:val="0"/>
    <w:pPr>
      <w:numPr>
        <w:ilvl w:val="0"/>
        <w:numId w:val="1"/>
      </w:numPr>
    </w:pPr>
  </w:style>
  <w:style w:type="paragraph" w:styleId="157">
    <w:name w:val="List 2"/>
    <w:basedOn w:val="0"/>
    <w:pPr>
      <w:ind w:left="840" w:hanging="420"/>
    </w:pPr>
  </w:style>
  <w:style w:type="paragraph" w:styleId="158">
    <w:name w:val="List 3"/>
    <w:basedOn w:val="0"/>
    <w:pPr>
      <w:ind w:left="1260" w:hanging="420"/>
    </w:pPr>
  </w:style>
  <w:style w:type="paragraph" w:styleId="159">
    <w:name w:val="List Bullet 2"/>
    <w:basedOn w:val="0"/>
    <w:pPr>
      <w:numPr>
        <w:ilvl w:val="0"/>
        <w:numId w:val="2"/>
      </w:numPr>
    </w:pPr>
  </w:style>
  <w:style w:type="paragraph" w:styleId="160">
    <w:name w:val="List Bullet 3"/>
    <w:basedOn w:val="0"/>
    <w:pPr>
      <w:numPr>
        <w:ilvl w:val="0"/>
        <w:numId w:val="3"/>
      </w:numPr>
    </w:pPr>
  </w:style>
  <w:style w:type="paragraph" w:styleId="161">
    <w:name w:val="List Bullet 4"/>
    <w:basedOn w:val="0"/>
    <w:pPr>
      <w:numPr>
        <w:ilvl w:val="0"/>
        <w:numId w:val="4"/>
      </w:numPr>
    </w:pPr>
  </w:style>
  <w:style w:type="paragraph" w:styleId="162">
    <w:name w:val="List Bullet 5"/>
    <w:basedOn w:val="0"/>
    <w:pPr>
      <w:numPr>
        <w:ilvl w:val="0"/>
        <w:numId w:val="5"/>
      </w:numPr>
    </w:pPr>
  </w:style>
  <w:style w:type="paragraph" w:styleId="163">
    <w:name w:val="List Number 3"/>
    <w:basedOn w:val="0"/>
    <w:pPr>
      <w:numPr>
        <w:ilvl w:val="0"/>
        <w:numId w:val="6"/>
      </w:numPr>
    </w:pPr>
  </w:style>
  <w:style w:type="paragraph" w:styleId="164">
    <w:name w:val="List Number 4"/>
    <w:basedOn w:val="0"/>
    <w:pPr>
      <w:numPr>
        <w:ilvl w:val="0"/>
        <w:numId w:val="7"/>
      </w:numPr>
    </w:pPr>
  </w:style>
  <w:style w:type="paragraph" w:styleId="165">
    <w:name w:val="Signature"/>
    <w:basedOn w:val="0"/>
    <w:pPr>
      <w:ind w:left="4320"/>
    </w:pPr>
  </w:style>
  <w:style w:type="paragraph" w:styleId="166">
    <w:name w:val="Body Text"/>
    <w:basedOn w:val="0"/>
    <w:pPr>
      <w:spacing w:after="120"/>
    </w:pPr>
  </w:style>
  <w:style w:type="character" w:styleId="167">
    <w:name w:val="Hyperlink"/>
    <w:rPr>
      <w:color w:val="0000FF"/>
      <w:u w:val="single"/>
    </w:rPr>
  </w:style>
  <w:style w:type="paragraph" w:styleId="168">
    <w:name w:val="Plain Tex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styleId="169">
    <w:name w:val="HTML Address"/>
    <w:basedOn w:val="0"/>
    <w:rPr>
      <w:i/>
    </w:rPr>
  </w:style>
  <w:style w:type="paragraph" w:customStyle="1" w:styleId="170">
    <w:name w:val="样式 73 三号"/>
    <w:pPr>
      <w:widowControl w:val="0"/>
      <w:jc w:val="both"/>
    </w:pPr>
    <w:rPr>
      <w:rFonts w:ascii="方正仿宋_GBK" w:eastAsia="方正仿宋_GBK" w:cs="方正仿宋_GBK"/>
      <w:kern w:val="2"/>
      <w:sz w:val="32"/>
      <w:szCs w:val="32"/>
      <w:lang w:val="en-US" w:eastAsia="zh-CN" w:bidi="ar-SA"/>
    </w:rPr>
  </w:style>
  <w:style w:type="paragraph" w:customStyle="1" w:styleId="171">
    <w:name w:val="样式 7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2">
    <w:name w:val="样式 3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73">
    <w:name w:val="样式 10 磅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character" w:customStyle="1" w:styleId="174">
    <w:name w:val=" Char Char1"/>
    <w:rPr>
      <w:rFonts w:ascii="宋体" w:eastAsia="宋体"/>
      <w:b/>
      <w:bCs/>
      <w:kern w:val="44"/>
      <w:sz w:val="44"/>
      <w:szCs w:val="44"/>
      <w:lang w:val="en-US" w:eastAsia="zh-CN"/>
    </w:rPr>
  </w:style>
  <w:style w:type="paragraph" w:customStyle="1" w:styleId="175">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7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7">
    <w:name w:val="样式 10 磅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78">
    <w:name w:val="样式 三号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79">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0">
    <w:name w:val="样式 10 磅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1">
    <w:name w:val="样式 1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2">
    <w:name w:val="样式 二号"/>
    <w:rPr>
      <w:rFonts w:ascii="宋体" w:eastAsia="宋体" w:cs="Times New Roman"/>
      <w:b/>
      <w:bCs/>
      <w:kern w:val="44"/>
      <w:sz w:val="44"/>
      <w:szCs w:val="44"/>
      <w:lang w:val="en-US" w:eastAsia="zh-CN" w:bidi="ar-SA"/>
    </w:rPr>
  </w:style>
  <w:style w:type="paragraph" w:customStyle="1" w:styleId="183">
    <w:name w:val="样式 10 磅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4">
    <w:name w:val="样式 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85">
    <w:name w:val="样式 2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6">
    <w:name w:val="样式 4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87">
    <w:name w:val="样式 2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88">
    <w:name w:val="样式 2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9">
    <w:name w:val="样式 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90">
    <w:name w:val="样式 2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1">
    <w:name w:val="样式 2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92">
    <w:name w:val="样式 10 磅1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3">
    <w:name w:val="样式 5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94">
    <w:name w:val="样式 25 10 磅"/>
    <w:pPr>
      <w:widowControl w:val="0"/>
      <w:jc w:val="both"/>
    </w:pPr>
    <w:rPr>
      <w:rFonts w:ascii="Calibri" w:eastAsia="宋体" w:cs="Arial" w:hAnsi="Calibri"/>
      <w:kern w:val="2"/>
      <w:sz w:val="21"/>
      <w:szCs w:val="24"/>
      <w:lang w:val="en-US" w:eastAsia="zh-CN" w:bidi="ar-SA"/>
    </w:rPr>
  </w:style>
  <w:style w:type="paragraph" w:customStyle="1" w:styleId="195">
    <w:name w:val="样式 2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6">
    <w:name w:val="样式 2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7">
    <w:name w:val="样式 2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8">
    <w:name w:val="样式 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9">
    <w:name w:val="样式 3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00">
    <w:name w:val="样式 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1">
    <w:name w:val="样式 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2">
    <w:name w:val="样式 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03">
    <w:name w:val="样式 10 磅10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4">
    <w:name w:val="样式 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5">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6">
    <w:name w:val="样式 3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7">
    <w:name w:val="样式 4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8">
    <w:name w:val="样式 4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9">
    <w:name w:val="样式 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0">
    <w:name w:val="样式 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1">
    <w:name w:val="样式 1 二号"/>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customStyle="1" w:styleId="212">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
    <w:name w:val="样式 33 10 磅"/>
    <w:pPr>
      <w:widowControl w:val="0"/>
      <w:jc w:val="both"/>
    </w:pPr>
    <w:rPr>
      <w:rFonts w:ascii="等线" w:eastAsia="等线" w:cs="Arial"/>
      <w:kern w:val="2"/>
      <w:sz w:val="21"/>
      <w:szCs w:val="22"/>
      <w:lang w:val="en-US" w:eastAsia="zh-CN" w:bidi="ar-SA"/>
    </w:rPr>
  </w:style>
  <w:style w:type="paragraph" w:customStyle="1" w:styleId="21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42 10 磅"/>
    <w:pPr>
      <w:widowControl w:val="0"/>
      <w:jc w:val="both"/>
    </w:pPr>
    <w:rPr>
      <w:rFonts w:ascii="等线" w:eastAsia="等线" w:cs="Arial"/>
      <w:kern w:val="2"/>
      <w:sz w:val="21"/>
      <w:szCs w:val="22"/>
      <w:lang w:val="en-US" w:eastAsia="zh-CN" w:bidi="ar-SA"/>
    </w:rPr>
  </w:style>
  <w:style w:type="paragraph" w:customStyle="1" w:styleId="216">
    <w:name w:val="样式 6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17">
    <w:name w:val="样式 4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18">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9">
    <w:name w:val="样式 4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20">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21">
    <w:name w:val="样式 45 10 磅"/>
    <w:pPr>
      <w:widowControl w:val="0"/>
      <w:jc w:val="both"/>
    </w:pPr>
    <w:rPr>
      <w:rFonts w:ascii="等线" w:eastAsia="等线" w:cs="Arial"/>
      <w:kern w:val="2"/>
      <w:sz w:val="21"/>
      <w:szCs w:val="22"/>
      <w:lang w:val="en-US" w:eastAsia="zh-CN" w:bidi="ar-SA"/>
    </w:rPr>
  </w:style>
  <w:style w:type="paragraph" w:customStyle="1" w:styleId="222">
    <w:name w:val="样式 7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3">
    <w:name w:val="样式 46 10 磅"/>
    <w:pPr>
      <w:widowControl w:val="0"/>
      <w:jc w:val="both"/>
    </w:pPr>
    <w:rPr>
      <w:rFonts w:ascii="等线" w:eastAsia="等线" w:cs="Arial"/>
      <w:kern w:val="2"/>
      <w:sz w:val="21"/>
      <w:szCs w:val="22"/>
      <w:lang w:val="en-US" w:eastAsia="zh-CN" w:bidi="ar-SA"/>
    </w:rPr>
  </w:style>
  <w:style w:type="paragraph" w:customStyle="1" w:styleId="224">
    <w:name w:val="样式 8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5">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48 10 磅"/>
    <w:pPr>
      <w:widowControl w:val="0"/>
      <w:jc w:val="both"/>
    </w:pPr>
    <w:rPr>
      <w:rFonts w:ascii="等线" w:eastAsia="等线" w:cs="Arial"/>
      <w:kern w:val="2"/>
      <w:sz w:val="21"/>
      <w:szCs w:val="22"/>
      <w:lang w:val="en-US" w:eastAsia="zh-CN" w:bidi="ar-SA"/>
    </w:rPr>
  </w:style>
  <w:style w:type="paragraph" w:customStyle="1" w:styleId="227">
    <w:name w:val="样式 9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8">
    <w:name w:val="样式 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49 10 磅"/>
    <w:pPr>
      <w:widowControl w:val="0"/>
      <w:jc w:val="both"/>
    </w:pPr>
    <w:rPr>
      <w:rFonts w:ascii="等线" w:eastAsia="等线" w:cs="Arial"/>
      <w:kern w:val="2"/>
      <w:sz w:val="21"/>
      <w:szCs w:val="22"/>
      <w:lang w:val="en-US" w:eastAsia="zh-CN" w:bidi="ar-SA"/>
    </w:rPr>
  </w:style>
  <w:style w:type="paragraph" w:customStyle="1" w:styleId="230">
    <w:name w:val="样式 50 10 磅"/>
    <w:pPr>
      <w:widowControl w:val="0"/>
      <w:jc w:val="both"/>
    </w:pPr>
    <w:rPr>
      <w:rFonts w:ascii="Calibri" w:eastAsia="宋体" w:cs="Arial" w:hAnsi="Calibri"/>
      <w:kern w:val="2"/>
      <w:sz w:val="21"/>
      <w:szCs w:val="24"/>
      <w:lang w:val="en-US" w:eastAsia="zh-CN" w:bidi="ar-SA"/>
    </w:rPr>
  </w:style>
  <w:style w:type="paragraph" w:customStyle="1" w:styleId="231">
    <w:name w:val="样式 5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2">
    <w:name w:val="样式 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3">
    <w:name w:val="样式 5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4">
    <w:name w:val="样式 5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5">
    <w:name w:val="样式 5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6">
    <w:name w:val="样式 10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37">
    <w:name w:val="样式 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8">
    <w:name w:val="样式 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9">
    <w:name w:val="样式 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40">
    <w:name w:val="样式 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1">
    <w:name w:val="样式 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2">
    <w:name w:val="样式 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3">
    <w:name w:val="样式 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4">
    <w:name w:val="样式 11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45">
    <w:name w:val="样式 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6">
    <w:name w:val="样式 6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7">
    <w:name w:val="样式 6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8">
    <w:name w:val="样式 6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9">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0">
    <w:name w:val="样式 3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1">
    <w:name w:val="样式 6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2">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3">
    <w:name w:val="列出段落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4">
    <w:name w:val="样式 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5">
    <w:name w:val="样式 2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6">
    <w:name w:val="样式 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7">
    <w:name w:val="样式 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8">
    <w:name w:val="样式 2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9">
    <w:name w:val="样式 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0">
    <w:name w:val="样式 3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1">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2">
    <w:name w:val="样式 3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3">
    <w:name w:val="样式 3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4">
    <w:name w:val="样式 5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8"/>
      <w:u w:val="none" w:color="auto"/>
      <w:shd w:val="clear" w:color="auto" w:fill="auto"/>
      <w:vertAlign w:val="baseline"/>
      <w:em w:val="none"/>
      <w:lang w:val="en-US" w:eastAsia="zh-CN" w:bidi="ar-SA"/>
    </w:rPr>
  </w:style>
  <w:style w:type="paragraph" w:customStyle="1" w:styleId="265">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6">
    <w:name w:val="样式 3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7">
    <w:name w:val="样式 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8">
    <w:name w:val="样式 4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9">
    <w:name w:val="样式 4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0">
    <w:name w:val="样式 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2">
    <w:name w:val="样式 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4"/>
      <w:w w:val="100"/>
      <w:kern w:val="2"/>
      <w:position w:val="0"/>
      <w:sz w:val="32"/>
      <w:szCs w:val="20"/>
      <w:u w:val="none" w:color="auto"/>
      <w:shd w:val="clear" w:color="auto" w:fill="auto"/>
      <w:vertAlign w:val="baseline"/>
      <w:em w:val="none"/>
      <w:lang w:val="en-US" w:eastAsia="zh-CN" w:bidi="ar-SA"/>
    </w:rPr>
  </w:style>
  <w:style w:type="paragraph" w:customStyle="1" w:styleId="273">
    <w:name w:val="样式 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4">
    <w:name w:val="样式 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5">
    <w:name w:val="样式 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6">
    <w:name w:val="样式 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7">
    <w:name w:val="样式 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8">
    <w:name w:val="样式 2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9">
    <w:name w:val="样式 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0">
    <w:name w:val="样式 6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81">
    <w:name w:val="样式 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2">
    <w:name w:val="样式 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3">
    <w:name w:val="样式 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4">
    <w:name w:val="样式 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5">
    <w:name w:val="样式 1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6">
    <w:name w:val="样式 2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7">
    <w:name w:val="样式 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8">
    <w:name w:val="样式 100 三号"/>
    <w:pPr>
      <w:widowControl w:val="0"/>
      <w:jc w:val="both"/>
    </w:pPr>
    <w:rPr>
      <w:rFonts w:ascii="方正仿宋_GBK" w:eastAsia="方正仿宋_GBK" w:cs="方正仿宋_GBK"/>
      <w:kern w:val="2"/>
      <w:sz w:val="32"/>
      <w:szCs w:val="32"/>
      <w:lang w:val="en-US" w:eastAsia="zh-CN" w:bidi="ar-SA"/>
    </w:rPr>
  </w:style>
  <w:style w:type="paragraph" w:customStyle="1" w:styleId="289">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290">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68 10 磅"/>
    <w:pPr>
      <w:widowControl w:val="0"/>
      <w:jc w:val="both"/>
    </w:pPr>
    <w:rPr>
      <w:rFonts w:ascii="Times New Roman" w:eastAsia="宋体" w:cs="Times New Roman" w:hAnsi="Times New Roman"/>
      <w:kern w:val="2"/>
      <w:sz w:val="21"/>
      <w:szCs w:val="21"/>
      <w:lang w:val="en-US" w:eastAsia="zh-CN" w:bidi="ar-SA"/>
    </w:rPr>
  </w:style>
  <w:style w:type="character" w:customStyle="1" w:styleId="292">
    <w:name w:val="font21"/>
    <w:basedOn w:val="0"/>
    <w:rPr>
      <w:rFonts w:ascii="方正仿宋_GBK" w:eastAsia="方正仿宋_GBK" w:cs="方正仿宋_GBK"/>
      <w:color w:val="000000"/>
      <w:sz w:val="22"/>
      <w:szCs w:val="22"/>
      <w:u w:val="none"/>
    </w:rPr>
  </w:style>
  <w:style w:type="character" w:customStyle="1" w:styleId="293">
    <w:name w:val="font11"/>
    <w:basedOn w:val="0"/>
    <w:rPr>
      <w:rFonts w:ascii="宋体" w:eastAsia="宋体" w:cs="宋体"/>
      <w:color w:val="000000"/>
      <w:sz w:val="22"/>
      <w:szCs w:val="22"/>
      <w:u w:val="none"/>
    </w:rPr>
  </w:style>
  <w:style w:type="paragraph" w:customStyle="1" w:styleId="294">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5">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6">
    <w:name w:val="样式 17 小四"/>
    <w:pPr>
      <w:widowControl w:val="0"/>
    </w:pPr>
    <w:rPr>
      <w:rFonts w:ascii="宋体" w:eastAsia="宋体" w:cs="Times New Roman"/>
      <w:kern w:val="2"/>
      <w:sz w:val="24"/>
      <w:szCs w:val="21"/>
      <w:lang w:val="en-US" w:eastAsia="zh-CN" w:bidi="ar-SA"/>
    </w:rPr>
  </w:style>
  <w:style w:type="paragraph" w:customStyle="1" w:styleId="297">
    <w:name w:val="样式 18 小四"/>
    <w:pPr>
      <w:widowControl w:val="0"/>
    </w:pPr>
    <w:rPr>
      <w:rFonts w:ascii="宋体" w:eastAsia="宋体" w:cs="Times New Roman"/>
      <w:kern w:val="2"/>
      <w:sz w:val="24"/>
      <w:szCs w:val="21"/>
      <w:lang w:val="en-US" w:eastAsia="zh-CN" w:bidi="ar-SA"/>
    </w:rPr>
  </w:style>
  <w:style w:type="paragraph" w:customStyle="1" w:styleId="298">
    <w:name w:val="样式 103 三号"/>
    <w:pPr>
      <w:spacing w:line="320" w:lineRule="atLeast"/>
    </w:pPr>
    <w:rPr>
      <w:rFonts w:ascii="Times New Roman" w:eastAsia="宋体" w:cs="Times New Roman" w:hAnsi="Times New Roman"/>
      <w:sz w:val="32"/>
      <w:szCs w:val="32"/>
      <w:lang w:val="en-US" w:eastAsia="zh-CN" w:bidi="ar-SA"/>
    </w:rPr>
  </w:style>
  <w:style w:type="paragraph" w:customStyle="1" w:styleId="299">
    <w:name w:val="样式 69 10 磅"/>
    <w:pPr>
      <w:widowControl w:val="0"/>
      <w:jc w:val="both"/>
    </w:pPr>
    <w:rPr>
      <w:rFonts w:ascii="Calibri" w:eastAsia="宋体" w:cs="Times New Roman" w:hAnsi="Calibri"/>
      <w:kern w:val="2"/>
      <w:sz w:val="21"/>
      <w:szCs w:val="22"/>
      <w:lang w:val="en-US" w:eastAsia="zh-CN" w:bidi="ar-SA"/>
    </w:rPr>
  </w:style>
  <w:style w:type="paragraph" w:customStyle="1" w:styleId="300">
    <w:name w:val="样式 104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1">
    <w:name w:val="样式 105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2">
    <w:name w:val="样式 106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3">
    <w:name w:val="样式 19 小四"/>
    <w:rPr>
      <w:rFonts w:ascii="Times New Roman" w:eastAsia="宋体" w:cs="Times New Roman" w:hAnsi="Times New Roman"/>
      <w:sz w:val="24"/>
      <w:szCs w:val="24"/>
      <w:lang w:val="en-US" w:eastAsia="zh-CN" w:bidi="ar-SA"/>
    </w:rPr>
  </w:style>
  <w:style w:type="paragraph" w:customStyle="1" w:styleId="304">
    <w:name w:val="样式 20 小四"/>
    <w:rPr>
      <w:rFonts w:ascii="Times New Roman" w:eastAsia="宋体" w:cs="Times New Roman" w:hAnsi="Times New Roman"/>
      <w:sz w:val="24"/>
      <w:szCs w:val="24"/>
      <w:lang w:val="en-US" w:eastAsia="zh-CN" w:bidi="ar-SA"/>
    </w:rPr>
  </w:style>
  <w:style w:type="paragraph" w:customStyle="1" w:styleId="305">
    <w:name w:val="样式 70 10 磅"/>
    <w:pPr>
      <w:widowControl w:val="0"/>
      <w:jc w:val="both"/>
    </w:pPr>
    <w:rPr>
      <w:rFonts w:ascii="等线" w:eastAsia="等线" w:cs="Arial"/>
      <w:kern w:val="2"/>
      <w:sz w:val="21"/>
      <w:szCs w:val="22"/>
      <w:lang w:val="en-US" w:eastAsia="zh-CN" w:bidi="ar-SA"/>
    </w:rPr>
  </w:style>
  <w:style w:type="paragraph" w:customStyle="1" w:styleId="306">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307">
    <w:name w:val="样式 10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08">
    <w:name w:val="样式 108 三号"/>
    <w:pPr>
      <w:widowControl w:val="0"/>
      <w:jc w:val="both"/>
    </w:pPr>
    <w:rPr>
      <w:rFonts w:ascii="Times New Roman" w:eastAsia="方正仿宋_GBK" w:cs="Times New Roman" w:hAnsi="Times New Roman"/>
      <w:kern w:val="2"/>
      <w:sz w:val="32"/>
      <w:szCs w:val="22"/>
      <w:lang w:val="en-US" w:eastAsia="zh-CN" w:bidi="ar-SA"/>
    </w:rPr>
  </w:style>
  <w:style w:type="paragraph" w:styleId="309">
    <w:name w:val="toc 1"/>
    <w:basedOn w:val="0"/>
    <w:autoRedefine/>
    <w:next w:val="0"/>
  </w:style>
  <w:style w:type="paragraph" w:customStyle="1" w:styleId="310">
    <w:name w:val="样式 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1">
    <w:name w:val="样式 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2">
    <w:name w:val="样式 112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3">
    <w:name w:val="样式 113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4">
    <w:name w:val="样式 114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5">
    <w:name w:val="样式 115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6">
    <w:name w:val="样式 116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7">
    <w:name w:val="样式 117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8">
    <w:name w:val="样式 118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9">
    <w:name w:val="样式 119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0">
    <w:name w:val="样式 120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1">
    <w:name w:val="样式 121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2">
    <w:name w:val="样式 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23">
    <w:name w:val="样式 1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4">
    <w:name w:val="样式 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5">
    <w:name w:val="样式 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6">
    <w:name w:val="样式 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7">
    <w:name w:val="样式 1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8">
    <w:name w:val="样式 1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9">
    <w:name w:val="样式 1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0">
    <w:name w:val="样式 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1">
    <w:name w:val="样式 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2">
    <w:name w:val="样式 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3">
    <w:name w:val="样式 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4">
    <w:name w:val="样式 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
    <w:name w:val="样式 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6">
    <w:name w:val="样式 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7">
    <w:name w:val="样式 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8">
    <w:name w:val="样式 1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9">
    <w:name w:val="样式 1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40">
    <w:name w:val="样式 7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1">
    <w:name w:val="样式 7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2">
    <w:name w:val="样式 7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3">
    <w:name w:val="样式 7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4">
    <w:name w:val="样式 7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5">
    <w:name w:val="样式 8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6">
    <w:name w:val="样式 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7">
    <w:name w:val="样式 8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8">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349">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350">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351">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352">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353">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样式 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57">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15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9">
    <w:name w:val="样式 89 10 磅"/>
    <w:pPr>
      <w:widowControl w:val="0"/>
      <w:jc w:val="both"/>
    </w:pPr>
    <w:rPr>
      <w:rFonts w:ascii="Times New Roman" w:eastAsia="宋体" w:cs="Times New Roman" w:hAnsi="Times New Roman"/>
      <w:kern w:val="2"/>
      <w:sz w:val="21"/>
      <w:szCs w:val="24"/>
      <w:lang w:val="en-US" w:eastAsia="zh-CN" w:bidi="ar-SA"/>
    </w:rPr>
  </w:style>
  <w:style w:type="paragraph" w:customStyle="1" w:styleId="370">
    <w:name w:val="样式 12 小五"/>
    <w:pPr>
      <w:widowControl w:val="0"/>
      <w:tabs>
        <w:tab w:val="center" w:pos="4153"/>
        <w:tab w:val="right" w:pos="8306"/>
      </w:tabs>
      <w:snapToGrid w:val="0"/>
      <w:jc w:val="left"/>
    </w:pPr>
    <w:rPr>
      <w:rFonts w:ascii="Times New Roman" w:eastAsia="宋体" w:cs="Times New Roman" w:hAnsi="Times New Roman"/>
      <w:kern w:val="2"/>
      <w:sz w:val="18"/>
      <w:szCs w:val="18"/>
      <w:lang w:val="en-US" w:eastAsia="zh-CN" w:bidi="ar-SA"/>
    </w:rPr>
  </w:style>
  <w:style w:type="paragraph" w:customStyle="1" w:styleId="371">
    <w:name w:val="样式 90 10 磅"/>
    <w:pPr>
      <w:widowControl w:val="0"/>
      <w:jc w:val="both"/>
    </w:pPr>
    <w:rPr>
      <w:rFonts w:ascii="Times New Roman" w:eastAsia="宋体"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990</TotalTime>
  <Application>Yozo_Office</Application>
  <Pages>10</Pages>
  <Words>3908</Words>
  <Characters>3971</Characters>
  <Lines>229</Lines>
  <Paragraphs>94</Paragraphs>
  <CharactersWithSpaces>4070</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何可欣</cp:lastModifiedBy>
  <cp:revision>1</cp:revision>
  <cp:lastPrinted>2024-10-28T10:20:55Z</cp:lastPrinted>
  <dcterms:created xsi:type="dcterms:W3CDTF">2024-08-29T08:36:21Z</dcterms:created>
  <dcterms:modified xsi:type="dcterms:W3CDTF">2024-10-29T10:22:47Z</dcterms:modified>
</cp:coreProperties>
</file>