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cs="宋体"/>
          <w:highlight w:val="none"/>
        </w:rPr>
      </w:pPr>
      <w:r>
        <w:rPr>
          <w:rFonts w:hint="eastAsia" w:cs="宋体"/>
          <w:highlight w:val="none"/>
          <w:lang w:eastAsia="zh-CN"/>
        </w:rPr>
        <w:t>附件</w:t>
      </w:r>
      <w:r>
        <w:rPr>
          <w:rFonts w:hint="eastAsia" w:cs="宋体"/>
          <w:highlight w:val="none"/>
          <w:lang w:val="en-US" w:eastAsia="zh-CN"/>
        </w:rPr>
        <w:t>1-1</w:t>
      </w:r>
    </w:p>
    <w:p>
      <w:pPr>
        <w:tabs>
          <w:tab w:val="left" w:pos="4963"/>
        </w:tabs>
        <w:ind w:left="108"/>
        <w:jc w:val="center"/>
        <w:rPr>
          <w:rFonts w:hint="eastAsia" w:ascii="黑体" w:hAnsi="黑体" w:eastAsia="黑体" w:cs="黑体"/>
          <w:b w:val="0"/>
          <w:bCs w:val="0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highlight w:val="none"/>
        </w:rPr>
        <w:t>资产负债表</w:t>
      </w:r>
    </w:p>
    <w:p>
      <w:pPr>
        <w:spacing w:line="360" w:lineRule="auto"/>
        <w:rPr>
          <w:rFonts w:ascii="宋体" w:hAnsi="宋体" w:cs="宋体"/>
          <w:highlight w:val="none"/>
        </w:rPr>
      </w:pPr>
      <w:r>
        <w:rPr>
          <w:rFonts w:ascii="宋体" w:hAnsi="宋体" w:cs="宋体"/>
          <w:highlight w:val="none"/>
        </w:rPr>
        <w:t xml:space="preserve">             </w:t>
      </w:r>
      <w:r>
        <w:rPr>
          <w:rFonts w:hint="eastAsia" w:ascii="宋体" w:hAnsi="宋体" w:cs="宋体"/>
          <w:highlight w:val="none"/>
          <w:lang w:val="en-US" w:eastAsia="zh-CN"/>
        </w:rPr>
        <w:t xml:space="preserve">               </w:t>
      </w:r>
      <w:r>
        <w:rPr>
          <w:rFonts w:hint="eastAsia" w:ascii="宋体" w:hAnsi="宋体" w:cs="宋体"/>
          <w:highlight w:val="none"/>
        </w:rPr>
        <w:t>截止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REF </w:instrText>
      </w:r>
      <w:r>
        <w:rPr>
          <w:rFonts w:hint="eastAsia" w:cs="宋体"/>
          <w:highlight w:val="none"/>
        </w:rPr>
        <w:instrText xml:space="preserve">单位名称</w:instrText>
      </w:r>
      <w:r>
        <w:rPr>
          <w:highlight w:val="none"/>
        </w:rPr>
        <w:instrText xml:space="preserve"> \h  \* MERGEFORMAT </w:instrText>
      </w:r>
      <w:r>
        <w:rPr>
          <w:highlight w:val="none"/>
        </w:rPr>
        <w:fldChar w:fldCharType="separate"/>
      </w:r>
      <w:r>
        <w:rPr>
          <w:rFonts w:hint="eastAsia"/>
          <w:highlight w:val="none"/>
          <w:lang w:val="en-US" w:eastAsia="zh-CN"/>
        </w:rPr>
        <w:t xml:space="preserve">[20 </w:t>
      </w:r>
      <w:r>
        <w:rPr>
          <w:rFonts w:hint="eastAsia" w:cs="宋体"/>
          <w:highlight w:val="none"/>
          <w:lang w:val="en-US" w:eastAsia="zh-CN"/>
        </w:rPr>
        <w:t xml:space="preserve"> ]</w:t>
      </w:r>
      <w:r>
        <w:rPr>
          <w:highlight w:val="none"/>
        </w:rPr>
        <w:fldChar w:fldCharType="end"/>
      </w:r>
      <w:r>
        <w:rPr>
          <w:rFonts w:hint="eastAsia" w:ascii="宋体" w:hAnsi="宋体" w:cs="宋体"/>
          <w:b/>
          <w:bCs/>
          <w:highlight w:val="none"/>
        </w:rPr>
        <w:t>年</w:t>
      </w:r>
      <w:r>
        <w:rPr>
          <w:rFonts w:ascii="宋体" w:hAnsi="宋体" w:cs="宋体"/>
          <w:b/>
          <w:bCs/>
          <w:highlight w:val="none"/>
        </w:rPr>
        <w:t>12</w:t>
      </w:r>
      <w:r>
        <w:rPr>
          <w:rFonts w:hint="eastAsia" w:ascii="宋体" w:hAnsi="宋体" w:cs="宋体"/>
          <w:b/>
          <w:bCs/>
          <w:highlight w:val="none"/>
        </w:rPr>
        <w:t>月</w:t>
      </w:r>
      <w:r>
        <w:rPr>
          <w:rFonts w:ascii="宋体" w:hAnsi="宋体" w:cs="宋体"/>
          <w:b/>
          <w:bCs/>
          <w:highlight w:val="none"/>
        </w:rPr>
        <w:t>31</w:t>
      </w:r>
      <w:r>
        <w:rPr>
          <w:rFonts w:hint="eastAsia" w:ascii="宋体" w:hAnsi="宋体" w:cs="宋体"/>
          <w:b/>
          <w:bCs/>
          <w:highlight w:val="none"/>
        </w:rPr>
        <w:t>日</w:t>
      </w:r>
    </w:p>
    <w:p>
      <w:pPr>
        <w:spacing w:line="360" w:lineRule="auto"/>
        <w:ind w:left="210" w:hanging="210" w:hangingChars="100"/>
        <w:rPr>
          <w:rFonts w:ascii="宋体" w:cs="Times New Roman"/>
          <w:highlight w:val="none"/>
        </w:rPr>
      </w:pPr>
      <w:r>
        <w:rPr>
          <w:rFonts w:hint="eastAsia" w:ascii="宋体" w:hAnsi="宋体" w:cs="宋体"/>
          <w:highlight w:val="none"/>
          <w:lang w:val="en-US" w:eastAsia="zh-CN"/>
        </w:rPr>
        <w:t>编制单位：</w:t>
      </w:r>
      <w:r>
        <w:rPr>
          <w:rFonts w:ascii="宋体" w:hAnsi="宋体" w:cs="宋体"/>
          <w:highlight w:val="none"/>
        </w:rPr>
        <w:t xml:space="preserve">                      </w:t>
      </w:r>
      <w:r>
        <w:rPr>
          <w:rFonts w:hint="eastAsia" w:ascii="宋体" w:hAnsi="宋体" w:cs="宋体"/>
          <w:highlight w:val="none"/>
          <w:lang w:val="en-US" w:eastAsia="zh-CN"/>
        </w:rPr>
        <w:t xml:space="preserve">                                        </w:t>
      </w:r>
      <w:r>
        <w:rPr>
          <w:rFonts w:hint="eastAsia" w:ascii="宋体" w:hAnsi="宋体" w:cs="宋体"/>
          <w:highlight w:val="none"/>
        </w:rPr>
        <w:t>单位：元</w:t>
      </w:r>
    </w:p>
    <w:tbl>
      <w:tblPr>
        <w:tblStyle w:val="2"/>
        <w:tblW w:w="932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48"/>
        <w:gridCol w:w="600"/>
        <w:gridCol w:w="760"/>
        <w:gridCol w:w="810"/>
        <w:gridCol w:w="2470"/>
        <w:gridCol w:w="580"/>
        <w:gridCol w:w="840"/>
        <w:gridCol w:w="7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资</w:t>
            </w:r>
            <w:r>
              <w:rPr>
                <w:rFonts w:ascii="黑体" w:hAnsi="黑体" w:eastAsia="黑体" w:cs="黑体"/>
                <w:color w:val="000000"/>
                <w:sz w:val="20"/>
                <w:szCs w:val="20"/>
              </w:rPr>
              <w:t xml:space="preserve">   </w:t>
            </w: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产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行次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年初数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年末数</w:t>
            </w: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负债和净资产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行次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年初数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年末数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流动资产：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流动负债：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货币资金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短期借款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61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短期投资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应付款项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62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应收款项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应付工资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63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预付账款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应交税金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65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存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货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eastAsia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预收账款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66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待摊费用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eastAsia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预提费用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71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ind w:firstLine="360" w:firstLineChars="200"/>
              <w:jc w:val="left"/>
              <w:textAlignment w:val="bottom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一年内到期的长期债权投资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预计负债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72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其他流动资产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1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ind w:firstLine="400" w:firstLineChars="20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一年内到期的长期负债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74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流动资产合计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其他流动负债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78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流动负债合计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80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长期投资：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长期股权投资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长期负债：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长期债权投资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长期借款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81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长期投资合计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长期应付款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84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固定资产：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其他长期负债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88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固定资产原价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长期负债合计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90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减：累计折旧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固定资产净值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33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受托代理负债：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在建工程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34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受托代理负债：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91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文物文化资产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负债合计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固定资产清理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38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固定资产合计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净资产：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无形资产：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非限定性净资产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101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无形资产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41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限定性净资产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105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受托代理资产：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净资产合计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110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受托代理资产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51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资产总计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60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负债和净资产总计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120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328" w:type="dxa"/>
            <w:gridSpan w:val="8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单位负责人：</w:t>
            </w:r>
            <w:r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 xml:space="preserve">    </w:t>
            </w:r>
            <w:r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主管会计工作的负责人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：</w:t>
            </w:r>
            <w:r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  <w:t xml:space="preserve">        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会计机构负责人</w:t>
            </w:r>
            <w:r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  <w:t>:</w:t>
            </w:r>
          </w:p>
        </w:tc>
      </w:tr>
    </w:tbl>
    <w:p>
      <w:pPr>
        <w:rPr>
          <w:rFonts w:hint="eastAsia" w:cs="宋体"/>
          <w:highlight w:val="none"/>
          <w:lang w:eastAsia="zh-CN"/>
        </w:rPr>
      </w:pPr>
    </w:p>
    <w:p>
      <w:pPr>
        <w:rPr>
          <w:rFonts w:hint="eastAsia" w:cs="宋体"/>
          <w:highlight w:val="none"/>
          <w:lang w:eastAsia="zh-CN"/>
        </w:rPr>
      </w:pPr>
    </w:p>
    <w:p>
      <w:pPr>
        <w:rPr>
          <w:rFonts w:hint="eastAsia" w:cs="宋体"/>
          <w:highlight w:val="none"/>
          <w:lang w:eastAsia="zh-CN"/>
        </w:rPr>
      </w:pPr>
    </w:p>
    <w:p>
      <w:pPr>
        <w:rPr>
          <w:rFonts w:hint="default" w:cs="宋体"/>
          <w:highlight w:val="none"/>
          <w:lang w:val="en-US" w:eastAsia="zh-CN"/>
        </w:rPr>
      </w:pPr>
      <w:r>
        <w:rPr>
          <w:rFonts w:hint="eastAsia" w:cs="宋体"/>
          <w:highlight w:val="none"/>
          <w:lang w:eastAsia="zh-CN"/>
        </w:rPr>
        <w:t>附件</w:t>
      </w:r>
      <w:r>
        <w:rPr>
          <w:rFonts w:hint="eastAsia" w:cs="宋体"/>
          <w:highlight w:val="none"/>
          <w:lang w:val="en-US" w:eastAsia="zh-CN"/>
        </w:rPr>
        <w:t>1-2</w:t>
      </w:r>
    </w:p>
    <w:p>
      <w:pPr>
        <w:tabs>
          <w:tab w:val="left" w:pos="4963"/>
        </w:tabs>
        <w:ind w:left="108"/>
        <w:jc w:val="center"/>
        <w:rPr>
          <w:rFonts w:hint="eastAsia" w:ascii="黑体" w:hAnsi="黑体" w:eastAsia="黑体" w:cs="黑体"/>
          <w:b w:val="0"/>
          <w:bCs w:val="0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highlight w:val="none"/>
        </w:rPr>
        <w:t>业务活动表</w:t>
      </w:r>
    </w:p>
    <w:p>
      <w:pPr>
        <w:spacing w:line="360" w:lineRule="auto"/>
        <w:jc w:val="center"/>
        <w:rPr>
          <w:rFonts w:ascii="宋体" w:hAnsi="宋体" w:cs="宋体"/>
          <w:highlight w:val="none"/>
        </w:rPr>
      </w:pPr>
      <w:r>
        <w:rPr>
          <w:highlight w:val="none"/>
        </w:rPr>
        <w:fldChar w:fldCharType="begin"/>
      </w:r>
      <w:r>
        <w:rPr>
          <w:highlight w:val="none"/>
        </w:rPr>
        <w:instrText xml:space="preserve"> REF </w:instrText>
      </w:r>
      <w:r>
        <w:rPr>
          <w:rFonts w:hint="eastAsia" w:cs="宋体"/>
          <w:highlight w:val="none"/>
        </w:rPr>
        <w:instrText xml:space="preserve">单位名称</w:instrText>
      </w:r>
      <w:r>
        <w:rPr>
          <w:highlight w:val="none"/>
        </w:rPr>
        <w:instrText xml:space="preserve"> \h  \* MERGEFORMAT </w:instrText>
      </w:r>
      <w:r>
        <w:rPr>
          <w:highlight w:val="none"/>
        </w:rPr>
        <w:fldChar w:fldCharType="separate"/>
      </w:r>
      <w:r>
        <w:rPr>
          <w:rFonts w:hint="eastAsia"/>
          <w:highlight w:val="none"/>
          <w:lang w:val="en-US" w:eastAsia="zh-CN"/>
        </w:rPr>
        <w:t xml:space="preserve">[20 </w:t>
      </w:r>
      <w:r>
        <w:rPr>
          <w:rFonts w:hint="eastAsia" w:cs="宋体"/>
          <w:highlight w:val="none"/>
          <w:lang w:val="en-US" w:eastAsia="zh-CN"/>
        </w:rPr>
        <w:t xml:space="preserve">  ]</w:t>
      </w:r>
      <w:r>
        <w:rPr>
          <w:highlight w:val="none"/>
        </w:rPr>
        <w:fldChar w:fldCharType="end"/>
      </w:r>
      <w:r>
        <w:rPr>
          <w:rFonts w:hint="eastAsia" w:ascii="宋体" w:hAnsi="宋体" w:cs="宋体"/>
          <w:highlight w:val="none"/>
          <w:lang w:val="en-US" w:eastAsia="zh-CN"/>
        </w:rPr>
        <w:t>年度</w:t>
      </w:r>
    </w:p>
    <w:p>
      <w:pPr>
        <w:spacing w:line="360" w:lineRule="auto"/>
        <w:rPr>
          <w:rFonts w:ascii="宋体" w:cs="Times New Roman"/>
          <w:highlight w:val="none"/>
        </w:rPr>
      </w:pPr>
      <w:r>
        <w:rPr>
          <w:rFonts w:hint="eastAsia" w:ascii="宋体" w:hAnsi="宋体" w:cs="宋体"/>
          <w:highlight w:val="none"/>
          <w:lang w:val="en-US" w:eastAsia="zh-CN"/>
        </w:rPr>
        <w:t xml:space="preserve">编制单位：                                                           </w:t>
      </w:r>
      <w:r>
        <w:rPr>
          <w:rFonts w:hint="eastAsia" w:ascii="宋体" w:hAnsi="宋体" w:cs="宋体"/>
          <w:highlight w:val="none"/>
        </w:rPr>
        <w:t>单位：元</w:t>
      </w:r>
    </w:p>
    <w:tbl>
      <w:tblPr>
        <w:tblStyle w:val="2"/>
        <w:tblW w:w="946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4"/>
        <w:gridCol w:w="616"/>
        <w:gridCol w:w="1200"/>
        <w:gridCol w:w="945"/>
        <w:gridCol w:w="810"/>
        <w:gridCol w:w="1155"/>
        <w:gridCol w:w="960"/>
        <w:gridCol w:w="10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7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黑体" w:hAnsi="黑体" w:eastAsia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sz w:val="22"/>
                <w:szCs w:val="22"/>
              </w:rPr>
              <w:t>项</w:t>
            </w:r>
            <w:r>
              <w:rPr>
                <w:rFonts w:ascii="黑体" w:hAnsi="黑体" w:eastAsia="黑体" w:cs="黑体"/>
                <w:color w:val="000000"/>
                <w:sz w:val="22"/>
                <w:szCs w:val="22"/>
              </w:rPr>
              <w:t xml:space="preserve">       </w:t>
            </w:r>
            <w:r>
              <w:rPr>
                <w:rFonts w:hint="eastAsia" w:ascii="黑体" w:hAnsi="黑体" w:eastAsia="黑体" w:cs="黑体"/>
                <w:color w:val="000000"/>
                <w:sz w:val="22"/>
                <w:szCs w:val="22"/>
              </w:rPr>
              <w:t>目</w:t>
            </w:r>
          </w:p>
        </w:tc>
        <w:tc>
          <w:tcPr>
            <w:tcW w:w="6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黑体" w:hAnsi="黑体" w:eastAsia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sz w:val="22"/>
                <w:szCs w:val="22"/>
              </w:rPr>
              <w:t>行次</w:t>
            </w:r>
          </w:p>
        </w:tc>
        <w:tc>
          <w:tcPr>
            <w:tcW w:w="29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sz w:val="22"/>
                <w:szCs w:val="22"/>
              </w:rPr>
              <w:t>上</w:t>
            </w:r>
            <w:r>
              <w:rPr>
                <w:rFonts w:ascii="黑体" w:hAnsi="黑体" w:eastAsia="黑体" w:cs="黑体"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eastAsia" w:ascii="黑体" w:hAnsi="黑体" w:eastAsia="黑体" w:cs="黑体"/>
                <w:color w:val="000000"/>
                <w:sz w:val="22"/>
                <w:szCs w:val="22"/>
              </w:rPr>
              <w:t>年</w:t>
            </w:r>
            <w:r>
              <w:rPr>
                <w:rFonts w:ascii="黑体" w:hAnsi="黑体" w:eastAsia="黑体" w:cs="黑体"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eastAsia" w:ascii="黑体" w:hAnsi="黑体" w:eastAsia="黑体" w:cs="黑体"/>
                <w:color w:val="000000"/>
                <w:sz w:val="22"/>
                <w:szCs w:val="22"/>
              </w:rPr>
              <w:t>数</w:t>
            </w:r>
            <w:r>
              <w:rPr>
                <w:rFonts w:ascii="黑体" w:hAnsi="黑体" w:eastAsia="黑体" w:cs="黑体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31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sz w:val="22"/>
                <w:szCs w:val="22"/>
              </w:rPr>
              <w:t>本</w:t>
            </w:r>
            <w:r>
              <w:rPr>
                <w:rFonts w:ascii="黑体" w:hAnsi="黑体" w:eastAsia="黑体" w:cs="黑体"/>
                <w:color w:val="000000"/>
                <w:sz w:val="22"/>
                <w:szCs w:val="22"/>
              </w:rPr>
              <w:t xml:space="preserve">  </w:t>
            </w:r>
            <w:r>
              <w:rPr>
                <w:rFonts w:hint="eastAsia" w:ascii="黑体" w:hAnsi="黑体" w:eastAsia="黑体" w:cs="黑体"/>
                <w:color w:val="000000"/>
                <w:sz w:val="22"/>
                <w:szCs w:val="22"/>
              </w:rPr>
              <w:t>年</w:t>
            </w:r>
            <w:r>
              <w:rPr>
                <w:rFonts w:ascii="黑体" w:hAnsi="黑体" w:eastAsia="黑体" w:cs="黑体"/>
                <w:color w:val="000000"/>
                <w:sz w:val="22"/>
                <w:szCs w:val="22"/>
              </w:rPr>
              <w:t xml:space="preserve">  </w:t>
            </w:r>
            <w:r>
              <w:rPr>
                <w:rFonts w:hint="eastAsia" w:ascii="黑体" w:hAnsi="黑体" w:eastAsia="黑体" w:cs="黑体"/>
                <w:color w:val="000000"/>
                <w:sz w:val="22"/>
                <w:szCs w:val="22"/>
              </w:rPr>
              <w:t>累</w:t>
            </w:r>
            <w:r>
              <w:rPr>
                <w:rFonts w:ascii="黑体" w:hAnsi="黑体" w:eastAsia="黑体" w:cs="黑体"/>
                <w:color w:val="000000"/>
                <w:sz w:val="22"/>
                <w:szCs w:val="22"/>
              </w:rPr>
              <w:t xml:space="preserve">  </w:t>
            </w:r>
            <w:r>
              <w:rPr>
                <w:rFonts w:hint="eastAsia" w:ascii="黑体" w:hAnsi="黑体" w:eastAsia="黑体" w:cs="黑体"/>
                <w:color w:val="000000"/>
                <w:sz w:val="22"/>
                <w:szCs w:val="22"/>
              </w:rPr>
              <w:t>计</w:t>
            </w:r>
            <w:r>
              <w:rPr>
                <w:rFonts w:ascii="黑体" w:hAnsi="黑体" w:eastAsia="黑体" w:cs="黑体"/>
                <w:color w:val="000000"/>
                <w:sz w:val="22"/>
                <w:szCs w:val="22"/>
              </w:rPr>
              <w:t xml:space="preserve">  </w:t>
            </w:r>
            <w:r>
              <w:rPr>
                <w:rFonts w:hint="eastAsia" w:ascii="黑体" w:hAnsi="黑体" w:eastAsia="黑体" w:cs="黑体"/>
                <w:color w:val="000000"/>
                <w:sz w:val="22"/>
                <w:szCs w:val="22"/>
              </w:rPr>
              <w:t>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7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/>
        </w:tc>
        <w:tc>
          <w:tcPr>
            <w:tcW w:w="6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/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sz w:val="22"/>
                <w:szCs w:val="22"/>
              </w:rPr>
              <w:t>非限定性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sz w:val="22"/>
                <w:szCs w:val="22"/>
              </w:rPr>
              <w:t>限定性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sz w:val="22"/>
                <w:szCs w:val="22"/>
              </w:rPr>
              <w:t>合计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sz w:val="22"/>
                <w:szCs w:val="22"/>
              </w:rPr>
              <w:t>非限定性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sz w:val="22"/>
                <w:szCs w:val="22"/>
              </w:rPr>
              <w:t>限定性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000000"/>
                <w:sz w:val="22"/>
                <w:szCs w:val="22"/>
              </w:rPr>
              <w:t>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一、收入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其中：捐赠收入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提供服务收入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eastAsia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商品销售收入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eastAsia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政府补助收入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eastAsia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投资收益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both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eastAsia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收入合计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二、费用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（一）业务活动成本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hint="default" w:ascii="宋体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其中：</w:t>
            </w: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 xml:space="preserve">人员费用 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ind w:firstLine="800" w:firstLineChars="400"/>
              <w:jc w:val="left"/>
              <w:textAlignment w:val="bottom"/>
              <w:rPr>
                <w:rFonts w:hint="eastAsia" w:ascii="宋体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  <w:t>日常费用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ind w:firstLine="800" w:firstLineChars="400"/>
              <w:jc w:val="left"/>
              <w:textAlignment w:val="bottom"/>
              <w:rPr>
                <w:rFonts w:hint="eastAsia" w:ascii="宋体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  <w:t>固定资产折旧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ind w:firstLine="800" w:firstLineChars="400"/>
              <w:jc w:val="left"/>
              <w:textAlignment w:val="bottom"/>
              <w:rPr>
                <w:rFonts w:hint="eastAsia" w:ascii="宋体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  <w:t>税费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（二）管理费用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（三）筹资费用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（四）其他费用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费用合计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三、限定性净资产转为非限定性净资产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四、净资产变动额（若为净资产减少额，以</w:t>
            </w:r>
            <w:r>
              <w:rPr>
                <w:rFonts w:hint="eastAsia" w:ascii="宋体" w:cs="宋体"/>
                <w:color w:val="000000"/>
                <w:sz w:val="20"/>
                <w:szCs w:val="20"/>
              </w:rPr>
              <w:t>“</w:t>
            </w:r>
            <w:r>
              <w:rPr>
                <w:rFonts w:ascii="宋体" w:cs="宋体"/>
                <w:color w:val="000000"/>
                <w:sz w:val="20"/>
                <w:szCs w:val="20"/>
              </w:rPr>
              <w:t>-</w:t>
            </w:r>
            <w:r>
              <w:rPr>
                <w:rFonts w:hint="eastAsia" w:ascii="宋体" w:cs="宋体"/>
                <w:color w:val="000000"/>
                <w:sz w:val="20"/>
                <w:szCs w:val="20"/>
              </w:rPr>
              <w:t>”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号填列）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45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465" w:type="dxa"/>
            <w:gridSpan w:val="8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autoSpaceDN w:val="0"/>
              <w:jc w:val="left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单位负责人：</w:t>
            </w:r>
            <w:r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 xml:space="preserve">    </w:t>
            </w:r>
            <w:r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主管会计工作的负责人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：</w:t>
            </w:r>
            <w:r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  <w:t xml:space="preserve">        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val="en-US" w:eastAsia="zh-CN"/>
              </w:rPr>
              <w:t>会计机构负责人</w:t>
            </w:r>
            <w:r>
              <w:rPr>
                <w:rFonts w:ascii="宋体" w:hAnsi="宋体" w:cs="宋体"/>
                <w:color w:val="000000"/>
                <w:sz w:val="20"/>
                <w:szCs w:val="20"/>
                <w:highlight w:val="none"/>
              </w:rPr>
              <w:t>:</w:t>
            </w:r>
          </w:p>
        </w:tc>
      </w:tr>
    </w:tbl>
    <w:tbl>
      <w:tblPr>
        <w:tblStyle w:val="2"/>
        <w:tblpPr w:leftFromText="180" w:rightFromText="180" w:vertAnchor="text" w:horzAnchor="page" w:tblpX="1592" w:tblpY="-179"/>
        <w:tblOverlap w:val="never"/>
        <w:tblW w:w="955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753"/>
        <w:gridCol w:w="2452"/>
        <w:gridCol w:w="240"/>
        <w:gridCol w:w="772"/>
        <w:gridCol w:w="25"/>
        <w:gridCol w:w="1588"/>
        <w:gridCol w:w="730"/>
        <w:gridCol w:w="901"/>
        <w:gridCol w:w="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16" w:type="dxa"/>
          <w:trHeight w:val="329" w:hRule="atLeast"/>
        </w:trPr>
        <w:tc>
          <w:tcPr>
            <w:tcW w:w="1080" w:type="dxa"/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eastAsia="zh-CN"/>
              </w:rPr>
              <w:t>附件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sz w:val="21"/>
                <w:szCs w:val="21"/>
                <w:highlight w:val="none"/>
                <w:lang w:val="en-US" w:eastAsia="zh-CN"/>
              </w:rPr>
              <w:t>-3</w:t>
            </w:r>
          </w:p>
        </w:tc>
        <w:tc>
          <w:tcPr>
            <w:tcW w:w="1753" w:type="dxa"/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52" w:type="dxa"/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40" w:type="dxa"/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97" w:type="dxa"/>
            <w:gridSpan w:val="2"/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16" w:type="dxa"/>
          <w:trHeight w:val="347" w:hRule="atLeast"/>
        </w:trPr>
        <w:tc>
          <w:tcPr>
            <w:tcW w:w="8640" w:type="dxa"/>
            <w:gridSpan w:val="8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40"/>
                <w:szCs w:val="40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highlight w:val="none"/>
              </w:rPr>
              <w:t>现 金 流 量 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16" w:type="dxa"/>
          <w:trHeight w:val="315" w:hRule="atLeast"/>
        </w:trPr>
        <w:tc>
          <w:tcPr>
            <w:tcW w:w="8640" w:type="dxa"/>
            <w:gridSpan w:val="8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highlight w:val="none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REF </w:instrText>
            </w:r>
            <w:r>
              <w:rPr>
                <w:rFonts w:hint="eastAsia" w:cs="宋体"/>
                <w:highlight w:val="none"/>
              </w:rPr>
              <w:instrText xml:space="preserve">单位名称</w:instrText>
            </w:r>
            <w:r>
              <w:rPr>
                <w:highlight w:val="none"/>
              </w:rPr>
              <w:instrText xml:space="preserve"> \h  \* MERGEFORMAT </w:instrText>
            </w:r>
            <w:r>
              <w:rPr>
                <w:highlight w:val="none"/>
              </w:rPr>
              <w:fldChar w:fldCharType="separate"/>
            </w:r>
            <w:r>
              <w:rPr>
                <w:rFonts w:hint="eastAsia"/>
                <w:highlight w:val="none"/>
                <w:lang w:val="en-US" w:eastAsia="zh-CN"/>
              </w:rPr>
              <w:t xml:space="preserve">[20 </w:t>
            </w:r>
            <w:r>
              <w:rPr>
                <w:rFonts w:hint="eastAsia" w:cs="宋体"/>
                <w:highlight w:val="none"/>
                <w:lang w:val="en-US" w:eastAsia="zh-CN"/>
              </w:rPr>
              <w:t xml:space="preserve">  ]</w:t>
            </w:r>
            <w:r>
              <w:rPr>
                <w:highlight w:val="none"/>
              </w:rPr>
              <w:fldChar w:fldCharType="end"/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  <w:t>年度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7910" w:type="dxa"/>
            <w:gridSpan w:val="7"/>
            <w:tcBorders>
              <w:bottom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编制单位：</w:t>
            </w:r>
          </w:p>
        </w:tc>
        <w:tc>
          <w:tcPr>
            <w:tcW w:w="1646" w:type="dxa"/>
            <w:gridSpan w:val="3"/>
            <w:tcBorders>
              <w:bottom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righ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单位：元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项</w:t>
            </w:r>
            <w:r>
              <w:rPr>
                <w:rFonts w:ascii="黑体" w:hAnsi="黑体" w:eastAsia="黑体" w:cs="黑体"/>
                <w:color w:val="000000"/>
                <w:sz w:val="20"/>
                <w:szCs w:val="20"/>
              </w:rPr>
              <w:t xml:space="preserve">       </w:t>
            </w: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目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行次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金</w:t>
            </w:r>
            <w:r>
              <w:rPr>
                <w:rFonts w:ascii="黑体" w:hAnsi="黑体" w:eastAsia="黑体" w:cs="黑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一、业务活动产生的现金流量：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接受捐赠收到的现金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eastAsia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提供服务收到的现金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eastAsia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销售商品收到的现金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eastAsia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政府补助收到的现金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eastAsia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收到的其他与业务活动有关的现金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现金流入小计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提供捐赠或者资助支付的现金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支付给员工以及为员工支付的现金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购买商品、接受服务支付的现金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支付的其他与业务活动有关的现金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现金流出小计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业务活动产生的现金流量净额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二、投资活动产生的现金流量：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收回投资所收到的现金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取得投资收益所收到的现金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26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处置固定资产和无形资产所收回的现金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收到的其他与投资活动有关的现金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现金流入小计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34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购建固定资产和无形资产所支付的现金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对外投资所支付的现金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支付的其他与投资活动有关的现金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39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现金流出小计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43</w:t>
            </w:r>
          </w:p>
        </w:tc>
        <w:tc>
          <w:tcPr>
            <w:tcW w:w="16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260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投资活动产生的现金流量净额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44</w:t>
            </w:r>
          </w:p>
        </w:tc>
        <w:tc>
          <w:tcPr>
            <w:tcW w:w="1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85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三、筹资活动产生的现金流量：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color w:val="000000"/>
                <w:sz w:val="20"/>
                <w:szCs w:val="20"/>
              </w:rPr>
            </w:pPr>
          </w:p>
        </w:tc>
        <w:tc>
          <w:tcPr>
            <w:tcW w:w="1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97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借款所收到的现金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45</w:t>
            </w:r>
          </w:p>
        </w:tc>
        <w:tc>
          <w:tcPr>
            <w:tcW w:w="1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345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收到的其他与筹资活动有关的现金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48</w:t>
            </w:r>
          </w:p>
        </w:tc>
        <w:tc>
          <w:tcPr>
            <w:tcW w:w="1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212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现金流入小计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50</w:t>
            </w:r>
          </w:p>
        </w:tc>
        <w:tc>
          <w:tcPr>
            <w:tcW w:w="1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97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偿还借款所支付的现金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51</w:t>
            </w:r>
          </w:p>
        </w:tc>
        <w:tc>
          <w:tcPr>
            <w:tcW w:w="1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07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偿付利息所支付的现金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52</w:t>
            </w:r>
          </w:p>
        </w:tc>
        <w:tc>
          <w:tcPr>
            <w:tcW w:w="1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230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支付的其他与筹资活动有关的现金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55</w:t>
            </w:r>
          </w:p>
        </w:tc>
        <w:tc>
          <w:tcPr>
            <w:tcW w:w="1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22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现金流出小计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58</w:t>
            </w:r>
          </w:p>
        </w:tc>
        <w:tc>
          <w:tcPr>
            <w:tcW w:w="1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215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筹资活动产生的现金流量净额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59</w:t>
            </w:r>
          </w:p>
        </w:tc>
        <w:tc>
          <w:tcPr>
            <w:tcW w:w="1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170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四、汇率变动对现金的影响额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60</w:t>
            </w:r>
          </w:p>
        </w:tc>
        <w:tc>
          <w:tcPr>
            <w:tcW w:w="1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200" w:hRule="atLeast"/>
        </w:trPr>
        <w:tc>
          <w:tcPr>
            <w:tcW w:w="62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五、现金及现金等价物净增加额</w:t>
            </w:r>
          </w:p>
        </w:tc>
        <w:tc>
          <w:tcPr>
            <w:tcW w:w="1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center"/>
              <w:textAlignment w:val="bottom"/>
              <w:rPr>
                <w:rFonts w:hint="default" w:eastAsia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61</w:t>
            </w:r>
          </w:p>
        </w:tc>
        <w:tc>
          <w:tcPr>
            <w:tcW w:w="1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autoSpaceDN w:val="0"/>
              <w:jc w:val="left"/>
              <w:textAlignment w:val="bottom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 xml:space="preserve"> </w:t>
            </w:r>
          </w:p>
        </w:tc>
      </w:tr>
    </w:tbl>
    <w:p>
      <w:r>
        <w:rPr>
          <w:rFonts w:hint="eastAsia" w:ascii="宋体" w:hAnsi="宋体" w:cs="宋体"/>
          <w:color w:val="000000"/>
          <w:sz w:val="20"/>
          <w:szCs w:val="20"/>
          <w:highlight w:val="none"/>
        </w:rPr>
        <w:t>单位负责人：</w:t>
      </w:r>
      <w:r>
        <w:rPr>
          <w:rFonts w:ascii="宋体" w:hAnsi="宋体" w:cs="宋体"/>
          <w:color w:val="000000"/>
          <w:sz w:val="20"/>
          <w:szCs w:val="20"/>
          <w:highlight w:val="none"/>
        </w:rPr>
        <w:t xml:space="preserve">      </w:t>
      </w:r>
      <w:r>
        <w:rPr>
          <w:rFonts w:hint="eastAsia" w:ascii="宋体" w:hAnsi="宋体" w:cs="宋体"/>
          <w:color w:val="000000"/>
          <w:sz w:val="20"/>
          <w:szCs w:val="20"/>
          <w:highlight w:val="none"/>
          <w:lang w:val="en-US" w:eastAsia="zh-CN"/>
        </w:rPr>
        <w:t xml:space="preserve">    </w:t>
      </w:r>
      <w:r>
        <w:rPr>
          <w:rFonts w:ascii="宋体" w:hAnsi="宋体" w:cs="宋体"/>
          <w:color w:val="000000"/>
          <w:sz w:val="20"/>
          <w:szCs w:val="20"/>
          <w:highlight w:val="none"/>
        </w:rPr>
        <w:t xml:space="preserve">   </w:t>
      </w:r>
      <w:r>
        <w:rPr>
          <w:rFonts w:hint="eastAsia" w:ascii="宋体" w:hAnsi="宋体" w:cs="宋体"/>
          <w:color w:val="000000"/>
          <w:sz w:val="20"/>
          <w:szCs w:val="20"/>
          <w:highlight w:val="none"/>
          <w:lang w:val="en-US" w:eastAsia="zh-CN"/>
        </w:rPr>
        <w:t>主管会计工作的负责人</w:t>
      </w:r>
      <w:r>
        <w:rPr>
          <w:rFonts w:hint="eastAsia" w:ascii="宋体" w:hAnsi="宋体" w:cs="宋体"/>
          <w:color w:val="000000"/>
          <w:sz w:val="20"/>
          <w:szCs w:val="20"/>
          <w:highlight w:val="none"/>
        </w:rPr>
        <w:t>：</w:t>
      </w:r>
      <w:r>
        <w:rPr>
          <w:rFonts w:ascii="宋体" w:hAnsi="宋体" w:cs="宋体"/>
          <w:color w:val="000000"/>
          <w:sz w:val="20"/>
          <w:szCs w:val="20"/>
          <w:highlight w:val="none"/>
        </w:rPr>
        <w:t xml:space="preserve">            </w:t>
      </w:r>
      <w:r>
        <w:rPr>
          <w:rFonts w:hint="eastAsia" w:ascii="宋体" w:hAnsi="宋体" w:cs="宋体"/>
          <w:color w:val="000000"/>
          <w:sz w:val="20"/>
          <w:szCs w:val="20"/>
          <w:highlight w:val="none"/>
          <w:lang w:val="en-US" w:eastAsia="zh-CN"/>
        </w:rPr>
        <w:t>会计机构负责人</w:t>
      </w:r>
      <w:r>
        <w:rPr>
          <w:rFonts w:ascii="宋体" w:hAnsi="宋体" w:cs="宋体"/>
          <w:color w:val="000000"/>
          <w:sz w:val="20"/>
          <w:szCs w:val="20"/>
          <w:highlight w:val="none"/>
        </w:rPr>
        <w:t>: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1NTA3YWYxNzdmZTUwZDA0ZWZjODA0NjI1MmQwOGMifQ=="/>
    <w:docVar w:name="KSO_WPS_MARK_KEY" w:val="75d3eff6-440c-4d11-b9a6-a7b60d28b141"/>
  </w:docVars>
  <w:rsids>
    <w:rsidRoot w:val="656820EE"/>
    <w:rsid w:val="0F943044"/>
    <w:rsid w:val="5B77571F"/>
    <w:rsid w:val="5D9B2734"/>
    <w:rsid w:val="61943CA7"/>
    <w:rsid w:val="656820EE"/>
    <w:rsid w:val="7A53759E"/>
    <w:rsid w:val="7DDFA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1116</Words>
  <Characters>1210</Characters>
  <Lines>0</Lines>
  <Paragraphs>0</Paragraphs>
  <TotalTime>12</TotalTime>
  <ScaleCrop>false</ScaleCrop>
  <LinksUpToDate>false</LinksUpToDate>
  <CharactersWithSpaces>1943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2025-01-10T14:30:00Z</dcterms:created>
  <dc:creator>刘晓明</dc:creator>
  <cp:lastModifiedBy>牟秉忠</cp:lastModifiedBy>
  <dcterms:modified xsi:type="dcterms:W3CDTF">2025-01-22T06:11:41Z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776C32C810794160BDC3C3C2675AE54A_13</vt:lpwstr>
  </property>
  <property fmtid="{D5CDD505-2E9C-101B-9397-08002B2CF9AE}" pid="4" name="KSOTemplateDocerSaveRecord">
    <vt:lpwstr>eyJoZGlkIjoiOTUxYTg2M2Y4ZGNjYWFkYmU0ZjY4NTAzNGY5NzZlM2EiLCJ1c2VySWQiOiI1NzAzOTQ4NTkifQ==</vt:lpwstr>
  </property>
</Properties>
</file>