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0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Style w:val="6"/>
          <w:rFonts w:hint="default" w:ascii="Times New Roman" w:hAnsi="Times New Roman" w:eastAsia="方正黑体_GBK" w:cs="Times New Roman"/>
          <w:sz w:val="32"/>
          <w:szCs w:val="32"/>
          <w:u w:val="none"/>
          <w:lang w:val="en-US"/>
        </w:rPr>
      </w:pPr>
      <w:r>
        <w:rPr>
          <w:rStyle w:val="6"/>
          <w:rFonts w:hint="default" w:ascii="Times New Roman" w:hAnsi="Times New Roman" w:eastAsia="方正黑体_GBK" w:cs="Times New Roman"/>
          <w:sz w:val="32"/>
          <w:szCs w:val="32"/>
          <w:u w:val="none"/>
        </w:rPr>
        <w:t>附件</w:t>
      </w:r>
      <w:r>
        <w:rPr>
          <w:rStyle w:val="6"/>
          <w:rFonts w:hint="default" w:ascii="Times New Roman" w:hAnsi="Times New Roman" w:eastAsia="方正黑体_GBK" w:cs="Times New Roman"/>
          <w:sz w:val="32"/>
          <w:szCs w:val="32"/>
          <w:u w:val="none"/>
          <w:lang w:val="en-US"/>
        </w:rPr>
        <w:t>1</w:t>
      </w:r>
    </w:p>
    <w:p w14:paraId="7F81364B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4656DC0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打造通用人工智能产业创新和应用高地</w:t>
      </w:r>
    </w:p>
    <w:p w14:paraId="1930A269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若干政策（2.0版）</w:t>
      </w:r>
    </w:p>
    <w:p w14:paraId="346DFE79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FE4F01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为深入贯彻落实《安徽省加快推动“人工智能+”行动方案》，加速大模型等人工智能技术赋能千行百业，推动我省率先进入通用人工智能时代，制定如下政策。</w:t>
      </w:r>
    </w:p>
    <w:p w14:paraId="546DCF55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强化重大应用场景供给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设立人工智能场景创新项目，支持面向“人工智能+”科技创新、产业升级、公共服务、社会民生等开放场景机会，鼓励围绕优势细分行业创设典型场景，每年发布一批应用场景创新重点任务并组织“揭榜挂帅”，对揭榜成功的项目给予不超过场景开发投入的20%、最高1000万元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牵头单位：省科技厅；配合单位：省有关部门，各市人民政府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）支持建设科学研究领域人工智能应用基地，按不超过项目主体当年研发投入的30%，给予最高1000万元支持。（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牵头单位：省科技厅；配合单位：省财政厅，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关市人民政府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1CEEC520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促进垂类模型应用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。开展省级通用人工智能场景应用标杆评比，对评选优秀的案例给予场景开发投入的20%、最高100万元支持。本条款与第1条中应用场景揭榜项目政策不重复资金支持。（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牵头单位：省科技厅；配合单位：省有关部门，各市人民政府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）支持通用人工智能创新产品申报省“三首”产品。依法依规在招投标和政府采购中采用首购、订购等方式采购，促进产品研发和示范应用。（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牵头单位：省工业和信息化厅、省科技厅、省财政厅）</w:t>
      </w:r>
    </w:p>
    <w:p w14:paraId="289F106F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降低算力使用成本。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升级完善省级智能算力统筹调度平台。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（牵头单位：省数据资源局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）鼓励企业、高校院所利用智能算力资源开展科技创新，省级根据调度平台中算力实际使用量，对企业、高校院所等算力使用方（自建自用除外）给予不超过算力总支出20%的支持。（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牵头单位：省科技厅；配合单位：省发展改革委、省财政厅、省数据资源局，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关市人民政府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59B616F1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强化关键核心技术攻关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。通过“揭榜挂帅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赛马”等方式，在省级科技计划项目中支持通用大模型、垂类模型、数据标注创新、安全可控技术以及通用人工智能其他路径探索的应用研究。（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牵头单位：省科技厅；配合单位：省发展改革委、省工业和信息化厅、省财政厅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、省数据资源局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在省自然科学基金中设立人工智能赋能科学研究项目指南，重点支持青年人才使用AI科研工具开展基础研究。在省科技计划项目中设立AI青年科学家项目指南，支持青年科学家开展垂类模型研发、工程化创新和非共识项目等攻关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牵头单位：省科技厅；配合单位：省财政厅，各市人民政府）</w:t>
      </w:r>
    </w:p>
    <w:p w14:paraId="25CFFA37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举办创新应用活动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举办通用人工智能创新应用全国大赛，努力打造成为全国性著名赛事，对创新能力强、市场前景广、应用成效显著并在皖转化的获奖项目，省市统筹相关基金资金，给予股权投资、债权投入、人才奖励、大赛奖金等创新创业政策支持，最高支持3000万元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牵头单位：省科技厅；配合单位：省财政厅，各市人民政府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）鼓励国家级学会在皖举办人工智能领域高水平、高规格学术研讨、产学研对接等活动，根据活动规模影响予以支持。（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牵头单位：省科技厅；配合单位：省财政厅，各市人民政府）</w:t>
      </w:r>
    </w:p>
    <w:p w14:paraId="116E5B66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支持产业集聚发展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。支持各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体争创省级通用人工智能产业创新园区。适时开展园区绩效评价并分类予以奖励，最高500万元，用于企业培育、平台建设、服务能力提升等。对获得《安徽省支持未来产业发展若干措施》支持且所属领域为“通用智能”的省级未来产业先导区不重复资金支持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牵头单位：省科技厅；配合单位：各市人民政府）</w:t>
      </w:r>
    </w:p>
    <w:p w14:paraId="56F65450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强化人才保障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通用人工智能领域企业创始人、核心骨干，开辟人才认定绿色通道。（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关市人民政府；配合单位：省委人才工作局、省人力资源社会保障厅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）完善人工智能领域人才支持政策，加大对青年人才和创新创业团队支持。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（牵头单位：省委人才工作局；配合单位：省科技厅）</w:t>
      </w:r>
    </w:p>
    <w:p w14:paraId="7FC8E608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构建金融支撑体系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。充分发挥财政资金等引导作用，撬动保险、信贷、基金等社会资本投向通用人工智能产业。（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牵头单位：省地方金融管理局、省财政厅、省科技厅）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加快运营总规模不低于200亿元的省人工智能产业主题基金，以参股方式支持市国资平台、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主体等设立通用人工智能领域子基金，满足企业和项目资金需求。（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）建立健全保护改革、鼓励探索、宽容失误、纠正偏差的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基金管理有关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实施细则。（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牵头单位：省地方金融管理局、省科技厅、省国资委）</w:t>
      </w:r>
    </w:p>
    <w:p w14:paraId="2DED26C5">
      <w:p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9.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加大宣传培训力度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。以政府购买服务方式组织开展通用人工智能领域培训活动、推介活动、战略咨询研究等，提升全社会认知水平。（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牵头单位：省科技厅；配合单位：省财政厅、省人力资源社会保障厅）</w:t>
      </w:r>
    </w:p>
    <w:p w14:paraId="61025219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本政策自发布之日起实施，有效期至2027年12月31日；省科技厅会同省财政厅等部门制定具体实施细则，对皖北地区符合条件的项目，支持资金可上浮20%。2023年10月印发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《打造通用人工智能产业创新和应用高地若干政策》同时废止，对已享受政策并分期执行的，按原政策规定实施。</w:t>
      </w:r>
    </w:p>
    <w:p w14:paraId="20B7951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7DCC64">
      <w:pPr>
        <w:keepNext/>
        <w:keepLines/>
        <w:suppressAutoHyphens/>
        <w:spacing w:line="600" w:lineRule="exact"/>
        <w:outlineLvl w:val="0"/>
        <w:rPr>
          <w:rFonts w:hint="default" w:ascii="Times New Roman" w:hAnsi="Times New Roman" w:eastAsia="方正黑体_GBK" w:cs="Times New Roman"/>
          <w:kern w:val="44"/>
          <w:sz w:val="32"/>
          <w:szCs w:val="32"/>
        </w:rPr>
        <w:sectPr>
          <w:footerReference r:id="rId3" w:type="default"/>
          <w:pgSz w:w="11906" w:h="16838"/>
          <w:pgMar w:top="1871" w:right="1474" w:bottom="1587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4DE9B5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AC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AE243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AE243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3B68"/>
    <w:rsid w:val="5DE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character" w:customStyle="1" w:styleId="6">
    <w:name w:val=" Char Char1"/>
    <w:qFormat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2025-08-20T09:05:00Z</dcterms:created>
  <dc:creator>何玉清</dc:creator>
  <cp:lastModifiedBy>何玉清</cp:lastModifiedBy>
  <dcterms:modified xsi:type="dcterms:W3CDTF">2025-08-20T09:05:38Z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174B0BA24C6C4ED29093FD0FC54DF71C_11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