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hd w:val="clear" w:color="auto" w:fill="FFFFFF"/>
        <w:adjustRightInd w:val="0"/>
        <w:spacing w:line="560" w:lineRule="exact"/>
        <w:ind w:left="0"/>
        <w:rPr>
          <w:rFonts w:ascii="Times New Roman" w:eastAsia="方正黑体_GBK" w:cs="Times New Roman" w:hAnsi="Times New Roman"/>
          <w:bCs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z w:val="32"/>
          <w:szCs w:val="32"/>
        </w:rPr>
        <w:t>附件1</w:t>
      </w:r>
    </w:p>
    <w:p>
      <w:pPr>
        <w:shd w:val="clear" w:color="auto" w:fill="FFFFFF"/>
        <w:adjustRightInd w:val="0"/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bCs/>
          <w:sz w:val="36"/>
          <w:szCs w:val="36"/>
        </w:rPr>
      </w:pPr>
    </w:p>
    <w:p>
      <w:pPr>
        <w:shd w:val="clear" w:color="auto" w:fill="FFFFFF"/>
        <w:adjustRightInd w:val="0"/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出口前冷处理操作规程</w:t>
      </w:r>
    </w:p>
    <w:p>
      <w:pPr>
        <w:shd w:val="clear" w:color="auto" w:fill="FFFFFF"/>
        <w:adjustRightIn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一、冷处理设施类型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1．出口前冷处理只能在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批准的冷</w:t>
      </w:r>
      <w:r>
        <w:rPr>
          <w:rFonts w:ascii="Times New Roman" w:eastAsia="方正仿宋_GBK" w:hAnsi="Times New Roman" w:hint="eastAsia"/>
          <w:sz w:val="32"/>
          <w:szCs w:val="32"/>
        </w:rPr>
        <w:t>藏室</w:t>
      </w:r>
      <w:r>
        <w:rPr>
          <w:rFonts w:ascii="Times New Roman" w:eastAsia="方正仿宋_GBK" w:hAnsi="Times New Roman"/>
          <w:sz w:val="32"/>
          <w:szCs w:val="32"/>
        </w:rPr>
        <w:t>内进行。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或其授权官员须确保出口商使用的冷</w:t>
      </w:r>
      <w:r>
        <w:rPr>
          <w:rFonts w:ascii="Times New Roman" w:eastAsia="方正仿宋_GBK" w:hAnsi="Times New Roman" w:hint="eastAsia"/>
          <w:sz w:val="32"/>
          <w:szCs w:val="32"/>
        </w:rPr>
        <w:t>藏室</w:t>
      </w:r>
      <w:r>
        <w:rPr>
          <w:rFonts w:ascii="Times New Roman" w:eastAsia="方正仿宋_GBK" w:hAnsi="Times New Roman"/>
          <w:sz w:val="32"/>
          <w:szCs w:val="32"/>
        </w:rPr>
        <w:t>符合适当标准，且具有能使水果达到和维持所需温度的制冷设备。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或其授权官员须保留批准用于输华水果出口前</w:t>
      </w:r>
      <w:r>
        <w:rPr>
          <w:rFonts w:ascii="Times New Roman" w:eastAsia="方正仿宋_GBK" w:hAnsi="Times New Roman" w:hint="eastAsia"/>
          <w:sz w:val="32"/>
          <w:szCs w:val="32"/>
        </w:rPr>
        <w:t>冷</w:t>
      </w:r>
      <w:r>
        <w:rPr>
          <w:rFonts w:ascii="Times New Roman" w:eastAsia="方正仿宋_GBK" w:hAnsi="Times New Roman"/>
          <w:sz w:val="32"/>
          <w:szCs w:val="32"/>
        </w:rPr>
        <w:t>处理的</w:t>
      </w:r>
      <w:r>
        <w:rPr>
          <w:rFonts w:ascii="Times New Roman" w:eastAsia="方正仿宋_GBK" w:hAnsi="Times New Roman" w:hint="eastAsia"/>
          <w:sz w:val="32"/>
          <w:szCs w:val="32"/>
        </w:rPr>
        <w:t>冷藏室</w:t>
      </w:r>
      <w:r>
        <w:rPr>
          <w:rFonts w:ascii="Times New Roman" w:eastAsia="方正仿宋_GBK" w:hAnsi="Times New Roman"/>
          <w:sz w:val="32"/>
          <w:szCs w:val="32"/>
        </w:rPr>
        <w:t>注册文件</w:t>
      </w:r>
      <w:r>
        <w:rPr>
          <w:rFonts w:ascii="Times New Roman" w:eastAsia="方正仿宋_GBK" w:hAnsi="Times New Roman" w:hint="eastAsia"/>
          <w:sz w:val="32"/>
          <w:szCs w:val="32"/>
        </w:rPr>
        <w:t>。该文件应</w:t>
      </w:r>
      <w:r>
        <w:rPr>
          <w:rFonts w:ascii="Times New Roman" w:eastAsia="方正仿宋_GBK" w:hAnsi="Times New Roman"/>
          <w:sz w:val="32"/>
          <w:szCs w:val="32"/>
        </w:rPr>
        <w:t>包</w:t>
      </w:r>
      <w:r>
        <w:rPr>
          <w:rFonts w:ascii="Times New Roman" w:eastAsia="方正仿宋_GBK" w:hAnsi="Times New Roman" w:hint="eastAsia"/>
          <w:sz w:val="32"/>
          <w:szCs w:val="32"/>
        </w:rPr>
        <w:t>含</w:t>
      </w:r>
      <w:r>
        <w:rPr>
          <w:rFonts w:ascii="Times New Roman" w:eastAsia="方正仿宋_GBK" w:hAnsi="Times New Roman"/>
          <w:sz w:val="32"/>
          <w:szCs w:val="32"/>
        </w:rPr>
        <w:t>以下内容：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（1）所有设施的位置及构建计划，包括所有者／操作者的详细联系方式；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（2）设施的尺寸及容量；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（3）墙壁、地板和天花板的隔热类型；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（4）制冷压缩机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蒸发器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空气循环系统的牌子、样式、类型和容量；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（5）设备的温度范围，除霜循环控制和任何集成的温度记录设备的规格及详细资料等。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4．在水果出口季节开始之前，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需向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中方</w:t>
      </w:r>
      <w:r>
        <w:rPr>
          <w:rFonts w:ascii="Times New Roman" w:eastAsia="方正仿宋_GBK" w:hAnsi="Times New Roman"/>
          <w:sz w:val="32"/>
          <w:szCs w:val="32"/>
        </w:rPr>
        <w:t>提交当前注册的冷处理设施名单。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二、记录仪类型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或其授权官员须确保探针和温度记录仪满足以下条件：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．探针温度应在-3.0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到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3.0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间，精确到±0.15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．能够容纳所需数量的探针；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．能够记录并贮存处理过程的数据；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．能够每小时至少记录所有探针温度一次，且达到对探针温度所要求的精度；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．能够打印输出识别每个探针、时间和温度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并注明记录仪型号和</w:t>
      </w:r>
      <w:r>
        <w:rPr>
          <w:rFonts w:ascii="Times New Roman" w:eastAsia="方正仿宋_GBK" w:hAnsi="Times New Roman" w:hint="eastAsia"/>
          <w:sz w:val="32"/>
          <w:szCs w:val="32"/>
        </w:rPr>
        <w:t>冷处理设施识别号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三、温度</w:t>
      </w:r>
      <w:r>
        <w:rPr>
          <w:rFonts w:ascii="Times New Roman" w:eastAsia="方正黑体_GBK" w:hAnsi="Times New Roman" w:hint="eastAsia"/>
          <w:sz w:val="32"/>
          <w:szCs w:val="32"/>
        </w:rPr>
        <w:t>探针</w:t>
      </w:r>
      <w:r>
        <w:rPr>
          <w:rFonts w:ascii="Times New Roman" w:eastAsia="方正黑体_GBK" w:hAnsi="Times New Roman"/>
          <w:sz w:val="32"/>
          <w:szCs w:val="32"/>
        </w:rPr>
        <w:t>校正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校正须用由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批准的标准温度计在碎冰和蒸馏水混合物中进行：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．任何读数超出0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±0.3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的探针都须</w:t>
      </w:r>
      <w:r>
        <w:rPr>
          <w:rFonts w:ascii="Times New Roman" w:eastAsia="方正仿宋_GBK" w:hAnsi="Times New Roman" w:hint="eastAsia"/>
          <w:sz w:val="32"/>
          <w:szCs w:val="32"/>
        </w:rPr>
        <w:t>用其他符合该标准的探针</w:t>
      </w:r>
      <w:r>
        <w:rPr>
          <w:rFonts w:ascii="Times New Roman" w:eastAsia="方正仿宋_GBK" w:hAnsi="Times New Roman"/>
          <w:sz w:val="32"/>
          <w:szCs w:val="32"/>
        </w:rPr>
        <w:t>更换；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．在处理完成时，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或其授权官员须用提及的校正方法验证果温探针的校正值。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</w:t>
      </w:r>
      <w:r>
        <w:rPr>
          <w:rFonts w:ascii="Times New Roman" w:eastAsia="方正黑体_GBK" w:hAnsi="Times New Roman" w:hint="eastAsia"/>
          <w:sz w:val="32"/>
          <w:szCs w:val="32"/>
        </w:rPr>
        <w:t>温度</w:t>
      </w:r>
      <w:r>
        <w:rPr>
          <w:rFonts w:ascii="Times New Roman" w:eastAsia="方正黑体_GBK" w:hAnsi="Times New Roman"/>
          <w:sz w:val="32"/>
          <w:szCs w:val="32"/>
        </w:rPr>
        <w:t>探针安插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1．上托盘的水果须在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或其授权官员监管下预冷并装入冷处理室。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2．至少用2个探针分别在出风口和回风口处测量室温，至少安插以下4个探针测量果实温度：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（1）一个位于冷处理室中部所装</w:t>
      </w:r>
      <w:r>
        <w:rPr>
          <w:rFonts w:ascii="Times New Roman" w:eastAsia="方正仿宋_GBK" w:hAnsi="Times New Roman" w:hint="eastAsia"/>
          <w:sz w:val="32"/>
          <w:szCs w:val="32"/>
        </w:rPr>
        <w:t>水果</w:t>
      </w:r>
      <w:r>
        <w:rPr>
          <w:rFonts w:ascii="Times New Roman" w:eastAsia="方正仿宋_GBK" w:hAnsi="Times New Roman"/>
          <w:sz w:val="32"/>
          <w:szCs w:val="32"/>
        </w:rPr>
        <w:t>的中心；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（2）一个位于冷处理室中部所装</w:t>
      </w:r>
      <w:r>
        <w:rPr>
          <w:rFonts w:ascii="Times New Roman" w:eastAsia="方正仿宋_GBK" w:hAnsi="Times New Roman" w:hint="eastAsia"/>
          <w:sz w:val="32"/>
          <w:szCs w:val="32"/>
        </w:rPr>
        <w:t>水果</w:t>
      </w:r>
      <w:r>
        <w:rPr>
          <w:rFonts w:ascii="Times New Roman" w:eastAsia="方正仿宋_GBK" w:hAnsi="Times New Roman"/>
          <w:sz w:val="32"/>
          <w:szCs w:val="32"/>
        </w:rPr>
        <w:t>顶层的边角；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（3）一个位于所装</w:t>
      </w:r>
      <w:r>
        <w:rPr>
          <w:rFonts w:ascii="Times New Roman" w:eastAsia="方正仿宋_GBK" w:hAnsi="Times New Roman" w:hint="eastAsia"/>
          <w:sz w:val="32"/>
          <w:szCs w:val="32"/>
        </w:rPr>
        <w:t>水果</w:t>
      </w:r>
      <w:r>
        <w:rPr>
          <w:rFonts w:ascii="Times New Roman" w:eastAsia="方正仿宋_GBK" w:hAnsi="Times New Roman"/>
          <w:sz w:val="32"/>
          <w:szCs w:val="32"/>
        </w:rPr>
        <w:t>中部近回风口处；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（4）一个位于所装水果顶层的边角近回风口处。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3．探针的安插和与记录仪的连接须在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或其授权官员监管和指导下完成。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4．记录</w:t>
      </w:r>
      <w:r>
        <w:rPr>
          <w:rFonts w:ascii="Times New Roman" w:eastAsia="方正仿宋_GBK" w:hAnsi="Times New Roman" w:hint="eastAsia"/>
          <w:sz w:val="32"/>
          <w:szCs w:val="32"/>
        </w:rPr>
        <w:t>仪</w:t>
      </w:r>
      <w:r>
        <w:rPr>
          <w:rFonts w:ascii="Times New Roman" w:eastAsia="方正仿宋_GBK" w:hAnsi="Times New Roman"/>
          <w:sz w:val="32"/>
          <w:szCs w:val="32"/>
        </w:rPr>
        <w:t>可以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任何时间启动，然而只有所有果温探针都达到指定温度时才能开始计算处理时间。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5．当只用最小数量的探针时，如果有任何探针连续超出4小时失效，则该处理无效，须重新开始。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五、处理结果审核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1．如果处理记录表明各处理参数已符合要求，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/>
          <w:sz w:val="32"/>
          <w:szCs w:val="32"/>
        </w:rPr>
        <w:t>或其授权官员可以授权结束处理，并对探针进行校正；如果探针校正结果符合第三条规定，则可认为该处理已成功完成。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2．探针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>
        <w:rPr>
          <w:rFonts w:ascii="Times New Roman" w:eastAsia="方正仿宋_GBK" w:hAnsi="Times New Roman"/>
          <w:sz w:val="32"/>
          <w:szCs w:val="32"/>
        </w:rPr>
        <w:t>在水果被移出处理室前进行校正。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六、处理结果确认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</w:t>
      </w:r>
      <w:r>
        <w:rPr>
          <w:rFonts w:eastAsia="方正仿宋_GBK"/>
          <w:color w:val="000000"/>
          <w:sz w:val="32"/>
          <w:szCs w:val="32"/>
        </w:rPr>
        <w:t>打印输出的温度记录能表明要求的冷处理已完成。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员必须在确认处理成功之前保存上述记录和统计值。应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eastAsia="zh-CN"/>
        </w:rPr>
        <w:t>中方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要求，提供上述记录以供审核。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．如果处理未能达到所需的冷处理要求，在符合以下条件</w:t>
      </w:r>
      <w:r>
        <w:rPr>
          <w:rFonts w:ascii="Times New Roman" w:eastAsia="方正仿宋_GBK" w:hAnsi="Times New Roman" w:hint="eastAsia"/>
          <w:sz w:val="32"/>
          <w:szCs w:val="32"/>
        </w:rPr>
        <w:t>之一的</w:t>
      </w:r>
      <w:r>
        <w:rPr>
          <w:rFonts w:ascii="Times New Roman" w:eastAsia="方正仿宋_GBK" w:hAnsi="Times New Roman"/>
          <w:sz w:val="32"/>
          <w:szCs w:val="32"/>
        </w:rPr>
        <w:t>，可以重新连接记录仪，并继续处理：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确认第六条所要求的条件仍满足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（2）停止的时间与重新开始的时间间隔在24小时之内。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上述两种情况下，可从记录仪重新连接时起继续采集数据。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七、装入集装箱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1．装货前集装箱须经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检查，以确保不带有害生物，并在入口处加以遮挡以防害虫进入。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2．水果须在具有防虫措施的建筑物内装箱</w:t>
      </w:r>
      <w:r>
        <w:rPr>
          <w:rFonts w:ascii="Times New Roman" w:eastAsia="方正仿宋_GBK" w:hAnsi="Times New Roman" w:hint="eastAsia"/>
          <w:sz w:val="32"/>
          <w:szCs w:val="32"/>
        </w:rPr>
        <w:t>；或者</w:t>
      </w:r>
      <w:r>
        <w:rPr>
          <w:rFonts w:ascii="Times New Roman" w:eastAsia="方正仿宋_GBK" w:hAnsi="Times New Roman"/>
          <w:sz w:val="32"/>
          <w:szCs w:val="32"/>
        </w:rPr>
        <w:t>冷藏室</w:t>
      </w:r>
      <w:r>
        <w:rPr>
          <w:rFonts w:ascii="Times New Roman" w:eastAsia="方正仿宋_GBK" w:hAnsi="Times New Roman" w:hint="eastAsia"/>
          <w:sz w:val="32"/>
          <w:szCs w:val="32"/>
        </w:rPr>
        <w:t>出</w:t>
      </w:r>
      <w:r>
        <w:rPr>
          <w:rFonts w:ascii="Times New Roman" w:eastAsia="方正仿宋_GBK" w:hAnsi="Times New Roman"/>
          <w:sz w:val="32"/>
          <w:szCs w:val="32"/>
        </w:rPr>
        <w:t>口和</w:t>
      </w:r>
      <w:r>
        <w:rPr>
          <w:rFonts w:ascii="Times New Roman" w:eastAsia="方正仿宋_GBK" w:hAnsi="Times New Roman" w:hint="eastAsia"/>
          <w:sz w:val="32"/>
          <w:szCs w:val="32"/>
        </w:rPr>
        <w:t>集装箱入口间用</w:t>
      </w:r>
      <w:r>
        <w:rPr>
          <w:rFonts w:ascii="Times New Roman" w:eastAsia="方正仿宋_GBK" w:hAnsi="Times New Roman"/>
          <w:sz w:val="32"/>
          <w:szCs w:val="32"/>
        </w:rPr>
        <w:t>防虫</w:t>
      </w:r>
      <w:r>
        <w:rPr>
          <w:rFonts w:ascii="Times New Roman" w:eastAsia="方正仿宋_GBK" w:hAnsi="Times New Roman" w:hint="eastAsia"/>
          <w:sz w:val="32"/>
          <w:szCs w:val="32"/>
        </w:rPr>
        <w:t>材料连接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八、集装箱的封识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</w:t>
      </w:r>
      <w:r>
        <w:rPr>
          <w:rFonts w:ascii="Times New Roman" w:eastAsia="方正仿宋_GBK" w:hAnsi="Times New Roman" w:hint="eastAsia"/>
          <w:sz w:val="32"/>
          <w:szCs w:val="32"/>
        </w:rPr>
        <w:t>装载水果的</w:t>
      </w:r>
      <w:r>
        <w:rPr>
          <w:rFonts w:ascii="Times New Roman" w:eastAsia="方正仿宋_GBK" w:hAnsi="Times New Roman"/>
          <w:sz w:val="32"/>
          <w:szCs w:val="32"/>
        </w:rPr>
        <w:t>集装箱须</w:t>
      </w:r>
      <w:r>
        <w:rPr>
          <w:rFonts w:ascii="Times New Roman" w:eastAsia="方正仿宋_GBK" w:hAnsi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用编码的封条封识</w:t>
      </w:r>
      <w:r>
        <w:rPr>
          <w:rFonts w:ascii="Times New Roman" w:eastAsia="方正仿宋_GBK" w:hAnsi="Times New Roman" w:hint="eastAsia"/>
          <w:sz w:val="32"/>
          <w:szCs w:val="32"/>
        </w:rPr>
        <w:t>，其</w:t>
      </w:r>
      <w:r>
        <w:rPr>
          <w:rFonts w:ascii="Times New Roman" w:eastAsia="方正仿宋_GBK" w:hAnsi="Times New Roman"/>
          <w:sz w:val="32"/>
          <w:szCs w:val="32"/>
        </w:rPr>
        <w:t>封条号码需在植物检疫证书上注明。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2．封条只能在进境口岸由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海关开启。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九、未立即装箱的水果贮存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处理过的水果如果未立即装箱，则可以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 w:hint="eastAsia"/>
          <w:sz w:val="32"/>
          <w:szCs w:val="32"/>
        </w:rPr>
        <w:t>监管下</w:t>
      </w:r>
      <w:r>
        <w:rPr>
          <w:rFonts w:ascii="Times New Roman" w:eastAsia="方正仿宋_GBK" w:hAnsi="Times New Roman"/>
          <w:sz w:val="32"/>
          <w:szCs w:val="32"/>
        </w:rPr>
        <w:t>暂时贮存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1．如果水果贮存在冷处理室内，则冷处理室的门须封闭；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</w:t>
      </w:r>
      <w:r>
        <w:rPr>
          <w:rFonts w:ascii="Times New Roman" w:eastAsia="方正仿宋_GBK" w:hAnsi="Times New Roman" w:hint="eastAsia"/>
          <w:sz w:val="32"/>
          <w:szCs w:val="32"/>
        </w:rPr>
        <w:t>如果水果需转移到其他贮存室贮存，则其转移方式须经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 w:hint="eastAsia"/>
          <w:sz w:val="32"/>
          <w:szCs w:val="32"/>
        </w:rPr>
        <w:t>批准，而且该贮存室内不得贮存其他水果；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</w:t>
      </w:r>
      <w:r>
        <w:rPr>
          <w:rFonts w:ascii="Times New Roman" w:eastAsia="方正仿宋_GBK" w:hAnsi="Times New Roman" w:hint="eastAsia"/>
          <w:sz w:val="32"/>
          <w:szCs w:val="32"/>
        </w:rPr>
        <w:t>水果</w:t>
      </w:r>
      <w:r>
        <w:rPr>
          <w:rFonts w:ascii="Times New Roman" w:eastAsia="方正仿宋_GBK" w:hAnsi="Times New Roman"/>
          <w:sz w:val="32"/>
          <w:szCs w:val="32"/>
        </w:rPr>
        <w:t>须在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监管下按照第七条规定装箱。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十、植物检疫证书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1．出口前冷处理的温度、持续时间、冷处理设施名称或其注册号码，须在植物检疫证书中注明。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2．水果进境时，需向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海关提供植物检疫证书、冷处理结果报告、果温探针校正记录。</w:t>
      </w:r>
    </w:p>
    <w:p/>
    <w:sectPr>
      <w:footerReference w:type="default" r:id="rId2"/>
      <w:footerReference w:type="even" r:id="rId3"/>
      <w:footerReference w:type="first" r:id="rId4"/>
      <w:pgSz w:w="11907" w:h="16839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altName w:val="Times New Roman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cs="Times New Roman" w:hAnsi="Times New Roman"/>
        <w:sz w:val="28"/>
        <w:szCs w:val="28"/>
      </w:rPr>
    </w:pPr>
    <w:r>
      <w:rPr>
        <w:rStyle w:val="30"/>
        <w:rFonts w:ascii="Times New Roman" w:cs="Times New Roman" w:hAnsi="Times New Roman"/>
        <w:sz w:val="28"/>
        <w:szCs w:val="28"/>
      </w:rPr>
      <w:fldChar w:fldCharType="begin"/>
    </w:r>
    <w:r>
      <w:rPr>
        <w:rStyle w:val="30"/>
        <w:rFonts w:ascii="Times New Roman" w:cs="Times New Roman" w:hAnsi="Times New Roman"/>
        <w:sz w:val="28"/>
        <w:szCs w:val="28"/>
      </w:rPr>
      <w:instrText>Page</w:instrText>
    </w:r>
    <w:r>
      <w:rPr>
        <w:rStyle w:val="30"/>
        <w:rFonts w:ascii="Times New Roman" w:cs="Times New Roman" w:hAnsi="Times New Roman"/>
        <w:sz w:val="28"/>
        <w:szCs w:val="28"/>
      </w:rPr>
      <w:fldChar w:fldCharType="separate"/>
    </w:r>
    <w:r>
      <w:rPr>
        <w:rStyle w:val="30"/>
        <w:rFonts w:ascii="Times New Roman" w:cs="Times New Roman" w:hAnsi="Times New Roman"/>
        <w:sz w:val="28"/>
        <w:szCs w:val="28"/>
      </w:rPr>
      <w:t>— 1 —</w:t>
    </w:r>
    <w:r>
      <w:rPr>
        <w:rStyle w:val="30"/>
        <w:rFonts w:ascii="Times New Roman" w:cs="Times New Roman" w:hAnsi="Times New Roman"/>
        <w:sz w:val="28"/>
        <w:szCs w:val="28"/>
      </w:rPr>
      <w:fldChar w:fldCharType="end"/>
    </w:r>
  </w:p>
  <w:p>
    <w:pPr>
      <w:pStyle w:val="29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0"/>
      </w:rPr>
      <w:fldChar w:fldCharType="begin"/>
    </w:r>
    <w:r>
      <w:rPr>
        <w:rStyle w:val="30"/>
      </w:rPr>
      <w:instrText>Page</w:instrText>
    </w:r>
    <w:r>
      <w:rPr>
        <w:rStyle w:val="30"/>
      </w:rPr>
      <w:fldChar w:fldCharType="separate"/>
    </w:r>
    <w:r>
      <w:rPr>
        <w:rStyle w:val="30"/>
        <w:rFonts w:hint="eastAsia"/>
      </w:rPr>
      <w:t>— 1 —</w:t>
    </w:r>
    <w:r>
      <w:rPr>
        <w:rStyle w:val="30"/>
      </w:rPr>
      <w:fldChar w:fldCharType="end"/>
    </w:r>
  </w:p>
  <w:p>
    <w:pPr>
      <w:pStyle w:val="29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0"/>
      </w:rPr>
      <w:fldChar w:fldCharType="begin"/>
    </w:r>
    <w:r>
      <w:rPr>
        <w:rStyle w:val="30"/>
      </w:rPr>
      <w:instrText>Page</w:instrText>
    </w:r>
    <w:r>
      <w:rPr>
        <w:rStyle w:val="30"/>
      </w:rPr>
      <w:fldChar w:fldCharType="separate"/>
    </w:r>
    <w:r>
      <w:rPr>
        <w:rStyle w:val="30"/>
        <w:rFonts w:hint="eastAsia"/>
      </w:rPr>
      <w:t>— 1 —</w:t>
    </w:r>
    <w:r>
      <w:rPr>
        <w:rStyle w:val="30"/>
      </w:rPr>
      <w:fldChar w:fldCharType="end"/>
    </w:r>
  </w:p>
  <w:p>
    <w:pPr>
      <w:pStyle w:val="29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5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7"/>
    <w:basedOn w:val="0"/>
    <w:autoRedefine/>
    <w:next w:val="0"/>
    <w:pPr>
      <w:ind w:left="2520"/>
    </w:pPr>
  </w:style>
  <w:style w:type="paragraph" w:customStyle="1" w:styleId="16">
    <w:name w:val="样式 60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7">
    <w:name w:val="样式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8">
    <w:name w:val="样式 1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9">
    <w:name w:val="样式 2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0">
    <w:name w:val="样式 3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1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8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29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30">
    <w:name w:val="page number"/>
    <w:basedOn w:val="10"/>
  </w:style>
  <w:style w:type="paragraph" w:customStyle="1" w:styleId="31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10</Words>
  <Characters>10</Characters>
  <Lines>1</Lines>
  <Paragraphs>0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zhao_qian2</dc:creator>
  <cp:lastModifiedBy>刘玮娜</cp:lastModifiedBy>
  <cp:revision>1</cp:revision>
  <cp:lastPrinted>2025-09-22T23:39:24Z</cp:lastPrinted>
  <dcterms:created xsi:type="dcterms:W3CDTF">2025-09-11T11:56:02Z</dcterms:created>
  <dcterms:modified xsi:type="dcterms:W3CDTF">2025-09-23T01:02:23Z</dcterms:modified>
</cp:coreProperties>
</file>