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24"/>
        <w:widowControl w:val="0"/>
        <w:snapToGrid w:val="0"/>
        <w:spacing w:before="0" w:after="0" w:line="560" w:lineRule="exact"/>
        <w:jc w:val="left"/>
        <w:rPr>
          <w:rStyle w:val="29"/>
          <w:rFonts w:ascii="Times New Roman" w:eastAsia="方正黑体_GBK" w:hAnsi="Times New Roman"/>
          <w:b w:val="0"/>
        </w:rPr>
      </w:pPr>
      <w:r>
        <w:rPr>
          <w:rStyle w:val="29"/>
          <w:rFonts w:ascii="Times New Roman" w:eastAsia="方正黑体_GBK" w:hAnsi="Times New Roman"/>
          <w:b w:val="0"/>
        </w:rPr>
        <w:t>附件</w:t>
      </w:r>
    </w:p>
    <w:p>
      <w:pPr>
        <w:widowControl w:val="0"/>
        <w:snapToGrid w:val="0"/>
        <w:spacing w:line="560" w:lineRule="exact"/>
        <w:jc w:val="center"/>
        <w:rPr>
          <w:rStyle w:val="29"/>
          <w:rFonts w:eastAsia="方正小标宋_GBK"/>
          <w:sz w:val="36"/>
          <w:szCs w:val="36"/>
        </w:rPr>
      </w:pPr>
    </w:p>
    <w:p>
      <w:pPr>
        <w:widowControl w:val="0"/>
        <w:snapToGrid w:val="0"/>
        <w:spacing w:line="560" w:lineRule="exact"/>
        <w:jc w:val="center"/>
        <w:rPr>
          <w:rStyle w:val="29"/>
          <w:rFonts w:eastAsia="方正小标宋_GBK"/>
          <w:sz w:val="36"/>
          <w:szCs w:val="36"/>
        </w:rPr>
      </w:pPr>
      <w:bookmarkStart w:id="0" w:name="_GoBack"/>
      <w:r>
        <w:rPr>
          <w:rStyle w:val="29"/>
          <w:rFonts w:eastAsia="方正小标宋_GBK"/>
          <w:sz w:val="36"/>
          <w:szCs w:val="36"/>
        </w:rPr>
        <w:t>甜瓜迷实蝇防控措施</w:t>
      </w:r>
    </w:p>
    <w:p>
      <w:pPr>
        <w:widowControl w:val="0"/>
        <w:snapToGrid w:val="0"/>
        <w:spacing w:line="560" w:lineRule="exact"/>
        <w:rPr>
          <w:rStyle w:val="29"/>
          <w:rFonts w:eastAsia="方正仿宋_GBK"/>
          <w:bCs/>
          <w:sz w:val="32"/>
          <w:szCs w:val="32"/>
        </w:rPr>
      </w:pPr>
      <w:bookmarkEnd w:id="0"/>
    </w:p>
    <w:p>
      <w:pPr>
        <w:widowControl w:val="0"/>
        <w:snapToGrid w:val="0"/>
        <w:spacing w:line="560" w:lineRule="exact"/>
        <w:ind w:firstLineChars="200" w:firstLine="640"/>
        <w:rPr>
          <w:rStyle w:val="29"/>
          <w:rFonts w:ascii="方正黑体_GBK" w:eastAsia="方正黑体_GBK"/>
          <w:sz w:val="32"/>
          <w:szCs w:val="32"/>
        </w:rPr>
      </w:pPr>
      <w:r>
        <w:rPr>
          <w:rStyle w:val="29"/>
          <w:rFonts w:ascii="方正黑体_GBK" w:eastAsia="方正黑体_GBK" w:hint="eastAsia"/>
          <w:sz w:val="32"/>
          <w:szCs w:val="32"/>
        </w:rPr>
        <w:t>一、引诱剂诱捕监测</w:t>
      </w:r>
    </w:p>
    <w:p>
      <w:pPr>
        <w:widowControl w:val="0"/>
        <w:snapToGrid w:val="0"/>
        <w:spacing w:line="560" w:lineRule="exact"/>
        <w:ind w:firstLineChars="200" w:firstLine="640"/>
        <w:rPr>
          <w:rStyle w:val="29"/>
          <w:rFonts w:eastAsia="方正仿宋_GBK"/>
          <w:bCs/>
          <w:sz w:val="32"/>
          <w:szCs w:val="32"/>
        </w:rPr>
      </w:pPr>
      <w:r>
        <w:rPr>
          <w:rStyle w:val="30Char"/>
          <w:rFonts w:eastAsia="方正仿宋_GBK"/>
          <w:bCs/>
          <w:sz w:val="32"/>
          <w:szCs w:val="32"/>
        </w:rPr>
        <w:t>乌方</w:t>
      </w:r>
      <w:r>
        <w:rPr>
          <w:rStyle w:val="29"/>
          <w:rFonts w:eastAsia="方正仿宋_GBK"/>
          <w:bCs/>
          <w:sz w:val="32"/>
          <w:szCs w:val="32"/>
        </w:rPr>
        <w:t>应当</w:t>
      </w:r>
      <w:r>
        <w:rPr>
          <w:rStyle w:val="31Char"/>
          <w:rFonts w:eastAsia="方正仿宋_GBK"/>
          <w:bCs/>
          <w:sz w:val="32"/>
          <w:szCs w:val="32"/>
        </w:rPr>
        <w:t>在输华甜瓜产区</w:t>
      </w:r>
      <w:r>
        <w:rPr>
          <w:rStyle w:val="29"/>
          <w:rFonts w:eastAsia="方正仿宋_GBK"/>
          <w:bCs/>
          <w:sz w:val="32"/>
          <w:szCs w:val="32"/>
        </w:rPr>
        <w:t>使用</w:t>
      </w:r>
      <w:r>
        <w:rPr>
          <w:rStyle w:val="32Char"/>
          <w:rFonts w:eastAsia="方正仿宋_GBK" w:hint="eastAsia"/>
          <w:bCs/>
          <w:sz w:val="32"/>
          <w:szCs w:val="32"/>
        </w:rPr>
        <w:t>信息素</w:t>
      </w:r>
      <w:r>
        <w:rPr>
          <w:rStyle w:val="33Char"/>
          <w:rFonts w:eastAsia="方正仿宋_GBK"/>
          <w:sz w:val="32"/>
          <w:szCs w:val="32"/>
        </w:rPr>
        <w:t>和蛋白诱饵</w:t>
      </w:r>
      <w:r>
        <w:rPr>
          <w:rStyle w:val="29"/>
          <w:rFonts w:eastAsia="方正仿宋_GBK"/>
          <w:bCs/>
          <w:sz w:val="32"/>
          <w:szCs w:val="32"/>
        </w:rPr>
        <w:t>对甜瓜迷实蝇</w:t>
      </w:r>
      <w:r>
        <w:rPr>
          <w:rStyle w:val="29"/>
          <w:rFonts w:eastAsia="方正仿宋_GBK"/>
          <w:bCs/>
          <w:i/>
          <w:iCs/>
          <w:sz w:val="32"/>
          <w:szCs w:val="32"/>
        </w:rPr>
        <w:t>Myiopardalis pardalina</w:t>
      </w:r>
      <w:r>
        <w:rPr>
          <w:rStyle w:val="29"/>
          <w:rFonts w:eastAsia="方正仿宋_GBK"/>
          <w:bCs/>
          <w:sz w:val="32"/>
          <w:szCs w:val="32"/>
        </w:rPr>
        <w:t>进行监测。监测时间从</w:t>
      </w:r>
      <w:r>
        <w:rPr>
          <w:rStyle w:val="29"/>
          <w:rFonts w:eastAsia="方正仿宋_GBK" w:hint="eastAsia"/>
          <w:bCs/>
          <w:sz w:val="32"/>
          <w:szCs w:val="32"/>
        </w:rPr>
        <w:t>4</w:t>
      </w:r>
      <w:r>
        <w:rPr>
          <w:rStyle w:val="29"/>
          <w:rFonts w:eastAsia="方正仿宋_GBK"/>
          <w:bCs/>
          <w:sz w:val="32"/>
          <w:szCs w:val="32"/>
        </w:rPr>
        <w:t>月</w:t>
      </w:r>
      <w:r>
        <w:rPr>
          <w:rStyle w:val="29"/>
          <w:rFonts w:eastAsia="方正仿宋_GBK" w:hint="eastAsia"/>
          <w:bCs/>
          <w:sz w:val="32"/>
          <w:szCs w:val="32"/>
        </w:rPr>
        <w:t>20日（当年甜瓜开花季）</w:t>
      </w:r>
      <w:r>
        <w:rPr>
          <w:rStyle w:val="29"/>
          <w:rFonts w:eastAsia="方正仿宋_GBK"/>
          <w:bCs/>
          <w:sz w:val="32"/>
          <w:szCs w:val="32"/>
        </w:rPr>
        <w:t xml:space="preserve">至9月30日（当年甜瓜收获期结束）。 </w:t>
      </w:r>
    </w:p>
    <w:p>
      <w:pPr>
        <w:widowControl w:val="0"/>
        <w:snapToGrid w:val="0"/>
        <w:spacing w:line="560" w:lineRule="exact"/>
        <w:ind w:firstLineChars="200" w:firstLine="640"/>
        <w:rPr>
          <w:rStyle w:val="29"/>
          <w:rFonts w:ascii="方正楷体_GBK" w:eastAsia="方正楷体_GBK" w:cs="方正楷体_GBK"/>
          <w:b/>
          <w:bCs/>
          <w:sz w:val="32"/>
          <w:szCs w:val="32"/>
        </w:rPr>
      </w:pPr>
      <w:r>
        <w:rPr>
          <w:rStyle w:val="29"/>
          <w:rFonts w:ascii="方正楷体_GBK" w:eastAsia="方正楷体_GBK" w:cs="方正楷体_GBK" w:hint="eastAsia"/>
          <w:b/>
          <w:bCs/>
          <w:sz w:val="32"/>
          <w:szCs w:val="32"/>
        </w:rPr>
        <w:t>（一）诱剂及诱捕器的种类。</w:t>
      </w:r>
    </w:p>
    <w:p>
      <w:pPr>
        <w:widowControl w:val="0"/>
        <w:snapToGrid w:val="0"/>
        <w:spacing w:line="560" w:lineRule="exact"/>
        <w:ind w:firstLineChars="200" w:firstLine="640"/>
        <w:rPr>
          <w:rStyle w:val="29"/>
          <w:rFonts w:eastAsia="方正仿宋_GBK"/>
          <w:bCs/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eastAsia="方正仿宋_GBK"/>
          <w:kern w:val="0"/>
          <w:sz w:val="32"/>
          <w:szCs w:val="32"/>
        </w:rPr>
        <w:t>．</w:t>
      </w:r>
      <w:r>
        <w:rPr>
          <w:rStyle w:val="29"/>
          <w:rFonts w:eastAsia="方正仿宋_GBK" w:hint="eastAsia"/>
          <w:bCs/>
          <w:sz w:val="32"/>
          <w:szCs w:val="32"/>
        </w:rPr>
        <w:t>信息素及其诱捕器</w:t>
      </w:r>
      <w:r>
        <w:rPr>
          <w:rStyle w:val="29"/>
          <w:rFonts w:eastAsia="方正仿宋_GBK"/>
          <w:bCs/>
          <w:sz w:val="32"/>
          <w:szCs w:val="32"/>
        </w:rPr>
        <w:t>。</w:t>
      </w:r>
    </w:p>
    <w:p>
      <w:pPr>
        <w:widowControl w:val="0"/>
        <w:snapToGrid w:val="0"/>
        <w:spacing w:line="560" w:lineRule="exact"/>
        <w:ind w:firstLineChars="200" w:firstLine="640"/>
        <w:rPr>
          <w:rStyle w:val="29"/>
          <w:rFonts w:eastAsia="方正仿宋_GBK"/>
          <w:bCs/>
          <w:sz w:val="32"/>
          <w:szCs w:val="32"/>
        </w:rPr>
      </w:pPr>
      <w:r>
        <w:rPr>
          <w:rStyle w:val="29"/>
          <w:rFonts w:eastAsia="方正仿宋_GBK" w:hint="eastAsia"/>
          <w:bCs/>
          <w:sz w:val="32"/>
          <w:szCs w:val="32"/>
        </w:rPr>
        <w:t>诱剂为雄虫性信息素，诱芯由雄虫性信息素制成（须确保甜瓜迷实蝇诱芯来源于正规供应商。诱捕器使用</w:t>
      </w:r>
      <w:r>
        <w:rPr>
          <w:rStyle w:val="29"/>
          <w:rFonts w:eastAsia="方正仿宋_GBK"/>
          <w:bCs/>
          <w:sz w:val="32"/>
          <w:szCs w:val="32"/>
        </w:rPr>
        <w:t>Dome traps</w:t>
      </w:r>
      <w:r>
        <w:rPr>
          <w:rStyle w:val="29"/>
          <w:rFonts w:eastAsia="方正仿宋_GBK" w:hint="eastAsia"/>
          <w:bCs/>
          <w:sz w:val="32"/>
          <w:szCs w:val="32"/>
        </w:rPr>
        <w:t>型或其它中</w:t>
      </w:r>
      <w:r>
        <w:rPr>
          <w:rStyle w:val="29"/>
          <w:rFonts w:eastAsia="方正仿宋_GBK"/>
          <w:bCs/>
          <w:sz w:val="32"/>
          <w:szCs w:val="32"/>
        </w:rPr>
        <w:t>方</w:t>
      </w:r>
      <w:r>
        <w:rPr>
          <w:rStyle w:val="29"/>
          <w:rFonts w:eastAsia="方正仿宋_GBK" w:hint="eastAsia"/>
          <w:bCs/>
          <w:sz w:val="32"/>
          <w:szCs w:val="32"/>
        </w:rPr>
        <w:t>允许使用的诱捕装置。每个诱捕器放置诱芯1枚。</w:t>
      </w:r>
    </w:p>
    <w:p>
      <w:pPr>
        <w:widowControl w:val="0"/>
        <w:snapToGrid w:val="0"/>
        <w:spacing w:line="560" w:lineRule="exact"/>
        <w:ind w:firstLineChars="200" w:firstLine="640"/>
        <w:rPr>
          <w:rStyle w:val="29"/>
          <w:rFonts w:eastAsia="方正仿宋_GBK"/>
          <w:bCs/>
          <w:sz w:val="32"/>
          <w:szCs w:val="32"/>
        </w:rPr>
      </w:pPr>
      <w:r>
        <w:rPr>
          <w:rStyle w:val="29"/>
          <w:rFonts w:eastAsia="方正仿宋_GBK"/>
          <w:bCs/>
          <w:sz w:val="32"/>
          <w:szCs w:val="32"/>
        </w:rPr>
        <w:t>2</w:t>
      </w:r>
      <w:r>
        <w:rPr>
          <w:rFonts w:eastAsia="方正仿宋_GBK"/>
          <w:kern w:val="0"/>
          <w:sz w:val="32"/>
          <w:szCs w:val="32"/>
        </w:rPr>
        <w:t>．</w:t>
      </w:r>
      <w:r>
        <w:rPr>
          <w:rStyle w:val="29"/>
          <w:rFonts w:eastAsia="方正仿宋_GBK"/>
          <w:bCs/>
          <w:sz w:val="32"/>
          <w:szCs w:val="32"/>
        </w:rPr>
        <w:t>蛋白诱饵</w:t>
      </w:r>
      <w:r>
        <w:rPr>
          <w:rStyle w:val="29"/>
          <w:rFonts w:eastAsia="方正仿宋_GBK" w:hint="eastAsia"/>
          <w:bCs/>
          <w:sz w:val="32"/>
          <w:szCs w:val="32"/>
        </w:rPr>
        <w:t>及其诱捕器</w:t>
      </w:r>
      <w:r>
        <w:rPr>
          <w:rStyle w:val="29"/>
          <w:rFonts w:eastAsia="方正仿宋_GBK"/>
          <w:bCs/>
          <w:sz w:val="32"/>
          <w:szCs w:val="32"/>
        </w:rPr>
        <w:t>。</w:t>
      </w:r>
    </w:p>
    <w:p>
      <w:pPr>
        <w:widowControl w:val="0"/>
        <w:wordWrap w:val="0"/>
        <w:snapToGrid w:val="0"/>
        <w:spacing w:line="560" w:lineRule="exact"/>
        <w:ind w:firstLineChars="200" w:firstLine="640"/>
        <w:rPr>
          <w:rStyle w:val="29"/>
          <w:rFonts w:eastAsia="方正仿宋_GBK"/>
          <w:bCs/>
          <w:snapToGrid w:val="0"/>
          <w:kern w:val="0"/>
          <w:sz w:val="32"/>
          <w:szCs w:val="32"/>
        </w:rPr>
      </w:pPr>
      <w:r>
        <w:rPr>
          <w:rStyle w:val="29"/>
          <w:rFonts w:eastAsia="方正仿宋_GBK" w:hint="eastAsia"/>
          <w:bCs/>
          <w:snapToGrid w:val="0"/>
          <w:kern w:val="0"/>
          <w:sz w:val="32"/>
          <w:szCs w:val="32"/>
        </w:rPr>
        <w:t>诱剂为甜瓜迷实蝇蛋白诱饵</w:t>
      </w:r>
      <w:r>
        <w:rPr>
          <w:rStyle w:val="29"/>
          <w:rFonts w:eastAsia="方正仿宋_GBK"/>
          <w:bCs/>
          <w:snapToGrid w:val="0"/>
          <w:kern w:val="0"/>
          <w:sz w:val="32"/>
          <w:szCs w:val="32"/>
        </w:rPr>
        <w:t>（Torula yeast and borax pellets）</w:t>
      </w:r>
      <w:r>
        <w:rPr>
          <w:rStyle w:val="29"/>
          <w:rFonts w:eastAsia="方正仿宋_GBK" w:hint="eastAsia"/>
          <w:bCs/>
          <w:snapToGrid w:val="0"/>
          <w:kern w:val="0"/>
          <w:sz w:val="32"/>
          <w:szCs w:val="32"/>
        </w:rPr>
        <w:t>，呈圆柱状颗粒，</w:t>
      </w:r>
      <w:r>
        <w:rPr>
          <w:rStyle w:val="29"/>
          <w:rFonts w:eastAsia="方正仿宋_GBK"/>
          <w:bCs/>
          <w:snapToGrid w:val="0"/>
          <w:kern w:val="0"/>
          <w:sz w:val="32"/>
          <w:szCs w:val="32"/>
        </w:rPr>
        <w:t>诱捕器</w:t>
      </w:r>
      <w:r>
        <w:rPr>
          <w:rStyle w:val="29"/>
          <w:rFonts w:eastAsia="方正仿宋_GBK" w:hint="eastAsia"/>
          <w:bCs/>
          <w:snapToGrid w:val="0"/>
          <w:kern w:val="0"/>
          <w:sz w:val="32"/>
          <w:szCs w:val="32"/>
        </w:rPr>
        <w:t>使用</w:t>
      </w:r>
      <w:r>
        <w:rPr>
          <w:rStyle w:val="29"/>
          <w:rFonts w:eastAsia="方正仿宋_GBK"/>
          <w:bCs/>
          <w:snapToGrid w:val="0"/>
          <w:kern w:val="0"/>
          <w:sz w:val="32"/>
          <w:szCs w:val="32"/>
        </w:rPr>
        <w:t>McPhail型或其它中方允许使用的诱捕</w:t>
      </w:r>
      <w:r>
        <w:rPr>
          <w:rStyle w:val="29"/>
          <w:rFonts w:eastAsia="方正仿宋_GBK" w:hint="eastAsia"/>
          <w:bCs/>
          <w:snapToGrid w:val="0"/>
          <w:kern w:val="0"/>
          <w:sz w:val="32"/>
          <w:szCs w:val="32"/>
        </w:rPr>
        <w:t>装置</w:t>
      </w:r>
      <w:r>
        <w:rPr>
          <w:rStyle w:val="29"/>
          <w:rFonts w:eastAsia="方正仿宋_GBK"/>
          <w:bCs/>
          <w:snapToGrid w:val="0"/>
          <w:kern w:val="0"/>
          <w:sz w:val="32"/>
          <w:szCs w:val="32"/>
        </w:rPr>
        <w:t>。在使用时，预先在诱捕器内盛放少量的清水，然后将4粒诱饵投入诱捕器中直至溶解。</w:t>
      </w:r>
    </w:p>
    <w:p>
      <w:pPr>
        <w:widowControl w:val="0"/>
        <w:snapToGrid w:val="0"/>
        <w:spacing w:line="560" w:lineRule="exact"/>
        <w:ind w:firstLineChars="200" w:firstLine="640"/>
        <w:rPr>
          <w:rStyle w:val="29"/>
          <w:rFonts w:ascii="方正楷体_GBK" w:eastAsia="方正楷体_GBK" w:cs="方正楷体_GBK"/>
          <w:b/>
          <w:bCs/>
          <w:sz w:val="32"/>
          <w:szCs w:val="32"/>
        </w:rPr>
      </w:pPr>
      <w:r>
        <w:rPr>
          <w:rStyle w:val="29"/>
          <w:rFonts w:ascii="方正楷体_GBK" w:eastAsia="方正楷体_GBK" w:cs="方正楷体_GBK" w:hint="eastAsia"/>
          <w:b/>
          <w:bCs/>
          <w:sz w:val="32"/>
          <w:szCs w:val="32"/>
        </w:rPr>
        <w:t>（二）监测地点。</w:t>
      </w:r>
    </w:p>
    <w:p>
      <w:pPr>
        <w:widowControl w:val="0"/>
        <w:snapToGrid w:val="0"/>
        <w:spacing w:line="560" w:lineRule="exact"/>
        <w:ind w:firstLineChars="196" w:firstLine="627"/>
        <w:rPr>
          <w:rStyle w:val="29"/>
          <w:rFonts w:eastAsia="方正仿宋_GBK"/>
          <w:bCs/>
          <w:sz w:val="32"/>
          <w:szCs w:val="32"/>
        </w:rPr>
      </w:pPr>
      <w:r>
        <w:rPr>
          <w:rStyle w:val="29"/>
          <w:rFonts w:eastAsia="方正仿宋_GBK"/>
          <w:bCs/>
          <w:sz w:val="32"/>
          <w:szCs w:val="32"/>
        </w:rPr>
        <w:t>甜瓜</w:t>
      </w:r>
      <w:r>
        <w:rPr>
          <w:rStyle w:val="29"/>
          <w:rFonts w:eastAsia="方正仿宋_GBK" w:hint="eastAsia"/>
          <w:bCs/>
          <w:sz w:val="32"/>
          <w:szCs w:val="32"/>
        </w:rPr>
        <w:t>种植基地</w:t>
      </w:r>
      <w:r>
        <w:rPr>
          <w:rStyle w:val="29"/>
          <w:rFonts w:eastAsia="方正仿宋_GBK"/>
          <w:bCs/>
          <w:sz w:val="32"/>
          <w:szCs w:val="32"/>
        </w:rPr>
        <w:t>、包装厂、甜瓜集散点、冷库等。</w:t>
      </w:r>
    </w:p>
    <w:p>
      <w:pPr>
        <w:widowControl w:val="0"/>
        <w:snapToGrid w:val="0"/>
        <w:spacing w:line="560" w:lineRule="exact"/>
        <w:ind w:firstLineChars="200" w:firstLine="640"/>
        <w:rPr>
          <w:rStyle w:val="29"/>
          <w:rFonts w:ascii="方正楷体_GBK" w:eastAsia="方正楷体_GBK" w:cs="方正楷体_GBK"/>
          <w:b/>
          <w:bCs/>
          <w:sz w:val="32"/>
          <w:szCs w:val="32"/>
        </w:rPr>
      </w:pPr>
      <w:r>
        <w:rPr>
          <w:rStyle w:val="29"/>
          <w:rFonts w:ascii="方正楷体_GBK" w:eastAsia="方正楷体_GBK" w:cs="方正楷体_GBK" w:hint="eastAsia"/>
          <w:b/>
          <w:bCs/>
          <w:sz w:val="32"/>
          <w:szCs w:val="32"/>
        </w:rPr>
        <w:t>（三）悬挂方式。</w:t>
      </w:r>
    </w:p>
    <w:p>
      <w:pPr>
        <w:widowControl w:val="0"/>
        <w:snapToGrid w:val="0"/>
        <w:spacing w:line="560" w:lineRule="exact"/>
        <w:ind w:firstLineChars="196" w:firstLine="627"/>
        <w:rPr>
          <w:rStyle w:val="29"/>
          <w:rFonts w:eastAsia="方正仿宋_GBK"/>
          <w:bCs/>
          <w:sz w:val="32"/>
          <w:szCs w:val="32"/>
        </w:rPr>
      </w:pPr>
      <w:r>
        <w:rPr>
          <w:rStyle w:val="29"/>
          <w:rFonts w:eastAsia="方正仿宋_GBK"/>
          <w:bCs/>
          <w:sz w:val="32"/>
          <w:szCs w:val="32"/>
        </w:rPr>
        <w:t>将诱捕器悬挂在离</w:t>
      </w:r>
      <w:r>
        <w:rPr>
          <w:rStyle w:val="29"/>
          <w:rFonts w:eastAsia="方正仿宋_GBK" w:hint="eastAsia"/>
          <w:bCs/>
          <w:sz w:val="32"/>
          <w:szCs w:val="32"/>
        </w:rPr>
        <w:t>植物15</w:t>
      </w:r>
      <w:r>
        <w:rPr>
          <w:rStyle w:val="42Char"/>
          <w:rFonts w:eastAsia="方正仿宋_GBK" w:hint="eastAsia"/>
          <w:bCs/>
          <w:sz w:val="32"/>
          <w:szCs w:val="32"/>
        </w:rPr>
        <w:t>—</w:t>
      </w:r>
      <w:r>
        <w:rPr>
          <w:rStyle w:val="29"/>
          <w:rFonts w:eastAsia="方正仿宋_GBK" w:hint="eastAsia"/>
          <w:bCs/>
          <w:sz w:val="32"/>
          <w:szCs w:val="32"/>
        </w:rPr>
        <w:t>30c</w:t>
      </w:r>
      <w:r>
        <w:rPr>
          <w:rStyle w:val="29"/>
          <w:rFonts w:eastAsia="方正仿宋_GBK"/>
          <w:bCs/>
          <w:sz w:val="32"/>
          <w:szCs w:val="32"/>
        </w:rPr>
        <w:t>m左右的高处，注意遮阳、避免受阳光直晒或直接淋雨。</w:t>
      </w:r>
    </w:p>
    <w:p>
      <w:pPr>
        <w:widowControl w:val="0"/>
        <w:snapToGrid w:val="0"/>
        <w:spacing w:line="560" w:lineRule="exact"/>
        <w:ind w:firstLineChars="200" w:firstLine="640"/>
        <w:rPr>
          <w:rStyle w:val="29"/>
          <w:rFonts w:ascii="方正楷体_GBK" w:eastAsia="方正楷体_GBK" w:cs="方正楷体_GBK"/>
          <w:b/>
          <w:bCs/>
          <w:sz w:val="32"/>
          <w:szCs w:val="32"/>
        </w:rPr>
      </w:pPr>
      <w:r>
        <w:rPr>
          <w:rStyle w:val="29"/>
          <w:rFonts w:ascii="方正楷体_GBK" w:eastAsia="方正楷体_GBK" w:cs="方正楷体_GBK"/>
          <w:b/>
          <w:bCs/>
          <w:sz w:val="32"/>
          <w:szCs w:val="32"/>
        </w:rPr>
        <w:t>（四）</w:t>
      </w:r>
      <w:r>
        <w:rPr>
          <w:rStyle w:val="29"/>
          <w:rFonts w:ascii="方正楷体_GBK" w:eastAsia="方正楷体_GBK" w:cs="方正楷体_GBK" w:hint="eastAsia"/>
          <w:b/>
          <w:bCs/>
          <w:sz w:val="32"/>
          <w:szCs w:val="32"/>
        </w:rPr>
        <w:t>设置密度。</w:t>
      </w:r>
    </w:p>
    <w:p>
      <w:pPr>
        <w:widowControl w:val="0"/>
        <w:snapToGrid w:val="0"/>
        <w:spacing w:line="560" w:lineRule="exact"/>
        <w:ind w:firstLineChars="196" w:firstLine="627"/>
        <w:rPr>
          <w:rStyle w:val="29"/>
          <w:rFonts w:eastAsia="方正仿宋_GBK"/>
          <w:bCs/>
          <w:sz w:val="32"/>
          <w:szCs w:val="32"/>
        </w:rPr>
      </w:pPr>
      <w:r>
        <w:rPr>
          <w:rStyle w:val="29"/>
          <w:rFonts w:eastAsia="方正仿宋_GBK"/>
          <w:bCs/>
          <w:sz w:val="32"/>
          <w:szCs w:val="32"/>
        </w:rPr>
        <w:t>以</w:t>
      </w:r>
      <w:r>
        <w:rPr>
          <w:rStyle w:val="29"/>
          <w:rFonts w:eastAsia="方正仿宋_GBK" w:hint="eastAsia"/>
          <w:bCs/>
          <w:sz w:val="32"/>
          <w:szCs w:val="32"/>
        </w:rPr>
        <w:t>1公顷</w:t>
      </w:r>
      <w:r>
        <w:rPr>
          <w:rStyle w:val="29"/>
          <w:rFonts w:eastAsia="方正仿宋_GBK"/>
          <w:bCs/>
          <w:sz w:val="32"/>
          <w:szCs w:val="32"/>
        </w:rPr>
        <w:t>作为一个监测单位</w:t>
      </w:r>
      <w:r>
        <w:rPr>
          <w:rStyle w:val="29"/>
          <w:rFonts w:eastAsia="方正仿宋_GBK" w:hint="eastAsia"/>
          <w:bCs/>
          <w:sz w:val="32"/>
          <w:szCs w:val="32"/>
        </w:rPr>
        <w:t>，每种诱剂至少</w:t>
      </w:r>
      <w:r>
        <w:rPr>
          <w:rStyle w:val="29"/>
          <w:rFonts w:eastAsia="方正仿宋_GBK"/>
          <w:bCs/>
          <w:sz w:val="32"/>
          <w:szCs w:val="32"/>
        </w:rPr>
        <w:t>放置</w:t>
      </w:r>
      <w:r>
        <w:rPr>
          <w:rStyle w:val="29"/>
          <w:rFonts w:eastAsia="方正仿宋_GBK" w:hint="eastAsia"/>
          <w:bCs/>
          <w:sz w:val="32"/>
          <w:szCs w:val="32"/>
        </w:rPr>
        <w:t>2个</w:t>
      </w:r>
      <w:r>
        <w:rPr>
          <w:rStyle w:val="29"/>
          <w:rFonts w:eastAsia="方正仿宋_GBK"/>
          <w:bCs/>
          <w:sz w:val="32"/>
          <w:szCs w:val="32"/>
        </w:rPr>
        <w:t>诱捕器，每增加1</w:t>
      </w:r>
      <w:r>
        <w:rPr>
          <w:rStyle w:val="29"/>
          <w:rFonts w:eastAsia="方正仿宋_GBK" w:hint="eastAsia"/>
          <w:bCs/>
          <w:sz w:val="32"/>
          <w:szCs w:val="32"/>
        </w:rPr>
        <w:t>公顷</w:t>
      </w:r>
      <w:r>
        <w:rPr>
          <w:rStyle w:val="29"/>
          <w:rFonts w:eastAsia="方正仿宋_GBK"/>
          <w:bCs/>
          <w:sz w:val="32"/>
          <w:szCs w:val="32"/>
        </w:rPr>
        <w:t>瓜地</w:t>
      </w:r>
      <w:r>
        <w:rPr>
          <w:rStyle w:val="29"/>
          <w:rFonts w:eastAsia="方正仿宋_GBK" w:hint="eastAsia"/>
          <w:bCs/>
          <w:sz w:val="32"/>
          <w:szCs w:val="32"/>
        </w:rPr>
        <w:t>，每种诱剂各</w:t>
      </w:r>
      <w:r>
        <w:rPr>
          <w:rStyle w:val="29"/>
          <w:rFonts w:eastAsia="方正仿宋_GBK"/>
          <w:bCs/>
          <w:sz w:val="32"/>
          <w:szCs w:val="32"/>
        </w:rPr>
        <w:t>增放</w:t>
      </w:r>
      <w:r>
        <w:rPr>
          <w:rStyle w:val="29"/>
          <w:rFonts w:eastAsia="方正仿宋_GBK" w:hint="eastAsia"/>
          <w:bCs/>
          <w:sz w:val="32"/>
          <w:szCs w:val="32"/>
        </w:rPr>
        <w:t>2</w:t>
      </w:r>
      <w:r>
        <w:rPr>
          <w:rStyle w:val="29"/>
          <w:rFonts w:eastAsia="方正仿宋_GBK"/>
          <w:bCs/>
          <w:sz w:val="32"/>
          <w:szCs w:val="32"/>
        </w:rPr>
        <w:t>个诱捕器，在其他每个监测地点</w:t>
      </w:r>
      <w:r>
        <w:rPr>
          <w:rStyle w:val="29"/>
          <w:rFonts w:eastAsia="方正仿宋_GBK" w:hint="eastAsia"/>
          <w:bCs/>
          <w:sz w:val="32"/>
          <w:szCs w:val="32"/>
        </w:rPr>
        <w:t>每种诱剂</w:t>
      </w:r>
      <w:r>
        <w:rPr>
          <w:rStyle w:val="29"/>
          <w:rFonts w:eastAsia="方正仿宋_GBK"/>
          <w:bCs/>
          <w:sz w:val="32"/>
          <w:szCs w:val="32"/>
        </w:rPr>
        <w:t>至少放置</w:t>
      </w:r>
      <w:r>
        <w:rPr>
          <w:rStyle w:val="29"/>
          <w:rFonts w:eastAsia="方正仿宋_GBK" w:hint="eastAsia"/>
          <w:bCs/>
          <w:sz w:val="32"/>
          <w:szCs w:val="32"/>
        </w:rPr>
        <w:t>2</w:t>
      </w:r>
      <w:r>
        <w:rPr>
          <w:rStyle w:val="29"/>
          <w:rFonts w:eastAsia="方正仿宋_GBK"/>
          <w:bCs/>
          <w:sz w:val="32"/>
          <w:szCs w:val="32"/>
        </w:rPr>
        <w:t>个诱捕器。</w:t>
      </w:r>
      <w:r>
        <w:rPr>
          <w:rStyle w:val="29"/>
          <w:rFonts w:eastAsia="方正仿宋_GBK" w:hint="eastAsia"/>
          <w:bCs/>
          <w:sz w:val="32"/>
          <w:szCs w:val="32"/>
        </w:rPr>
        <w:t xml:space="preserve"> </w:t>
      </w:r>
    </w:p>
    <w:p>
      <w:pPr>
        <w:widowControl w:val="0"/>
        <w:snapToGrid w:val="0"/>
        <w:spacing w:line="560" w:lineRule="exact"/>
        <w:ind w:firstLineChars="200" w:firstLine="640"/>
        <w:rPr>
          <w:rStyle w:val="29"/>
          <w:rFonts w:ascii="方正楷体_GBK" w:eastAsia="方正楷体_GBK" w:cs="方正楷体_GBK"/>
          <w:b/>
          <w:bCs/>
          <w:sz w:val="32"/>
          <w:szCs w:val="32"/>
        </w:rPr>
      </w:pPr>
      <w:r>
        <w:rPr>
          <w:rStyle w:val="29"/>
          <w:rFonts w:ascii="方正楷体_GBK" w:eastAsia="方正楷体_GBK" w:cs="方正楷体_GBK"/>
          <w:b/>
          <w:bCs/>
          <w:sz w:val="32"/>
          <w:szCs w:val="32"/>
        </w:rPr>
        <w:t>（五）</w:t>
      </w:r>
      <w:r>
        <w:rPr>
          <w:rStyle w:val="29"/>
          <w:rFonts w:ascii="方正楷体_GBK" w:eastAsia="方正楷体_GBK" w:cs="方正楷体_GBK" w:hint="eastAsia"/>
          <w:b/>
          <w:bCs/>
          <w:sz w:val="32"/>
          <w:szCs w:val="32"/>
        </w:rPr>
        <w:t>诱芯更换。</w:t>
      </w:r>
    </w:p>
    <w:p>
      <w:pPr>
        <w:widowControl w:val="0"/>
        <w:snapToGrid w:val="0"/>
        <w:spacing w:line="560" w:lineRule="exact"/>
        <w:ind w:firstLineChars="196" w:firstLine="627"/>
        <w:rPr>
          <w:rStyle w:val="29"/>
          <w:rFonts w:eastAsia="方正仿宋_GBK"/>
          <w:bCs/>
          <w:sz w:val="32"/>
          <w:szCs w:val="32"/>
        </w:rPr>
      </w:pPr>
      <w:r>
        <w:rPr>
          <w:rStyle w:val="29"/>
          <w:rFonts w:eastAsia="方正仿宋_GBK" w:hint="eastAsia"/>
          <w:bCs/>
          <w:sz w:val="32"/>
          <w:szCs w:val="32"/>
        </w:rPr>
        <w:t>15</w:t>
      </w:r>
      <w:r>
        <w:rPr>
          <w:rStyle w:val="51Char"/>
          <w:rFonts w:eastAsia="方正仿宋_GBK" w:hint="eastAsia"/>
          <w:bCs/>
          <w:sz w:val="32"/>
          <w:szCs w:val="32"/>
        </w:rPr>
        <w:t>—</w:t>
      </w:r>
      <w:r>
        <w:rPr>
          <w:rStyle w:val="29"/>
          <w:rFonts w:eastAsia="方正仿宋_GBK" w:hint="eastAsia"/>
          <w:bCs/>
          <w:sz w:val="32"/>
          <w:szCs w:val="32"/>
        </w:rPr>
        <w:t>20天（信息素），1—2周更换一次</w:t>
      </w:r>
      <w:r>
        <w:rPr>
          <w:rStyle w:val="29"/>
          <w:rFonts w:eastAsia="方正仿宋_GBK"/>
          <w:bCs/>
          <w:sz w:val="32"/>
          <w:szCs w:val="32"/>
        </w:rPr>
        <w:t>（</w:t>
      </w:r>
      <w:r>
        <w:rPr>
          <w:rStyle w:val="29"/>
          <w:rFonts w:eastAsia="方正仿宋_GBK" w:hint="eastAsia"/>
          <w:bCs/>
          <w:sz w:val="32"/>
          <w:szCs w:val="32"/>
        </w:rPr>
        <w:t>蛋白诱饵</w:t>
      </w:r>
      <w:r>
        <w:rPr>
          <w:rStyle w:val="29"/>
          <w:rFonts w:eastAsia="方正仿宋_GBK"/>
          <w:bCs/>
          <w:sz w:val="32"/>
          <w:szCs w:val="32"/>
        </w:rPr>
        <w:t>）</w:t>
      </w:r>
      <w:r>
        <w:rPr>
          <w:rStyle w:val="29"/>
          <w:rFonts w:eastAsia="方正仿宋_GBK" w:hint="eastAsia"/>
          <w:bCs/>
          <w:sz w:val="32"/>
          <w:szCs w:val="32"/>
        </w:rPr>
        <w:t xml:space="preserve">。 </w:t>
      </w:r>
    </w:p>
    <w:p>
      <w:pPr>
        <w:widowControl w:val="0"/>
        <w:snapToGrid w:val="0"/>
        <w:spacing w:line="560" w:lineRule="exact"/>
        <w:ind w:firstLineChars="200" w:firstLine="640"/>
        <w:rPr>
          <w:rStyle w:val="29"/>
          <w:rFonts w:ascii="方正楷体_GBK" w:eastAsia="方正楷体_GBK" w:cs="方正楷体_GBK"/>
          <w:b/>
          <w:bCs/>
          <w:sz w:val="32"/>
          <w:szCs w:val="32"/>
        </w:rPr>
      </w:pPr>
      <w:r>
        <w:rPr>
          <w:rStyle w:val="29"/>
          <w:rFonts w:ascii="方正楷体_GBK" w:eastAsia="方正楷体_GBK" w:cs="方正楷体_GBK"/>
          <w:b/>
          <w:bCs/>
          <w:sz w:val="32"/>
          <w:szCs w:val="32"/>
        </w:rPr>
        <w:t>（六）</w:t>
      </w:r>
      <w:r>
        <w:rPr>
          <w:rStyle w:val="29"/>
          <w:rFonts w:ascii="方正楷体_GBK" w:eastAsia="方正楷体_GBK" w:cs="方正楷体_GBK" w:hint="eastAsia"/>
          <w:b/>
          <w:bCs/>
          <w:sz w:val="32"/>
          <w:szCs w:val="32"/>
        </w:rPr>
        <w:t>检查周期。</w:t>
      </w:r>
    </w:p>
    <w:p>
      <w:pPr>
        <w:widowControl w:val="0"/>
        <w:snapToGrid w:val="0"/>
        <w:spacing w:line="560" w:lineRule="exact"/>
        <w:ind w:firstLineChars="196" w:firstLine="627"/>
        <w:rPr>
          <w:rStyle w:val="29"/>
          <w:rFonts w:eastAsia="方正仿宋_GBK"/>
          <w:bCs/>
          <w:sz w:val="32"/>
          <w:szCs w:val="32"/>
        </w:rPr>
      </w:pPr>
      <w:r>
        <w:rPr>
          <w:rStyle w:val="29"/>
          <w:rFonts w:eastAsia="方正仿宋_GBK" w:hint="eastAsia"/>
          <w:bCs/>
          <w:sz w:val="32"/>
          <w:szCs w:val="32"/>
        </w:rPr>
        <w:t>在瓜苗发芽和开花前5</w:t>
      </w:r>
      <w:r>
        <w:rPr>
          <w:rStyle w:val="49Char"/>
          <w:rFonts w:eastAsia="方正仿宋_GBK" w:hint="eastAsia"/>
          <w:bCs/>
          <w:sz w:val="32"/>
          <w:szCs w:val="32"/>
        </w:rPr>
        <w:t>—</w:t>
      </w:r>
      <w:r>
        <w:rPr>
          <w:rStyle w:val="29"/>
          <w:rFonts w:eastAsia="方正仿宋_GBK" w:hint="eastAsia"/>
          <w:bCs/>
          <w:sz w:val="32"/>
          <w:szCs w:val="32"/>
        </w:rPr>
        <w:t>6天分别施用性信息素，自施用之日起，每间隔3天对实蝇数量进行一次统计；若在统计日的早上8点首次发现实蝇，则立即记录该次数据并终止后续统计。</w:t>
      </w:r>
    </w:p>
    <w:p>
      <w:pPr>
        <w:widowControl w:val="0"/>
        <w:snapToGrid w:val="0"/>
        <w:spacing w:line="560" w:lineRule="exact"/>
        <w:ind w:firstLineChars="200" w:firstLine="640"/>
        <w:rPr>
          <w:rStyle w:val="29"/>
          <w:rFonts w:ascii="方正楷体_GBK" w:eastAsia="方正楷体_GBK" w:cs="方正楷体_GBK"/>
          <w:b/>
          <w:bCs/>
          <w:sz w:val="32"/>
          <w:szCs w:val="32"/>
        </w:rPr>
      </w:pPr>
      <w:r>
        <w:rPr>
          <w:rStyle w:val="29"/>
          <w:rFonts w:ascii="方正楷体_GBK" w:eastAsia="方正楷体_GBK" w:cs="方正楷体_GBK"/>
          <w:b/>
          <w:bCs/>
          <w:sz w:val="32"/>
          <w:szCs w:val="32"/>
        </w:rPr>
        <w:t>（七）</w:t>
      </w:r>
      <w:r>
        <w:rPr>
          <w:rStyle w:val="29"/>
          <w:rFonts w:ascii="方正楷体_GBK" w:eastAsia="方正楷体_GBK" w:cs="方正楷体_GBK" w:hint="eastAsia"/>
          <w:b/>
          <w:bCs/>
          <w:sz w:val="32"/>
          <w:szCs w:val="32"/>
        </w:rPr>
        <w:t>检查人员。</w:t>
      </w:r>
    </w:p>
    <w:p>
      <w:pPr>
        <w:widowControl w:val="0"/>
        <w:snapToGrid w:val="0"/>
        <w:spacing w:line="560" w:lineRule="exact"/>
        <w:ind w:firstLine="549"/>
        <w:rPr>
          <w:rStyle w:val="29"/>
          <w:rFonts w:eastAsia="方正仿宋_GBK"/>
          <w:bCs/>
          <w:sz w:val="32"/>
          <w:szCs w:val="32"/>
        </w:rPr>
      </w:pPr>
      <w:r>
        <w:rPr>
          <w:rStyle w:val="34Char"/>
          <w:rFonts w:eastAsia="方正仿宋_GBK"/>
          <w:bCs/>
          <w:sz w:val="32"/>
          <w:szCs w:val="32"/>
        </w:rPr>
        <w:t>乌方</w:t>
      </w:r>
      <w:r>
        <w:rPr>
          <w:rStyle w:val="29"/>
          <w:rFonts w:eastAsia="方正仿宋_GBK"/>
          <w:bCs/>
          <w:sz w:val="32"/>
          <w:szCs w:val="32"/>
        </w:rPr>
        <w:t>或者</w:t>
      </w:r>
      <w:r>
        <w:rPr>
          <w:rStyle w:val="35Char"/>
          <w:rFonts w:eastAsia="方正仿宋_GBK"/>
          <w:bCs/>
          <w:sz w:val="32"/>
          <w:szCs w:val="32"/>
        </w:rPr>
        <w:t>乌方</w:t>
      </w:r>
      <w:r>
        <w:rPr>
          <w:rStyle w:val="29"/>
          <w:rFonts w:eastAsia="方正仿宋_GBK"/>
          <w:bCs/>
          <w:sz w:val="32"/>
          <w:szCs w:val="32"/>
        </w:rPr>
        <w:t>授权的技术人员。</w:t>
      </w:r>
    </w:p>
    <w:p>
      <w:pPr>
        <w:widowControl w:val="0"/>
        <w:snapToGrid w:val="0"/>
        <w:spacing w:line="560" w:lineRule="exact"/>
        <w:ind w:firstLine="551"/>
        <w:rPr>
          <w:rStyle w:val="29"/>
          <w:rFonts w:ascii="方正黑体_GBK" w:eastAsia="方正黑体_GBK"/>
          <w:sz w:val="32"/>
          <w:szCs w:val="32"/>
        </w:rPr>
      </w:pPr>
      <w:r>
        <w:rPr>
          <w:rStyle w:val="29"/>
          <w:rFonts w:ascii="方正黑体_GBK" w:eastAsia="方正黑体_GBK" w:hint="eastAsia"/>
          <w:sz w:val="32"/>
          <w:szCs w:val="32"/>
        </w:rPr>
        <w:t>二、黄板（黄色胶剂诱捕器）</w:t>
      </w:r>
    </w:p>
    <w:p>
      <w:pPr>
        <w:widowControl w:val="0"/>
        <w:snapToGrid w:val="0"/>
        <w:spacing w:line="560" w:lineRule="exact"/>
        <w:ind w:firstLineChars="196" w:firstLine="627"/>
        <w:rPr>
          <w:rStyle w:val="29"/>
          <w:rFonts w:eastAsia="方正仿宋_GBK"/>
          <w:bCs/>
          <w:sz w:val="32"/>
          <w:szCs w:val="32"/>
        </w:rPr>
      </w:pPr>
      <w:r>
        <w:rPr>
          <w:rStyle w:val="29"/>
          <w:rFonts w:eastAsia="方正仿宋_GBK"/>
          <w:bCs/>
          <w:sz w:val="32"/>
          <w:szCs w:val="32"/>
        </w:rPr>
        <w:t>所有注册</w:t>
      </w:r>
      <w:r>
        <w:rPr>
          <w:rStyle w:val="29"/>
          <w:rFonts w:eastAsia="方正仿宋_GBK" w:hint="eastAsia"/>
          <w:bCs/>
          <w:sz w:val="32"/>
          <w:szCs w:val="32"/>
        </w:rPr>
        <w:t>种植基地</w:t>
      </w:r>
      <w:r>
        <w:rPr>
          <w:rStyle w:val="29"/>
          <w:rFonts w:eastAsia="方正仿宋_GBK"/>
          <w:bCs/>
          <w:sz w:val="32"/>
          <w:szCs w:val="32"/>
        </w:rPr>
        <w:t>均应当安放黄板，为增强诱捕效果，应当配合使用碳酰铵试剂</w:t>
      </w:r>
      <w:r>
        <w:rPr>
          <w:rStyle w:val="29"/>
          <w:rFonts w:eastAsia="方正仿宋_GBK" w:hint="eastAsia"/>
          <w:bCs/>
          <w:sz w:val="32"/>
          <w:szCs w:val="32"/>
        </w:rPr>
        <w:t>（或其他</w:t>
      </w:r>
      <w:r>
        <w:rPr>
          <w:rStyle w:val="29"/>
          <w:rFonts w:eastAsia="方正仿宋_GBK"/>
          <w:bCs/>
          <w:sz w:val="32"/>
          <w:szCs w:val="32"/>
        </w:rPr>
        <w:t>中方</w:t>
      </w:r>
      <w:r>
        <w:rPr>
          <w:rStyle w:val="29"/>
          <w:rFonts w:eastAsia="方正仿宋_GBK" w:hint="eastAsia"/>
          <w:bCs/>
          <w:sz w:val="32"/>
          <w:szCs w:val="32"/>
        </w:rPr>
        <w:t>认可的试剂，下同）</w:t>
      </w:r>
      <w:r>
        <w:rPr>
          <w:rStyle w:val="29"/>
          <w:rFonts w:eastAsia="方正仿宋_GBK"/>
          <w:bCs/>
          <w:sz w:val="32"/>
          <w:szCs w:val="32"/>
        </w:rPr>
        <w:t>。</w:t>
      </w:r>
    </w:p>
    <w:p>
      <w:pPr>
        <w:widowControl w:val="0"/>
        <w:snapToGrid w:val="0"/>
        <w:spacing w:line="560" w:lineRule="exact"/>
        <w:ind w:firstLineChars="196" w:firstLine="627"/>
        <w:rPr>
          <w:rStyle w:val="29"/>
          <w:rFonts w:eastAsia="方正仿宋_GBK"/>
          <w:bCs/>
          <w:sz w:val="32"/>
          <w:szCs w:val="32"/>
        </w:rPr>
      </w:pPr>
      <w:r>
        <w:rPr>
          <w:rStyle w:val="29"/>
          <w:rFonts w:eastAsia="方正仿宋_GBK"/>
          <w:bCs/>
          <w:sz w:val="32"/>
          <w:szCs w:val="32"/>
        </w:rPr>
        <w:t>诱捕监测应从甜瓜的座果（生长期）持续到采收期结束。</w:t>
      </w:r>
    </w:p>
    <w:p>
      <w:pPr>
        <w:widowControl w:val="0"/>
        <w:snapToGrid w:val="0"/>
        <w:spacing w:line="560" w:lineRule="exact"/>
        <w:ind w:firstLineChars="196" w:firstLine="627"/>
        <w:rPr>
          <w:rStyle w:val="29"/>
          <w:rFonts w:eastAsia="方正仿宋_GBK"/>
          <w:bCs/>
          <w:sz w:val="32"/>
          <w:szCs w:val="32"/>
        </w:rPr>
      </w:pPr>
      <w:r>
        <w:rPr>
          <w:rStyle w:val="29"/>
          <w:rFonts w:eastAsia="方正仿宋_GBK"/>
          <w:bCs/>
          <w:sz w:val="32"/>
          <w:szCs w:val="32"/>
        </w:rPr>
        <w:t>每个</w:t>
      </w:r>
      <w:r>
        <w:rPr>
          <w:rStyle w:val="29"/>
          <w:rFonts w:eastAsia="方正仿宋_GBK" w:hint="eastAsia"/>
          <w:bCs/>
          <w:sz w:val="32"/>
          <w:szCs w:val="32"/>
        </w:rPr>
        <w:t>种植基地</w:t>
      </w:r>
      <w:r>
        <w:rPr>
          <w:rStyle w:val="29"/>
          <w:rFonts w:eastAsia="方正仿宋_GBK"/>
          <w:bCs/>
          <w:sz w:val="32"/>
          <w:szCs w:val="32"/>
        </w:rPr>
        <w:t>每公顷悬挂黄板的数量不能少于</w:t>
      </w:r>
      <w:r>
        <w:rPr>
          <w:rStyle w:val="29"/>
          <w:rFonts w:eastAsia="方正仿宋_GBK" w:hint="eastAsia"/>
          <w:bCs/>
          <w:sz w:val="32"/>
          <w:szCs w:val="32"/>
        </w:rPr>
        <w:t>3</w:t>
      </w:r>
      <w:r>
        <w:rPr>
          <w:rStyle w:val="29"/>
          <w:rFonts w:eastAsia="方正仿宋_GBK"/>
          <w:bCs/>
          <w:sz w:val="32"/>
          <w:szCs w:val="32"/>
        </w:rPr>
        <w:t>个。当种植园的面积大于</w:t>
      </w:r>
      <w:r>
        <w:rPr>
          <w:rStyle w:val="29"/>
          <w:rFonts w:eastAsia="方正仿宋_GBK" w:hint="eastAsia"/>
          <w:bCs/>
          <w:sz w:val="32"/>
          <w:szCs w:val="32"/>
        </w:rPr>
        <w:t>1公顷</w:t>
      </w:r>
      <w:r>
        <w:rPr>
          <w:rStyle w:val="29"/>
          <w:rFonts w:eastAsia="方正仿宋_GBK"/>
          <w:bCs/>
          <w:sz w:val="32"/>
          <w:szCs w:val="32"/>
        </w:rPr>
        <w:t>时，应按照每</w:t>
      </w:r>
      <w:r>
        <w:rPr>
          <w:rStyle w:val="29"/>
          <w:rFonts w:eastAsia="方正仿宋_GBK" w:hint="eastAsia"/>
          <w:bCs/>
          <w:sz w:val="32"/>
          <w:szCs w:val="32"/>
        </w:rPr>
        <w:t>增加1公顷</w:t>
      </w:r>
      <w:r>
        <w:rPr>
          <w:rStyle w:val="29"/>
          <w:rFonts w:eastAsia="方正仿宋_GBK"/>
          <w:bCs/>
          <w:sz w:val="32"/>
          <w:szCs w:val="32"/>
        </w:rPr>
        <w:t>的面积增加悬挂</w:t>
      </w:r>
      <w:r>
        <w:rPr>
          <w:rStyle w:val="29"/>
          <w:rFonts w:eastAsia="方正仿宋_GBK" w:hint="eastAsia"/>
          <w:bCs/>
          <w:sz w:val="32"/>
          <w:szCs w:val="32"/>
        </w:rPr>
        <w:t>3</w:t>
      </w:r>
      <w:r>
        <w:rPr>
          <w:rStyle w:val="29"/>
          <w:rFonts w:eastAsia="方正仿宋_GBK"/>
          <w:bCs/>
          <w:sz w:val="32"/>
          <w:szCs w:val="32"/>
        </w:rPr>
        <w:t>个黄板的密度要求。</w:t>
      </w:r>
    </w:p>
    <w:p>
      <w:pPr>
        <w:widowControl w:val="0"/>
        <w:snapToGrid w:val="0"/>
        <w:spacing w:line="560" w:lineRule="exact"/>
        <w:ind w:firstLineChars="196" w:firstLine="627"/>
        <w:rPr>
          <w:rStyle w:val="29"/>
          <w:rFonts w:eastAsia="方正仿宋_GBK"/>
          <w:bCs/>
          <w:sz w:val="32"/>
          <w:szCs w:val="32"/>
        </w:rPr>
      </w:pPr>
      <w:r>
        <w:rPr>
          <w:rStyle w:val="29"/>
          <w:rFonts w:eastAsia="方正仿宋_GBK"/>
          <w:bCs/>
          <w:sz w:val="32"/>
          <w:szCs w:val="32"/>
        </w:rPr>
        <w:t>在生产季节，黄板应每7天检查一次；在采收前应每7天检查2次。</w:t>
      </w:r>
    </w:p>
    <w:p>
      <w:pPr>
        <w:widowControl w:val="0"/>
        <w:snapToGrid w:val="0"/>
        <w:spacing w:line="560" w:lineRule="exact"/>
        <w:ind w:firstLineChars="196" w:firstLine="627"/>
        <w:rPr>
          <w:rStyle w:val="29"/>
          <w:rFonts w:eastAsia="方正仿宋_GBK"/>
          <w:bCs/>
          <w:sz w:val="32"/>
          <w:szCs w:val="32"/>
        </w:rPr>
      </w:pPr>
      <w:r>
        <w:rPr>
          <w:rStyle w:val="29"/>
          <w:rFonts w:eastAsia="方正仿宋_GBK"/>
          <w:bCs/>
          <w:sz w:val="32"/>
          <w:szCs w:val="32"/>
        </w:rPr>
        <w:t>黄板和碳酰铵液体需每两周至少更换一次。如黄板表面被植物残体覆盖，应及时更换黄板。碳酰铵诱剂应根据制造商的要求予以更换，以确保其在整个生长季节的效用。</w:t>
      </w:r>
    </w:p>
    <w:p>
      <w:pPr>
        <w:widowControl w:val="0"/>
        <w:snapToGrid w:val="0"/>
        <w:spacing w:line="560" w:lineRule="exact"/>
        <w:ind w:firstLineChars="196" w:firstLine="627"/>
        <w:rPr>
          <w:rStyle w:val="29"/>
          <w:rFonts w:eastAsia="方正仿宋_GBK"/>
          <w:bCs/>
          <w:sz w:val="32"/>
          <w:szCs w:val="32"/>
        </w:rPr>
      </w:pPr>
      <w:r>
        <w:rPr>
          <w:rStyle w:val="29"/>
          <w:rFonts w:eastAsia="方正仿宋_GBK"/>
          <w:bCs/>
          <w:sz w:val="32"/>
          <w:szCs w:val="32"/>
        </w:rPr>
        <w:t>如注册</w:t>
      </w:r>
      <w:r>
        <w:rPr>
          <w:rStyle w:val="29"/>
          <w:rFonts w:eastAsia="方正仿宋_GBK" w:hint="eastAsia"/>
          <w:bCs/>
          <w:sz w:val="32"/>
          <w:szCs w:val="32"/>
        </w:rPr>
        <w:t>种植基地</w:t>
      </w:r>
      <w:r>
        <w:rPr>
          <w:rStyle w:val="29"/>
          <w:rFonts w:eastAsia="方正仿宋_GBK"/>
          <w:bCs/>
          <w:sz w:val="32"/>
          <w:szCs w:val="32"/>
        </w:rPr>
        <w:t>中连续两周内，每个黄板诱捕到实蝇</w:t>
      </w:r>
      <w:r>
        <w:rPr>
          <w:rStyle w:val="47Char"/>
          <w:rFonts w:eastAsia="方正仿宋_GBK"/>
          <w:bCs/>
          <w:sz w:val="32"/>
          <w:szCs w:val="32"/>
        </w:rPr>
        <w:t>的</w:t>
      </w:r>
      <w:r>
        <w:rPr>
          <w:rStyle w:val="44Char"/>
          <w:rFonts w:eastAsia="方正仿宋_GBK"/>
          <w:bCs/>
          <w:sz w:val="32"/>
          <w:szCs w:val="32"/>
        </w:rPr>
        <w:t>平均</w:t>
      </w:r>
      <w:r>
        <w:rPr>
          <w:rStyle w:val="29"/>
          <w:rFonts w:eastAsia="方正仿宋_GBK"/>
          <w:bCs/>
          <w:sz w:val="32"/>
          <w:szCs w:val="32"/>
        </w:rPr>
        <w:t>数量超过2只，</w:t>
      </w:r>
      <w:r>
        <w:rPr>
          <w:rStyle w:val="36Char"/>
          <w:rFonts w:eastAsia="方正仿宋_GBK"/>
          <w:bCs/>
          <w:sz w:val="32"/>
          <w:szCs w:val="32"/>
        </w:rPr>
        <w:t>乌方</w:t>
      </w:r>
      <w:r>
        <w:rPr>
          <w:rStyle w:val="29"/>
          <w:rFonts w:eastAsia="方正仿宋_GBK"/>
          <w:bCs/>
          <w:sz w:val="32"/>
          <w:szCs w:val="32"/>
        </w:rPr>
        <w:t>暂停相关</w:t>
      </w:r>
      <w:r>
        <w:rPr>
          <w:rStyle w:val="29"/>
          <w:rFonts w:eastAsia="方正仿宋_GBK" w:hint="eastAsia"/>
          <w:bCs/>
          <w:sz w:val="32"/>
          <w:szCs w:val="32"/>
        </w:rPr>
        <w:t>种植基地</w:t>
      </w:r>
      <w:r>
        <w:rPr>
          <w:rStyle w:val="29"/>
          <w:rFonts w:eastAsia="方正仿宋_GBK"/>
          <w:bCs/>
          <w:sz w:val="32"/>
          <w:szCs w:val="32"/>
        </w:rPr>
        <w:t>本季节出口资格，并向中方通报。</w:t>
      </w:r>
    </w:p>
    <w:p>
      <w:pPr>
        <w:widowControl w:val="0"/>
        <w:snapToGrid w:val="0"/>
        <w:spacing w:line="560" w:lineRule="exact"/>
        <w:ind w:firstLineChars="200" w:firstLine="640"/>
        <w:rPr>
          <w:rStyle w:val="29"/>
          <w:rFonts w:ascii="方正黑体_GBK" w:eastAsia="方正黑体_GBK"/>
          <w:sz w:val="32"/>
          <w:szCs w:val="32"/>
        </w:rPr>
      </w:pPr>
      <w:r>
        <w:rPr>
          <w:rStyle w:val="29"/>
          <w:rFonts w:ascii="方正黑体_GBK" w:eastAsia="方正黑体_GBK" w:hint="eastAsia"/>
          <w:sz w:val="32"/>
          <w:szCs w:val="32"/>
        </w:rPr>
        <w:t>三、甜瓜剖果检查</w:t>
      </w:r>
    </w:p>
    <w:p>
      <w:pPr>
        <w:widowControl w:val="0"/>
        <w:snapToGrid w:val="0"/>
        <w:spacing w:line="560" w:lineRule="exact"/>
        <w:ind w:firstLineChars="200" w:firstLine="640"/>
      </w:pPr>
      <w:r>
        <w:rPr>
          <w:rStyle w:val="29"/>
          <w:rFonts w:eastAsia="方正仿宋_GBK"/>
          <w:bCs/>
          <w:sz w:val="32"/>
          <w:szCs w:val="32"/>
        </w:rPr>
        <w:t>在输华甜瓜生长季节，每</w:t>
      </w:r>
      <w:r>
        <w:rPr>
          <w:rStyle w:val="29"/>
          <w:rFonts w:eastAsia="方正仿宋_GBK" w:hint="eastAsia"/>
          <w:bCs/>
          <w:sz w:val="32"/>
          <w:szCs w:val="32"/>
        </w:rPr>
        <w:t>40公顷</w:t>
      </w:r>
      <w:r>
        <w:rPr>
          <w:rStyle w:val="29"/>
          <w:rFonts w:eastAsia="方正仿宋_GBK"/>
          <w:bCs/>
          <w:sz w:val="32"/>
          <w:szCs w:val="32"/>
        </w:rPr>
        <w:t>输华甜瓜种植地作为一个检查单位，选择200个有畸形、腐烂、虫蛀和其他斑痕的甜瓜进行剖果检查，是否有实蝇危害。</w:t>
      </w:r>
    </w:p>
    <w:sectPr>
      <w:footerReference w:type="default" r:id="rId2"/>
      <w:footerReference w:type="even" r:id="rId3"/>
      <w:pgSz w:w="11907" w:h="16840"/>
      <w:pgMar w:top="567" w:right="1418" w:bottom="567" w:left="1701" w:header="851" w:footer="1304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黑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宋体">
    <w:altName w:val="华文宋体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黑体">
    <w:altName w:val="方正黑体_GBK"/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Cambria">
    <w:altName w:val="DejaVu Sans"/>
    <w:panose1 w:val="020B0603030804020204"/>
    <w:charset w:val="00"/>
    <w:family w:val="auto"/>
    <w:pitch w:val="variable"/>
    <w:sig w:usb0="E7006EFF" w:usb1="D200FDFF" w:usb2="0A246029" w:usb3="0400200C" w:csb0="600001FF" w:csb1="DFFF0000"/>
  </w:font>
  <w:font w:name="Courier New">
    <w:altName w:val="DejaVu Sans"/>
    <w:panose1 w:val="02070409020205090404"/>
    <w:charset w:val="00"/>
    <w:family w:val="auto"/>
    <w:pitch w:val="variable"/>
    <w:sig w:usb0="00007A87" w:usb1="80000000" w:usb2="00000008" w:usb3="00000000" w:csb0="400001FF" w:csb1="FFFF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Wingdings">
    <w:altName w:val="DejaVu Sans"/>
    <w:panose1 w:val="020B0603030804020204"/>
    <w:charset w:val="00"/>
    <w:family w:val="auto"/>
    <w:pitch w:val="variable"/>
    <w:sig w:usb0="E7006EFF" w:usb1="D200FDFF" w:usb2="0A246029" w:usb3="0400200C" w:csb0="600001FF" w:csb1="D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37"/>
      <w:framePr w:w="0" w:hRule="auto" w:wrap="around" w:vAnchor="text" w:hAnchor="margin" w:xAlign="center" w:y="1" w:anchorLock="0"/>
      <w:tabs>
        <w:tab w:val="center" w:pos="4153"/>
        <w:tab w:val="right" w:pos="8306"/>
      </w:tabs>
      <w:rPr>
        <w:rFonts w:eastAsia="方正仿宋_GBK"/>
        <w:sz w:val="24"/>
        <w:szCs w:val="24"/>
      </w:rPr>
    </w:pPr>
    <w:r>
      <w:rPr>
        <w:rFonts w:eastAsia="方正仿宋_GBK" w:hint="eastAsia"/>
        <w:sz w:val="24"/>
        <w:szCs w:val="24"/>
      </w:rPr>
      <w:t>—</w:t>
    </w:r>
    <w:r>
      <w:rPr>
        <w:rFonts w:eastAsia="方正仿宋_GBK"/>
        <w:sz w:val="24"/>
        <w:szCs w:val="24"/>
      </w:rPr>
      <w:t xml:space="preserve"> </w:t>
    </w:r>
    <w:r>
      <w:rPr>
        <w:rFonts w:eastAsia="方正仿宋_GBK"/>
        <w:sz w:val="24"/>
        <w:szCs w:val="24"/>
      </w:rPr>
      <w:fldChar w:fldCharType="begin"/>
    </w:r>
    <w:r>
      <w:rPr>
        <w:rFonts w:eastAsia="方正仿宋_GBK"/>
        <w:sz w:val="24"/>
        <w:szCs w:val="24"/>
      </w:rPr>
      <w:instrText xml:space="preserve">PAGE </w:instrText>
    </w:r>
    <w:r>
      <w:rPr>
        <w:rFonts w:eastAsia="方正仿宋_GBK"/>
        <w:sz w:val="24"/>
        <w:szCs w:val="24"/>
      </w:rPr>
      <w:fldChar w:fldCharType="separate"/>
    </w:r>
    <w:r>
      <w:rPr>
        <w:rFonts w:eastAsia="方正仿宋_GBK"/>
        <w:sz w:val="24"/>
        <w:szCs w:val="24"/>
      </w:rPr>
      <w:t>11</w:t>
    </w:r>
    <w:r>
      <w:rPr>
        <w:rFonts w:eastAsia="方正仿宋_GBK"/>
        <w:sz w:val="24"/>
        <w:szCs w:val="24"/>
      </w:rPr>
      <w:fldChar w:fldCharType="end"/>
    </w:r>
    <w:r>
      <w:rPr>
        <w:rFonts w:eastAsia="方正仿宋_GBK"/>
        <w:sz w:val="24"/>
        <w:szCs w:val="24"/>
      </w:rPr>
      <w:t xml:space="preserve"> </w:t>
    </w:r>
    <w:r>
      <w:rPr>
        <w:rFonts w:eastAsia="方正仿宋_GBK" w:hint="eastAsia"/>
        <w:sz w:val="24"/>
        <w:szCs w:val="24"/>
      </w:rPr>
      <w:t>—</w:t>
    </w:r>
  </w:p>
  <w:p>
    <w:pPr>
      <w:pStyle w:val="38"/>
      <w:rPr>
        <w:rStyle w:val="39Char"/>
        <w:sz w:val="24"/>
      </w:rPr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framePr w:w="0" w:hRule="auto" w:wrap="around" w:vAnchor="text" w:hAnchor="margin" w:xAlign="center" w:y="1" w:anchorLock="0"/>
      <w:tabs>
        <w:tab w:val="center" w:pos="4153"/>
        <w:tab w:val="right" w:pos="8306"/>
      </w:tabs>
    </w:pPr>
    <w:r>
      <w:rPr>
        <w:rStyle w:val="16"/>
      </w:rPr>
      <w:fldChar w:fldCharType="begin"/>
    </w:r>
    <w:r>
      <w:rPr>
        <w:rStyle w:val="16"/>
      </w:rPr>
      <w:instrText>Page</w:instrText>
    </w:r>
    <w:r>
      <w:rPr>
        <w:rStyle w:val="16"/>
      </w:rPr>
      <w:fldChar w:fldCharType="separate"/>
    </w:r>
    <w:r>
      <w:rPr>
        <w:rStyle w:val="16"/>
      </w:rPr>
      <w:t>- 1 -</w:t>
    </w:r>
    <w:r>
      <w:rPr>
        <w:rStyle w:val="16"/>
      </w:rPr>
      <w:fldChar w:fldCharType="end"/>
    </w:r>
  </w:p>
  <w:p>
    <w:pPr>
      <w:pStyle w:val="15"/>
      <w:tabs>
        <w:tab w:val="center" w:pos="4153"/>
        <w:tab w:val="right" w:pos="8306"/>
      </w:tabs>
    </w:pP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0FFFFF83"/>
    <w:multiLevelType w:val="singleLevel"/>
    <w:tmpl w:val="00000000"/>
    <w:lvl w:ilvl="0">
      <w:start w:val="1"/>
      <w:numFmt w:val="bullet"/>
      <w:lvlRestart w:val="0"/>
      <w:pStyle w:val="19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1">
    <w:nsid w:val="0FFFFF7F"/>
    <w:multiLevelType w:val="singleLevel"/>
    <w:tmpl w:val="00000000"/>
    <w:lvl w:ilvl="0">
      <w:start w:val="1"/>
      <w:numFmt w:val="decimal"/>
      <w:lvlRestart w:val="0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2">
    <w:nsid w:val="0FFFFF7E"/>
    <w:multiLevelType w:val="singleLevel"/>
    <w:tmpl w:val="00000000"/>
    <w:lvl w:ilvl="0">
      <w:start w:val="1"/>
      <w:numFmt w:val="decimal"/>
      <w:lvlRestart w:val="0"/>
      <w:pStyle w:val="21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D"/>
    <w:multiLevelType w:val="singleLevel"/>
    <w:tmpl w:val="00000000"/>
    <w:lvl w:ilvl="0">
      <w:start w:val="1"/>
      <w:numFmt w:val="decimal"/>
      <w:lvlRestart w:val="0"/>
      <w:pStyle w:val="22"/>
      <w:lvlText w:val="%1."/>
      <w:lvlJc w:val="left"/>
      <w:pPr>
        <w:tabs>
          <w:tab w:val="num" w:pos="1620"/>
        </w:tabs>
        <w:ind w:left="16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85"/>
  <w:displayBackgroundShape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  <w:style w:type="character" w:styleId="16">
    <w:name w:val="page number"/>
  </w:style>
  <w:style w:type="character" w:styleId="17">
    <w:name w:val="endnote reference"/>
    <w:basedOn w:val="10"/>
    <w:rPr>
      <w:vertAlign w:val="superscript"/>
    </w:rPr>
  </w:style>
  <w:style w:type="paragraph" w:styleId="18">
    <w:name w:val="List 4"/>
    <w:basedOn w:val="0"/>
    <w:pPr>
      <w:ind w:left="1680" w:hanging="420"/>
    </w:pPr>
  </w:style>
  <w:style w:type="paragraph" w:styleId="19">
    <w:name w:val="List 5"/>
    <w:basedOn w:val="0"/>
    <w:pPr>
      <w:ind w:left="2100" w:hanging="420"/>
    </w:pPr>
  </w:style>
  <w:style w:type="paragraph" w:styleId="20">
    <w:name w:val="List Bullet 2"/>
    <w:basedOn w:val="0"/>
    <w:pPr>
      <w:numPr>
        <w:ilvl w:val="0"/>
        <w:numId w:val="1"/>
      </w:numPr>
    </w:pPr>
  </w:style>
  <w:style w:type="paragraph" w:styleId="21">
    <w:name w:val="List Number 2"/>
    <w:basedOn w:val="0"/>
    <w:pPr>
      <w:numPr>
        <w:ilvl w:val="0"/>
        <w:numId w:val="2"/>
      </w:numPr>
    </w:pPr>
  </w:style>
  <w:style w:type="paragraph" w:styleId="22">
    <w:name w:val="List Number 3"/>
    <w:basedOn w:val="0"/>
    <w:pPr>
      <w:numPr>
        <w:ilvl w:val="0"/>
        <w:numId w:val="3"/>
      </w:numPr>
    </w:pPr>
  </w:style>
  <w:style w:type="paragraph" w:styleId="23">
    <w:name w:val="List Number 4"/>
    <w:basedOn w:val="0"/>
    <w:pPr>
      <w:numPr>
        <w:ilvl w:val="0"/>
        <w:numId w:val="4"/>
      </w:numPr>
    </w:pPr>
  </w:style>
  <w:style w:type="paragraph" w:styleId="24">
    <w:name w:val="Title"/>
    <w:basedOn w:val="0"/>
    <w:pPr>
      <w:spacing w:before="240" w:after="60"/>
      <w:jc w:val="center"/>
    </w:pPr>
    <w:rPr>
      <w:rFonts w:ascii="Cambria" w:eastAsia="宋体" w:cs="Times New Roman" w:hAnsi="Cambria"/>
      <w:b/>
      <w:bCs/>
      <w:kern w:val="2"/>
      <w:sz w:val="32"/>
      <w:szCs w:val="32"/>
      <w:lang w:val="en-US" w:eastAsia="zh-CN" w:bidi="ar-SA"/>
    </w:rPr>
  </w:style>
  <w:style w:type="character" w:styleId="25">
    <w:name w:val="Emphasis"/>
    <w:basedOn w:val="10"/>
    <w:rPr>
      <w:i/>
    </w:rPr>
  </w:style>
  <w:style w:type="paragraph" w:styleId="26">
    <w:name w:val="Document Map"/>
    <w:basedOn w:val="0"/>
    <w:pPr>
      <w:shd w:val="clear" w:color="auto" w:fill="000080"/>
    </w:pPr>
  </w:style>
  <w:style w:type="paragraph" w:styleId="27">
    <w:name w:val="Plain Text"/>
    <w:basedOn w:val="0"/>
    <w:rPr>
      <w:rFonts w:ascii="Courier New" w:eastAsia="宋体" w:hAnsi="Courier New"/>
    </w:rPr>
  </w:style>
  <w:style w:type="paragraph" w:styleId="28">
    <w:name w:val="E-mail Signature"/>
    <w:basedOn w:val="0"/>
  </w:style>
  <w:style w:type="character" w:customStyle="1" w:styleId="29">
    <w:name w:val="NormalCharacter"/>
  </w:style>
  <w:style w:type="paragraph" w:customStyle="1" w:styleId="30">
    <w:name w:val="样式 22"/>
    <w:link w:val="30Char"/>
    <w:rPr>
      <w:rFonts w:ascii="Times New Roman" w:eastAsia="宋体" w:cs="Times New Roman" w:hAnsi="Times New Roman"/>
      <w:sz w:val="20"/>
      <w:szCs w:val="20"/>
      <w:lang w:val="en-US" w:eastAsia="zh-CN" w:bidi="ar-SA"/>
    </w:rPr>
  </w:style>
  <w:style w:type="character" w:customStyle="1" w:styleId="30Char">
    <w:name w:val="样式 22 Char"/>
    <w:basedOn w:val="10"/>
    <w:link w:val="30"/>
    <w:rPr>
      <w:rFonts w:ascii="Times New Roman" w:eastAsia="宋体" w:cs="Times New Roman" w:hAnsi="Times New Roman"/>
      <w:sz w:val="20"/>
      <w:szCs w:val="20"/>
      <w:lang w:val="en-US" w:eastAsia="zh-CN" w:bidi="ar-SA"/>
    </w:rPr>
  </w:style>
  <w:style w:type="paragraph" w:customStyle="1" w:styleId="31">
    <w:name w:val="样式 6"/>
    <w:link w:val="31Char"/>
    <w:rPr>
      <w:rFonts w:ascii="Times New Roman" w:eastAsia="宋体" w:cs="Times New Roman" w:hAnsi="Times New Roman"/>
      <w:sz w:val="20"/>
      <w:szCs w:val="20"/>
      <w:lang w:val="en-US" w:eastAsia="zh-CN" w:bidi="ar-SA"/>
    </w:rPr>
  </w:style>
  <w:style w:type="character" w:customStyle="1" w:styleId="31Char">
    <w:name w:val="样式 6 Char"/>
    <w:basedOn w:val="10"/>
    <w:link w:val="31"/>
    <w:rPr>
      <w:rFonts w:ascii="Times New Roman" w:eastAsia="宋体" w:cs="Times New Roman" w:hAnsi="Times New Roman"/>
      <w:sz w:val="20"/>
      <w:szCs w:val="20"/>
      <w:lang w:val="en-US" w:eastAsia="zh-CN" w:bidi="ar-SA"/>
    </w:rPr>
  </w:style>
  <w:style w:type="paragraph" w:customStyle="1" w:styleId="32">
    <w:name w:val="样式 7"/>
    <w:link w:val="32Char"/>
    <w:rPr>
      <w:rFonts w:ascii="Times New Roman" w:eastAsia="宋体" w:cs="Times New Roman" w:hAnsi="Times New Roman"/>
      <w:sz w:val="20"/>
      <w:szCs w:val="20"/>
      <w:lang w:val="en-US" w:eastAsia="zh-CN" w:bidi="ar-SA"/>
    </w:rPr>
  </w:style>
  <w:style w:type="character" w:customStyle="1" w:styleId="32Char">
    <w:name w:val="样式 7 Char"/>
    <w:basedOn w:val="10"/>
    <w:link w:val="32"/>
    <w:rPr>
      <w:rFonts w:ascii="Times New Roman" w:eastAsia="宋体" w:cs="Times New Roman" w:hAnsi="Times New Roman"/>
      <w:sz w:val="20"/>
      <w:szCs w:val="20"/>
      <w:lang w:val="en-US" w:eastAsia="zh-CN" w:bidi="ar-SA"/>
    </w:rPr>
  </w:style>
  <w:style w:type="paragraph" w:customStyle="1" w:styleId="33">
    <w:name w:val="样式 5"/>
    <w:link w:val="33Char"/>
    <w:rPr>
      <w:rFonts w:ascii="Times New Roman" w:eastAsia="宋体" w:cs="Times New Roman" w:hAnsi="Times New Roman"/>
      <w:sz w:val="20"/>
      <w:szCs w:val="20"/>
      <w:lang w:val="en-US" w:eastAsia="zh-CN" w:bidi="ar-SA"/>
    </w:rPr>
  </w:style>
  <w:style w:type="character" w:customStyle="1" w:styleId="33Char">
    <w:name w:val="样式 5 Char"/>
    <w:basedOn w:val="10"/>
    <w:link w:val="33"/>
    <w:rPr>
      <w:rFonts w:ascii="Times New Roman" w:eastAsia="宋体" w:cs="Times New Roman" w:hAnsi="Times New Roman"/>
      <w:sz w:val="20"/>
      <w:szCs w:val="20"/>
      <w:lang w:val="en-US" w:eastAsia="zh-CN" w:bidi="ar-SA"/>
    </w:rPr>
  </w:style>
  <w:style w:type="paragraph" w:customStyle="1" w:styleId="34">
    <w:name w:val="样式 24"/>
    <w:link w:val="34Char"/>
    <w:rPr>
      <w:rFonts w:ascii="Times New Roman" w:eastAsia="宋体" w:cs="Times New Roman" w:hAnsi="Times New Roman"/>
      <w:sz w:val="20"/>
      <w:szCs w:val="20"/>
      <w:lang w:val="en-US" w:eastAsia="zh-CN" w:bidi="ar-SA"/>
    </w:rPr>
  </w:style>
  <w:style w:type="character" w:customStyle="1" w:styleId="34Char">
    <w:name w:val="样式 24 Char"/>
    <w:basedOn w:val="10"/>
    <w:link w:val="34"/>
    <w:rPr>
      <w:rFonts w:ascii="Times New Roman" w:eastAsia="宋体" w:cs="Times New Roman" w:hAnsi="Times New Roman"/>
      <w:sz w:val="20"/>
      <w:szCs w:val="20"/>
      <w:lang w:val="en-US" w:eastAsia="zh-CN" w:bidi="ar-SA"/>
    </w:rPr>
  </w:style>
  <w:style w:type="paragraph" w:customStyle="1" w:styleId="35">
    <w:name w:val="样式 23"/>
    <w:link w:val="35Char"/>
    <w:rPr>
      <w:rFonts w:ascii="Times New Roman" w:eastAsia="宋体" w:cs="Times New Roman" w:hAnsi="Times New Roman"/>
      <w:sz w:val="20"/>
      <w:szCs w:val="20"/>
      <w:lang w:val="en-US" w:eastAsia="zh-CN" w:bidi="ar-SA"/>
    </w:rPr>
  </w:style>
  <w:style w:type="character" w:customStyle="1" w:styleId="35Char">
    <w:name w:val="样式 23 Char"/>
    <w:basedOn w:val="10"/>
    <w:link w:val="35"/>
    <w:rPr>
      <w:rFonts w:ascii="Times New Roman" w:eastAsia="宋体" w:cs="Times New Roman" w:hAnsi="Times New Roman"/>
      <w:sz w:val="20"/>
      <w:szCs w:val="20"/>
      <w:lang w:val="en-US" w:eastAsia="zh-CN" w:bidi="ar-SA"/>
    </w:rPr>
  </w:style>
  <w:style w:type="paragraph" w:customStyle="1" w:styleId="36">
    <w:name w:val="样式 25"/>
    <w:link w:val="36Char"/>
    <w:rPr>
      <w:rFonts w:ascii="Times New Roman" w:eastAsia="宋体" w:cs="Times New Roman" w:hAnsi="Times New Roman"/>
      <w:sz w:val="20"/>
      <w:szCs w:val="20"/>
      <w:lang w:val="en-US" w:eastAsia="zh-CN" w:bidi="ar-SA"/>
    </w:rPr>
  </w:style>
  <w:style w:type="character" w:customStyle="1" w:styleId="36Char">
    <w:name w:val="样式 25 Char"/>
    <w:basedOn w:val="10"/>
    <w:link w:val="36"/>
    <w:rPr>
      <w:rFonts w:ascii="Times New Roman" w:eastAsia="宋体" w:cs="Times New Roman" w:hAnsi="Times New Roman"/>
      <w:sz w:val="20"/>
      <w:szCs w:val="20"/>
      <w:lang w:val="en-US" w:eastAsia="zh-CN" w:bidi="ar-SA"/>
    </w:rPr>
  </w:style>
  <w:style w:type="paragraph" w:customStyle="1" w:styleId="37">
    <w:name w:val="样式 小五"/>
    <w:basedOn w:val="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  <w:style w:type="paragraph" w:customStyle="1" w:styleId="38">
    <w:name w:val="样式 1 10 磅"/>
    <w:pPr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39">
    <w:name w:val="样式 12"/>
    <w:link w:val="39Char"/>
    <w:rPr>
      <w:rFonts w:ascii="Times New Roman" w:eastAsia="宋体" w:cs="Lucida Sans" w:hAnsi="Times New Roman"/>
      <w:sz w:val="20"/>
      <w:szCs w:val="20"/>
      <w:lang w:val="en-US" w:eastAsia="zh-CN" w:bidi="ar-SA"/>
    </w:rPr>
  </w:style>
  <w:style w:type="character" w:customStyle="1" w:styleId="39Char">
    <w:name w:val="样式 12 Char"/>
    <w:basedOn w:val="10"/>
    <w:link w:val="39"/>
    <w:rPr>
      <w:rFonts w:ascii="Times New Roman" w:eastAsia="宋体" w:cs="Lucida Sans" w:hAnsi="Times New Roman"/>
      <w:sz w:val="20"/>
      <w:szCs w:val="20"/>
      <w:lang w:val="en-US" w:eastAsia="zh-CN" w:bidi="ar-SA"/>
    </w:rPr>
  </w:style>
  <w:style w:type="paragraph" w:customStyle="1" w:styleId="40">
    <w:name w:val="样式 "/>
    <w:rPr>
      <w:rFonts w:ascii="Times New Roman" w:eastAsia="宋体" w:cs="Lucida Sans" w:hAnsi="Times New Roman"/>
      <w:sz w:val="20"/>
      <w:szCs w:val="20"/>
      <w:lang w:val="en-US" w:eastAsia="zh-CN" w:bidi="ar-SA"/>
    </w:rPr>
  </w:style>
  <w:style w:type="paragraph" w:customStyle="1" w:styleId="41">
    <w:name w:val="样式 10 磅"/>
    <w:pPr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42">
    <w:name w:val="样式 1 "/>
    <w:link w:val="42Char"/>
    <w:rPr>
      <w:rFonts w:ascii="Times New Roman" w:eastAsia="宋体" w:cs="Lucida Sans" w:hAnsi="Times New Roman"/>
      <w:sz w:val="20"/>
      <w:szCs w:val="20"/>
      <w:lang w:val="en-US" w:eastAsia="zh-CN" w:bidi="ar-SA"/>
    </w:rPr>
  </w:style>
  <w:style w:type="character" w:customStyle="1" w:styleId="42Char">
    <w:name w:val="样式 1  Char"/>
    <w:basedOn w:val="10"/>
    <w:link w:val="42"/>
    <w:rPr>
      <w:rFonts w:ascii="Times New Roman" w:eastAsia="宋体" w:cs="Lucida Sans" w:hAnsi="Times New Roman"/>
      <w:sz w:val="20"/>
      <w:szCs w:val="20"/>
      <w:lang w:val="en-US" w:eastAsia="zh-CN" w:bidi="ar-SA"/>
    </w:rPr>
  </w:style>
  <w:style w:type="paragraph" w:customStyle="1" w:styleId="43">
    <w:name w:val="样式 2 10 磅"/>
    <w:pPr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44">
    <w:name w:val="样式 2 "/>
    <w:link w:val="44Char"/>
    <w:rPr>
      <w:rFonts w:ascii="Times New Roman" w:eastAsia="宋体" w:cs="Lucida Sans" w:hAnsi="Times New Roman"/>
      <w:sz w:val="20"/>
      <w:szCs w:val="20"/>
      <w:lang w:val="en-US" w:eastAsia="zh-CN" w:bidi="ar-SA"/>
    </w:rPr>
  </w:style>
  <w:style w:type="character" w:customStyle="1" w:styleId="44Char">
    <w:name w:val="样式 2  Char"/>
    <w:basedOn w:val="10"/>
    <w:link w:val="44"/>
    <w:rPr>
      <w:rFonts w:ascii="Times New Roman" w:eastAsia="宋体" w:cs="Lucida Sans" w:hAnsi="Times New Roman"/>
      <w:sz w:val="20"/>
      <w:szCs w:val="20"/>
      <w:lang w:val="en-US" w:eastAsia="zh-CN" w:bidi="ar-SA"/>
    </w:rPr>
  </w:style>
  <w:style w:type="paragraph" w:customStyle="1" w:styleId="45">
    <w:name w:val="样式 3 10 磅"/>
    <w:pPr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46">
    <w:name w:val="样式 4 10 磅"/>
    <w:pPr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47">
    <w:name w:val="样式 3 "/>
    <w:link w:val="47Char"/>
    <w:rPr>
      <w:rFonts w:ascii="Times New Roman" w:eastAsia="宋体" w:cs="Lucida Sans" w:hAnsi="Times New Roman"/>
      <w:sz w:val="20"/>
      <w:szCs w:val="20"/>
      <w:lang w:val="en-US" w:eastAsia="zh-CN" w:bidi="ar-SA"/>
    </w:rPr>
  </w:style>
  <w:style w:type="character" w:customStyle="1" w:styleId="47Char">
    <w:name w:val="样式 3  Char"/>
    <w:basedOn w:val="10"/>
    <w:link w:val="47"/>
    <w:rPr>
      <w:rFonts w:ascii="Times New Roman" w:eastAsia="宋体" w:cs="Lucida Sans" w:hAnsi="Times New Roman"/>
      <w:sz w:val="20"/>
      <w:szCs w:val="20"/>
      <w:lang w:val="en-US" w:eastAsia="zh-CN" w:bidi="ar-SA"/>
    </w:rPr>
  </w:style>
  <w:style w:type="paragraph" w:customStyle="1" w:styleId="48">
    <w:name w:val="样式 5 10 磅"/>
    <w:pPr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49">
    <w:name w:val="样式 4 "/>
    <w:link w:val="49Char"/>
    <w:rPr>
      <w:rFonts w:ascii="Times New Roman" w:eastAsia="宋体" w:cs="Lucida Sans" w:hAnsi="Times New Roman"/>
      <w:sz w:val="20"/>
      <w:szCs w:val="20"/>
      <w:lang w:val="en-US" w:eastAsia="zh-CN" w:bidi="ar-SA"/>
    </w:rPr>
  </w:style>
  <w:style w:type="character" w:customStyle="1" w:styleId="49Char">
    <w:name w:val="样式 4  Char"/>
    <w:basedOn w:val="10"/>
    <w:link w:val="49"/>
    <w:rPr>
      <w:rFonts w:ascii="Times New Roman" w:eastAsia="宋体" w:cs="Lucida Sans" w:hAnsi="Times New Roman"/>
      <w:sz w:val="20"/>
      <w:szCs w:val="20"/>
      <w:lang w:val="en-US" w:eastAsia="zh-CN" w:bidi="ar-SA"/>
    </w:rPr>
  </w:style>
  <w:style w:type="paragraph" w:customStyle="1" w:styleId="50">
    <w:name w:val="样式 6 10 磅"/>
    <w:pPr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51">
    <w:name w:val="样式 5 "/>
    <w:link w:val="51Char"/>
    <w:rPr>
      <w:rFonts w:ascii="Times New Roman" w:eastAsia="宋体" w:cs="Times New Roman" w:hAnsi="Times New Roman"/>
      <w:lang w:val="en-US" w:eastAsia="zh-CN" w:bidi="ar-SA"/>
    </w:rPr>
  </w:style>
  <w:style w:type="character" w:customStyle="1" w:styleId="51Char">
    <w:name w:val="样式 5  Char"/>
    <w:basedOn w:val="10"/>
    <w:link w:val="51"/>
    <w:rPr>
      <w:rFonts w:ascii="Times New Roman" w:eastAsia="宋体" w:cs="Times New Roman" w:hAnsi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numbering" Target="numbering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45</TotalTime>
  <Application>Yozo_Office</Application>
  <Pages>1</Pages>
  <Words>9</Words>
  <Characters>9</Characters>
  <Lines>1</Lines>
  <Paragraphs>1</Paragraphs>
  <CharactersWithSpaces>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赵倩</dc:creator>
  <cp:lastModifiedBy>刘玮娜</cp:lastModifiedBy>
  <cp:revision>1</cp:revision>
  <dcterms:created xsi:type="dcterms:W3CDTF">2025-09-11T00:26:26Z</dcterms:created>
  <dcterms:modified xsi:type="dcterms:W3CDTF">2025-09-25T00:43:29Z</dcterms:modified>
</cp:coreProperties>
</file>