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9242">
      <w:pPr>
        <w:spacing w:beforeLines="0" w:afterLines="0" w:line="560" w:lineRule="exact"/>
        <w:ind w:firstLine="0" w:firstLineChars="0"/>
        <w:rPr>
          <w:rFonts w:hint="default" w:ascii="Times New Roman" w:hAnsi="Times New Roman" w:eastAsia="黑体" w:cs="Times New Roman"/>
          <w:spacing w:val="-4"/>
          <w:sz w:val="32"/>
          <w:szCs w:val="32"/>
          <w:highlight w:val="none"/>
          <w:lang w:val="en-US" w:eastAsia="zh-CN"/>
        </w:rPr>
      </w:pPr>
      <w:r>
        <w:rPr>
          <w:rFonts w:hint="eastAsia" w:ascii="黑体" w:hAnsi="黑体" w:eastAsia="黑体" w:cs="黑体"/>
          <w:spacing w:val="-4"/>
          <w:sz w:val="32"/>
          <w:szCs w:val="32"/>
          <w:highlight w:val="none"/>
          <w:lang w:val="en-US" w:eastAsia="zh-CN"/>
        </w:rPr>
        <w:t>附件</w:t>
      </w:r>
      <w:r>
        <w:rPr>
          <w:rFonts w:hint="eastAsia" w:ascii="黑体" w:hAnsi="黑体" w:eastAsia="黑体" w:cs="黑体"/>
          <w:spacing w:val="-4"/>
          <w:sz w:val="32"/>
          <w:szCs w:val="32"/>
          <w:highlight w:val="none"/>
          <w:lang w:val="en-US" w:eastAsia="zh"/>
        </w:rPr>
        <w:t>2</w:t>
      </w:r>
    </w:p>
    <w:p w14:paraId="03B1820D">
      <w:pPr>
        <w:pStyle w:val="2"/>
        <w:spacing w:beforeLines="0" w:after="0" w:afterLines="0" w:line="560" w:lineRule="exact"/>
        <w:rPr>
          <w:rFonts w:hint="default" w:ascii="Times New Roman" w:hAnsi="Times New Roman"/>
          <w:lang w:val="en-US" w:eastAsia="zh-CN"/>
        </w:rPr>
      </w:pPr>
    </w:p>
    <w:p w14:paraId="02D6E5AD">
      <w:pPr>
        <w:spacing w:beforeLines="0" w:afterLines="0" w:line="560" w:lineRule="exact"/>
        <w:ind w:firstLine="0" w:firstLineChars="0"/>
        <w:jc w:val="center"/>
        <w:rPr>
          <w:rFonts w:hint="eastAsia" w:ascii="方正大标宋简体" w:hAnsi="方正大标宋简体" w:eastAsia="方正大标宋简体" w:cs="方正大标宋简体"/>
          <w:spacing w:val="-4"/>
          <w:sz w:val="44"/>
          <w:szCs w:val="44"/>
          <w:highlight w:val="none"/>
        </w:rPr>
      </w:pPr>
      <w:r>
        <w:rPr>
          <w:rFonts w:hint="eastAsia" w:ascii="方正大标宋简体" w:hAnsi="方正大标宋简体" w:eastAsia="方正大标宋简体" w:cs="方正大标宋简体"/>
          <w:spacing w:val="-4"/>
          <w:sz w:val="44"/>
          <w:szCs w:val="44"/>
          <w:highlight w:val="none"/>
        </w:rPr>
        <w:t>《上海证券交易所发行上市审核规则适用指引第</w:t>
      </w:r>
      <w:r>
        <w:rPr>
          <w:rFonts w:hint="default" w:ascii="Times New Roman" w:hAnsi="Times New Roman" w:eastAsia="方正大标宋简体" w:cs="Times New Roman"/>
          <w:spacing w:val="-4"/>
          <w:sz w:val="44"/>
          <w:szCs w:val="44"/>
          <w:highlight w:val="none"/>
        </w:rPr>
        <w:t>6</w:t>
      </w:r>
      <w:r>
        <w:rPr>
          <w:rFonts w:hint="eastAsia" w:ascii="方正大标宋简体" w:hAnsi="方正大标宋简体" w:eastAsia="方正大标宋简体" w:cs="方正大标宋简体"/>
          <w:spacing w:val="-4"/>
          <w:sz w:val="44"/>
          <w:szCs w:val="44"/>
          <w:highlight w:val="none"/>
        </w:rPr>
        <w:t>号—</w:t>
      </w:r>
      <w:bookmarkStart w:id="0" w:name="_GoBack"/>
      <w:bookmarkEnd w:id="0"/>
      <w:r>
        <w:rPr>
          <w:rFonts w:hint="eastAsia" w:ascii="方正大标宋简体" w:hAnsi="方正大标宋简体" w:eastAsia="方正大标宋简体" w:cs="方正大标宋简体"/>
          <w:spacing w:val="-4"/>
          <w:sz w:val="44"/>
          <w:szCs w:val="44"/>
          <w:highlight w:val="none"/>
        </w:rPr>
        <w:t>—轻资产、高研发投入认定标准</w:t>
      </w:r>
    </w:p>
    <w:p w14:paraId="2CE107D7">
      <w:pPr>
        <w:spacing w:beforeLines="0" w:afterLines="0" w:line="560" w:lineRule="exact"/>
        <w:ind w:firstLine="0" w:firstLineChars="0"/>
        <w:jc w:val="center"/>
        <w:rPr>
          <w:rFonts w:hint="eastAsia" w:ascii="方正大标宋简体" w:hAnsi="方正大标宋简体" w:eastAsia="方正大标宋简体" w:cs="方正大标宋简体"/>
          <w:spacing w:val="-4"/>
          <w:sz w:val="44"/>
          <w:szCs w:val="44"/>
          <w:highlight w:val="none"/>
          <w:lang w:val="en-US" w:eastAsia="zh-CN"/>
        </w:rPr>
      </w:pPr>
      <w:r>
        <w:rPr>
          <w:rFonts w:hint="eastAsia" w:ascii="方正大标宋简体" w:hAnsi="方正大标宋简体" w:eastAsia="方正大标宋简体" w:cs="方正大标宋简体"/>
          <w:spacing w:val="-4"/>
          <w:sz w:val="44"/>
          <w:szCs w:val="44"/>
          <w:highlight w:val="none"/>
        </w:rPr>
        <w:t>（</w:t>
      </w:r>
      <w:r>
        <w:rPr>
          <w:rFonts w:hint="default" w:ascii="Times New Roman" w:hAnsi="Times New Roman" w:eastAsia="方正大标宋简体" w:cs="Times New Roman"/>
          <w:spacing w:val="-4"/>
          <w:sz w:val="44"/>
          <w:szCs w:val="44"/>
          <w:highlight w:val="none"/>
          <w:lang w:val="en-US" w:eastAsia="zh-CN"/>
        </w:rPr>
        <w:t>2026</w:t>
      </w:r>
      <w:r>
        <w:rPr>
          <w:rFonts w:hint="eastAsia" w:ascii="方正大标宋简体" w:hAnsi="方正大标宋简体" w:eastAsia="方正大标宋简体" w:cs="方正大标宋简体"/>
          <w:spacing w:val="-4"/>
          <w:sz w:val="44"/>
          <w:szCs w:val="44"/>
          <w:highlight w:val="none"/>
          <w:lang w:val="en-US" w:eastAsia="zh-CN"/>
        </w:rPr>
        <w:t>年修订</w:t>
      </w:r>
      <w:r>
        <w:rPr>
          <w:rFonts w:hint="eastAsia" w:ascii="方正大标宋简体" w:hAnsi="方正大标宋简体" w:eastAsia="方正大标宋简体" w:cs="方正大标宋简体"/>
          <w:spacing w:val="-4"/>
          <w:sz w:val="44"/>
          <w:szCs w:val="44"/>
          <w:highlight w:val="none"/>
        </w:rPr>
        <w:t>）》修订说明</w:t>
      </w:r>
    </w:p>
    <w:p w14:paraId="26D18367">
      <w:pPr>
        <w:snapToGrid w:val="0"/>
        <w:spacing w:beforeLines="0" w:afterLines="0" w:line="560" w:lineRule="exact"/>
        <w:ind w:firstLine="640" w:firstLineChars="200"/>
        <w:outlineLvl w:val="0"/>
        <w:rPr>
          <w:rFonts w:hint="default" w:ascii="Times New Roman" w:hAnsi="Times New Roman" w:eastAsia="仿宋" w:cs="Times New Roman"/>
          <w:kern w:val="0"/>
          <w:sz w:val="32"/>
          <w:szCs w:val="30"/>
          <w:highlight w:val="none"/>
        </w:rPr>
      </w:pPr>
    </w:p>
    <w:p w14:paraId="63A3A981">
      <w:pPr>
        <w:snapToGrid w:val="0"/>
        <w:spacing w:beforeLines="0" w:afterLines="0" w:line="56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eastAsia="zh-CN"/>
        </w:rPr>
        <w:t>为</w:t>
      </w:r>
      <w:r>
        <w:rPr>
          <w:rFonts w:hint="eastAsia" w:ascii="Times New Roman" w:hAnsi="Times New Roman" w:cs="Times New Roman"/>
          <w:kern w:val="0"/>
          <w:sz w:val="32"/>
          <w:szCs w:val="32"/>
          <w:highlight w:val="none"/>
          <w:lang w:val="en-US" w:eastAsia="zh-CN"/>
        </w:rPr>
        <w:t>更大力度支持科技创新</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推动上市公司高质量发展，</w:t>
      </w:r>
      <w:r>
        <w:rPr>
          <w:rFonts w:hint="eastAsia" w:ascii="Times New Roman" w:hAnsi="Times New Roman" w:cs="Times New Roman"/>
          <w:sz w:val="32"/>
          <w:szCs w:val="32"/>
          <w:highlight w:val="none"/>
          <w:lang w:eastAsia="zh"/>
        </w:rPr>
        <w:t>上海证券交易所</w:t>
      </w:r>
      <w:r>
        <w:rPr>
          <w:rFonts w:hint="eastAsia" w:ascii="Times New Roman" w:hAnsi="Times New Roman" w:cs="Times New Roman"/>
          <w:sz w:val="32"/>
          <w:szCs w:val="32"/>
          <w:highlight w:val="none"/>
          <w:lang w:eastAsia="zh-CN"/>
        </w:rPr>
        <w:t>（以下简称</w:t>
      </w:r>
      <w:r>
        <w:rPr>
          <w:rFonts w:hint="eastAsia" w:ascii="Times New Roman" w:hAnsi="Times New Roman" w:cs="Times New Roman"/>
          <w:sz w:val="32"/>
          <w:szCs w:val="32"/>
          <w:highlight w:val="none"/>
          <w:lang w:eastAsia="zh"/>
        </w:rPr>
        <w:t>本所</w:t>
      </w:r>
      <w:r>
        <w:rPr>
          <w:rFonts w:hint="eastAsia" w:ascii="Times New Roman" w:hAnsi="Times New Roman" w:cs="Times New Roman"/>
          <w:sz w:val="32"/>
          <w:szCs w:val="32"/>
          <w:highlight w:val="none"/>
          <w:lang w:eastAsia="zh-CN"/>
        </w:rPr>
        <w:t>）</w:t>
      </w:r>
      <w:r>
        <w:rPr>
          <w:rFonts w:hint="eastAsia" w:ascii="Times New Roman" w:hAnsi="Times New Roman" w:cs="Times New Roman"/>
          <w:kern w:val="0"/>
          <w:sz w:val="32"/>
          <w:szCs w:val="32"/>
          <w:highlight w:val="none"/>
          <w:lang w:eastAsia="zh-CN"/>
        </w:rPr>
        <w:t>修订了</w:t>
      </w:r>
      <w:r>
        <w:rPr>
          <w:rFonts w:hint="default" w:ascii="Times New Roman" w:hAnsi="Times New Roman" w:eastAsia="仿宋_GB2312" w:cs="Times New Roman"/>
          <w:kern w:val="0"/>
          <w:sz w:val="32"/>
          <w:szCs w:val="32"/>
          <w:highlight w:val="none"/>
        </w:rPr>
        <w:t>《上海证券交易所发行上市审核规则适用指引第6号</w:t>
      </w:r>
      <w:r>
        <w:rPr>
          <w:rFonts w:hint="eastAsia" w:ascii="Times New Roman" w:hAnsi="Times New Roman"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轻资产、高研发投入认定标准》（以下简称《</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w:t>
      </w:r>
      <w:r>
        <w:rPr>
          <w:rFonts w:hint="eastAsia" w:ascii="Times New Roman" w:hAnsi="Times New Roman"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现将有关情况说明如下</w:t>
      </w:r>
      <w:r>
        <w:rPr>
          <w:rFonts w:hint="default" w:ascii="Times New Roman" w:hAnsi="Times New Roman" w:eastAsia="仿宋_GB2312" w:cs="Times New Roman"/>
          <w:kern w:val="0"/>
          <w:sz w:val="32"/>
          <w:szCs w:val="32"/>
          <w:highlight w:val="none"/>
          <w:lang w:eastAsia="zh-CN"/>
        </w:rPr>
        <w:t>。</w:t>
      </w:r>
    </w:p>
    <w:p w14:paraId="4EFD83E1">
      <w:pPr>
        <w:snapToGrid w:val="0"/>
        <w:spacing w:beforeLines="0" w:afterLines="0" w:line="560" w:lineRule="exact"/>
        <w:ind w:firstLine="640" w:firstLineChars="200"/>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一、修订背景</w:t>
      </w:r>
    </w:p>
    <w:p w14:paraId="5A071E61">
      <w:pPr>
        <w:overflowPunct w:val="0"/>
        <w:snapToGrid w:val="0"/>
        <w:spacing w:beforeLines="0" w:afterLines="0" w:line="56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2024年10月11日，</w:t>
      </w:r>
      <w:r>
        <w:rPr>
          <w:rFonts w:hint="eastAsia" w:ascii="Times New Roman" w:hAnsi="Times New Roman" w:cs="Times New Roman"/>
          <w:sz w:val="32"/>
          <w:szCs w:val="32"/>
          <w:highlight w:val="none"/>
          <w:lang w:eastAsia="zh"/>
        </w:rPr>
        <w:t>本所</w:t>
      </w:r>
      <w:r>
        <w:rPr>
          <w:rFonts w:hint="default" w:ascii="Times New Roman" w:hAnsi="Times New Roman" w:eastAsia="仿宋_GB2312" w:cs="Times New Roman"/>
          <w:kern w:val="0"/>
          <w:sz w:val="32"/>
          <w:szCs w:val="32"/>
          <w:highlight w:val="none"/>
          <w:lang w:val="en-US" w:eastAsia="zh-CN"/>
        </w:rPr>
        <w:t>发布</w:t>
      </w:r>
      <w:r>
        <w:rPr>
          <w:rFonts w:hint="default" w:ascii="Times New Roman" w:hAnsi="Times New Roman" w:eastAsia="仿宋_GB2312" w:cs="Times New Roman"/>
          <w:kern w:val="0"/>
          <w:sz w:val="32"/>
          <w:szCs w:val="32"/>
          <w:highlight w:val="none"/>
        </w:rPr>
        <w:t>《</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，在科创板建立</w:t>
      </w:r>
      <w:r>
        <w:rPr>
          <w:rFonts w:hint="eastAsia" w:ascii="仿宋_GB2312" w:hAnsi="仿宋_GB2312" w:eastAsia="仿宋_GB2312" w:cs="仿宋_GB2312"/>
          <w:kern w:val="0"/>
          <w:sz w:val="32"/>
          <w:szCs w:val="32"/>
          <w:highlight w:val="none"/>
          <w:lang w:val="en-US" w:eastAsia="zh-CN"/>
        </w:rPr>
        <w:t>“轻资产、高研发投入”</w:t>
      </w:r>
      <w:r>
        <w:rPr>
          <w:rFonts w:hint="default" w:ascii="Times New Roman" w:hAnsi="Times New Roman" w:eastAsia="仿宋_GB2312" w:cs="Times New Roman"/>
          <w:kern w:val="0"/>
          <w:sz w:val="32"/>
          <w:szCs w:val="32"/>
          <w:highlight w:val="none"/>
          <w:lang w:val="en-US" w:eastAsia="zh-CN"/>
        </w:rPr>
        <w:t>认定标准。该指引发布以来，</w:t>
      </w:r>
      <w:r>
        <w:rPr>
          <w:rFonts w:hint="eastAsia" w:ascii="仿宋_GB2312" w:hAnsi="仿宋_GB2312" w:eastAsia="仿宋_GB2312" w:cs="仿宋_GB2312"/>
          <w:kern w:val="0"/>
          <w:sz w:val="32"/>
          <w:szCs w:val="32"/>
          <w:highlight w:val="none"/>
          <w:lang w:val="en-US" w:eastAsia="zh-CN"/>
        </w:rPr>
        <w:t>“轻资产、高研发投入”</w:t>
      </w:r>
      <w:r>
        <w:rPr>
          <w:rFonts w:hint="default" w:ascii="Times New Roman" w:hAnsi="Times New Roman" w:eastAsia="仿宋_GB2312" w:cs="Times New Roman"/>
          <w:kern w:val="0"/>
          <w:sz w:val="32"/>
          <w:szCs w:val="32"/>
          <w:highlight w:val="none"/>
          <w:lang w:val="en-US" w:eastAsia="zh-CN"/>
        </w:rPr>
        <w:t>认定标准已经成为科创板上市公司再融资的重要方式，有力</w:t>
      </w:r>
      <w:r>
        <w:rPr>
          <w:rFonts w:hint="eastAsia" w:ascii="Times New Roman" w:hAnsi="Times New Roman" w:cs="Times New Roman"/>
          <w:kern w:val="0"/>
          <w:sz w:val="32"/>
          <w:szCs w:val="32"/>
          <w:highlight w:val="none"/>
          <w:lang w:val="en-US" w:eastAsia="zh-CN"/>
        </w:rPr>
        <w:t>支持了科技</w:t>
      </w:r>
      <w:r>
        <w:rPr>
          <w:rFonts w:hint="default" w:ascii="Times New Roman" w:hAnsi="Times New Roman" w:eastAsia="仿宋_GB2312" w:cs="Times New Roman"/>
          <w:kern w:val="0"/>
          <w:sz w:val="32"/>
          <w:szCs w:val="32"/>
          <w:highlight w:val="none"/>
          <w:lang w:val="en-US" w:eastAsia="zh-CN"/>
        </w:rPr>
        <w:t>企业加大研发投入</w:t>
      </w:r>
      <w:r>
        <w:rPr>
          <w:rFonts w:hint="eastAsia" w:ascii="Times New Roman" w:hAnsi="Times New Roman" w:cs="Times New Roman"/>
          <w:kern w:val="0"/>
          <w:sz w:val="32"/>
          <w:szCs w:val="32"/>
          <w:highlight w:val="none"/>
          <w:lang w:val="en-US" w:eastAsia="zh-CN"/>
        </w:rPr>
        <w:t>和高质量发展</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为更大力度支持科技创新，提升再融资的灵活性、便利度，在充分借鉴科创板试点经验基础上，拟进一步扩大适用范围，在主板市场建立“轻资产、高研发投入”认定标准。</w:t>
      </w:r>
    </w:p>
    <w:p w14:paraId="047B9884">
      <w:pPr>
        <w:overflowPunct w:val="0"/>
        <w:snapToGrid w:val="0"/>
        <w:spacing w:beforeLines="0" w:afterLines="0" w:line="560" w:lineRule="exact"/>
        <w:ind w:firstLine="640" w:firstLineChars="200"/>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val="en-US" w:eastAsia="zh-CN"/>
        </w:rPr>
        <w:t>主要</w:t>
      </w:r>
      <w:r>
        <w:rPr>
          <w:rFonts w:hint="default" w:ascii="Times New Roman" w:hAnsi="Times New Roman" w:eastAsia="黑体" w:cs="Times New Roman"/>
          <w:sz w:val="32"/>
          <w:szCs w:val="32"/>
          <w:highlight w:val="none"/>
        </w:rPr>
        <w:t>修订内容</w:t>
      </w:r>
    </w:p>
    <w:p w14:paraId="4C008697">
      <w:pPr>
        <w:overflowPunct w:val="0"/>
        <w:snapToGrid w:val="0"/>
        <w:spacing w:beforeLines="0" w:afterLines="0" w:line="56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本次修订后的《</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》共</w:t>
      </w:r>
      <w:r>
        <w:rPr>
          <w:rFonts w:hint="eastAsia" w:ascii="Times New Roman" w:hAnsi="Times New Roman" w:cs="Times New Roman"/>
          <w:kern w:val="0"/>
          <w:sz w:val="32"/>
          <w:szCs w:val="32"/>
          <w:highlight w:val="none"/>
          <w:lang w:val="en-US" w:eastAsia="zh-CN"/>
        </w:rPr>
        <w:t>十二</w:t>
      </w:r>
      <w:r>
        <w:rPr>
          <w:rFonts w:hint="default" w:ascii="Times New Roman" w:hAnsi="Times New Roman" w:eastAsia="仿宋_GB2312" w:cs="Times New Roman"/>
          <w:kern w:val="0"/>
          <w:sz w:val="32"/>
          <w:szCs w:val="32"/>
          <w:highlight w:val="none"/>
        </w:rPr>
        <w:t>条，</w:t>
      </w:r>
      <w:r>
        <w:rPr>
          <w:rFonts w:hint="default" w:ascii="Times New Roman" w:hAnsi="Times New Roman" w:eastAsia="仿宋_GB2312" w:cs="Times New Roman"/>
          <w:sz w:val="32"/>
          <w:szCs w:val="32"/>
          <w:highlight w:val="none"/>
        </w:rPr>
        <w:t>主要</w:t>
      </w:r>
      <w:r>
        <w:rPr>
          <w:rFonts w:hint="eastAsia" w:ascii="Times New Roman" w:hAnsi="Times New Roman" w:cs="Times New Roman"/>
          <w:sz w:val="32"/>
          <w:szCs w:val="32"/>
          <w:highlight w:val="none"/>
          <w:lang w:eastAsia="zh-CN"/>
        </w:rPr>
        <w:t>修订</w:t>
      </w:r>
      <w:r>
        <w:rPr>
          <w:rFonts w:hint="default" w:ascii="Times New Roman" w:hAnsi="Times New Roman" w:eastAsia="仿宋_GB2312" w:cs="Times New Roman"/>
          <w:sz w:val="32"/>
          <w:szCs w:val="32"/>
          <w:highlight w:val="none"/>
        </w:rPr>
        <w:t>内容如下：</w:t>
      </w:r>
    </w:p>
    <w:p w14:paraId="3CAAC62F">
      <w:pPr>
        <w:spacing w:beforeLines="0" w:afterLines="0" w:line="56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一是</w:t>
      </w:r>
      <w:r>
        <w:rPr>
          <w:rFonts w:hint="eastAsia" w:ascii="Times New Roman" w:hAnsi="Times New Roman" w:cs="Times New Roman"/>
          <w:b w:val="0"/>
          <w:bCs/>
          <w:sz w:val="32"/>
          <w:szCs w:val="32"/>
          <w:highlight w:val="none"/>
          <w:lang w:eastAsia="zh-CN"/>
        </w:rPr>
        <w:t>新增主板上市公司“轻资产”和“高研发投入”认定标准。结合科创板试点经验和主板市场实际情况，明确沪市主板上市公司“轻资产”认定标准为实物资产占总资产比重不高于</w:t>
      </w:r>
      <w:r>
        <w:rPr>
          <w:rFonts w:hint="eastAsia" w:ascii="Times New Roman" w:hAnsi="Times New Roman" w:cs="Times New Roman"/>
          <w:b w:val="0"/>
          <w:bCs/>
          <w:sz w:val="32"/>
          <w:szCs w:val="32"/>
          <w:highlight w:val="none"/>
          <w:lang w:val="en-US" w:eastAsia="zh-CN"/>
        </w:rPr>
        <w:t>2</w:t>
      </w:r>
      <w:r>
        <w:rPr>
          <w:rFonts w:hint="eastAsia" w:ascii="Times New Roman" w:hAnsi="Times New Roman" w:cs="Times New Roman"/>
          <w:b w:val="0"/>
          <w:bCs/>
          <w:sz w:val="32"/>
          <w:szCs w:val="32"/>
          <w:highlight w:val="none"/>
          <w:lang w:eastAsia="zh-CN"/>
        </w:rPr>
        <w:t>0%；沪市主板上市公司“高研发投入”认定标准为最近三年平均研发投入占营业收入比例不低于</w:t>
      </w:r>
      <w:r>
        <w:rPr>
          <w:rFonts w:hint="eastAsia" w:ascii="Times New Roman" w:hAnsi="Times New Roman" w:cs="Times New Roman"/>
          <w:b w:val="0"/>
          <w:bCs/>
          <w:sz w:val="32"/>
          <w:szCs w:val="32"/>
          <w:highlight w:val="none"/>
          <w:lang w:val="en-US" w:eastAsia="zh-CN"/>
        </w:rPr>
        <w:t>15%，或者</w:t>
      </w:r>
      <w:r>
        <w:rPr>
          <w:rFonts w:hint="eastAsia" w:ascii="Times New Roman" w:hAnsi="Times New Roman" w:cs="Times New Roman"/>
          <w:b w:val="0"/>
          <w:bCs/>
          <w:sz w:val="32"/>
          <w:szCs w:val="32"/>
          <w:highlight w:val="none"/>
          <w:lang w:eastAsia="zh-CN"/>
        </w:rPr>
        <w:t>最近三年累计研发投入不低于</w:t>
      </w:r>
      <w:r>
        <w:rPr>
          <w:rFonts w:hint="eastAsia" w:ascii="Times New Roman" w:hAnsi="Times New Roman" w:cs="Times New Roman"/>
          <w:b w:val="0"/>
          <w:bCs/>
          <w:sz w:val="32"/>
          <w:szCs w:val="32"/>
          <w:highlight w:val="none"/>
          <w:lang w:val="en-US" w:eastAsia="zh-CN"/>
        </w:rPr>
        <w:t>3亿元且最近三年平均研发投入占营业收入比例不低于5%。</w:t>
      </w:r>
    </w:p>
    <w:p w14:paraId="754D8ED9">
      <w:pPr>
        <w:spacing w:beforeLines="0" w:afterLines="0" w:line="56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二是</w:t>
      </w:r>
      <w:r>
        <w:rPr>
          <w:rFonts w:hint="eastAsia" w:ascii="Times New Roman" w:hAnsi="Times New Roman" w:cs="Times New Roman"/>
          <w:b w:val="0"/>
          <w:bCs/>
          <w:sz w:val="32"/>
          <w:szCs w:val="32"/>
          <w:highlight w:val="none"/>
          <w:lang w:val="en-US" w:eastAsia="zh-CN"/>
        </w:rPr>
        <w:t>设置负面情形</w:t>
      </w:r>
      <w:r>
        <w:rPr>
          <w:rFonts w:hint="eastAsia" w:ascii="Times New Roman" w:hAnsi="Times New Roman" w:eastAsia="仿宋_GB2312" w:cs="Times New Roman"/>
          <w:b w:val="0"/>
          <w:bCs/>
          <w:sz w:val="32"/>
          <w:szCs w:val="32"/>
          <w:highlight w:val="none"/>
          <w:lang w:val="en-US" w:eastAsia="zh-CN"/>
        </w:rPr>
        <w:t>。</w:t>
      </w:r>
      <w:r>
        <w:rPr>
          <w:rFonts w:hint="eastAsia" w:ascii="Times New Roman" w:hAnsi="Times New Roman" w:cs="Times New Roman"/>
          <w:b w:val="0"/>
          <w:bCs/>
          <w:sz w:val="32"/>
          <w:szCs w:val="32"/>
          <w:highlight w:val="none"/>
          <w:lang w:val="en-US" w:eastAsia="zh-CN"/>
        </w:rPr>
        <w:t>明确上市公司股票被实施退市风险警示或者其他风险警示的，再融资募集资金用于补充流动资金和偿还债务的比例不得超过募集资金总额的30%</w:t>
      </w:r>
      <w:r>
        <w:rPr>
          <w:rFonts w:hint="default" w:ascii="Times New Roman" w:hAnsi="Times New Roman" w:eastAsia="仿宋_GB2312" w:cs="Times New Roman"/>
          <w:b w:val="0"/>
          <w:bCs/>
          <w:sz w:val="32"/>
          <w:szCs w:val="32"/>
          <w:highlight w:val="none"/>
          <w:lang w:val="en-US" w:eastAsia="zh-CN"/>
        </w:rPr>
        <w:t>。</w:t>
      </w:r>
    </w:p>
    <w:p w14:paraId="0EBB6D78">
      <w:pPr>
        <w:spacing w:beforeLines="0" w:afterLines="0" w:line="560" w:lineRule="exact"/>
        <w:ind w:firstLine="640" w:firstLineChars="200"/>
        <w:rPr>
          <w:rFonts w:hint="eastAsia" w:ascii="Times New Roman" w:hAnsi="Times New Roman"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三</w:t>
      </w:r>
      <w:r>
        <w:rPr>
          <w:rFonts w:hint="default" w:ascii="Times New Roman" w:hAnsi="Times New Roman" w:eastAsia="黑体" w:cs="Times New Roman"/>
          <w:b w:val="0"/>
          <w:bCs/>
          <w:sz w:val="32"/>
          <w:szCs w:val="32"/>
          <w:highlight w:val="none"/>
          <w:lang w:eastAsia="zh-CN"/>
        </w:rPr>
        <w:t>是</w:t>
      </w:r>
      <w:r>
        <w:rPr>
          <w:rFonts w:hint="eastAsia" w:ascii="Times New Roman" w:hAnsi="Times New Roman" w:cs="Times New Roman"/>
          <w:b w:val="0"/>
          <w:bCs/>
          <w:sz w:val="32"/>
          <w:szCs w:val="32"/>
          <w:highlight w:val="none"/>
          <w:lang w:eastAsia="zh-CN"/>
        </w:rPr>
        <w:t>其他内容</w:t>
      </w:r>
      <w:r>
        <w:rPr>
          <w:rFonts w:hint="eastAsia" w:ascii="Times New Roman" w:hAnsi="Times New Roman" w:eastAsia="仿宋_GB2312" w:cs="Times New Roman"/>
          <w:b w:val="0"/>
          <w:bCs/>
          <w:sz w:val="32"/>
          <w:szCs w:val="32"/>
          <w:highlight w:val="none"/>
          <w:lang w:eastAsia="zh-CN"/>
        </w:rPr>
        <w:t>。</w:t>
      </w:r>
      <w:r>
        <w:rPr>
          <w:rFonts w:hint="eastAsia" w:ascii="Times New Roman" w:hAnsi="Times New Roman" w:cs="Times New Roman"/>
          <w:b w:val="0"/>
          <w:bCs/>
          <w:sz w:val="32"/>
          <w:szCs w:val="32"/>
          <w:highlight w:val="none"/>
          <w:lang w:eastAsia="zh-CN"/>
        </w:rPr>
        <w:t>原《</w:t>
      </w:r>
      <w:r>
        <w:rPr>
          <w:rFonts w:hint="eastAsia" w:ascii="Times New Roman" w:hAnsi="Times New Roman" w:cs="Times New Roman"/>
          <w:b w:val="0"/>
          <w:bCs/>
          <w:sz w:val="32"/>
          <w:szCs w:val="32"/>
          <w:highlight w:val="none"/>
          <w:lang w:val="en-US" w:eastAsia="zh-CN"/>
        </w:rPr>
        <w:t>6号指引</w:t>
      </w:r>
      <w:r>
        <w:rPr>
          <w:rFonts w:hint="eastAsia" w:ascii="Times New Roman" w:hAnsi="Times New Roman" w:cs="Times New Roman"/>
          <w:b w:val="0"/>
          <w:bCs/>
          <w:sz w:val="32"/>
          <w:szCs w:val="32"/>
          <w:highlight w:val="none"/>
          <w:lang w:eastAsia="zh-CN"/>
        </w:rPr>
        <w:t>》第十一条规定</w:t>
      </w:r>
      <w:r>
        <w:rPr>
          <w:rFonts w:hint="eastAsia" w:ascii="Times New Roman" w:hAnsi="Times New Roman" w:cs="Times New Roman"/>
          <w:b w:val="0"/>
          <w:bCs/>
          <w:sz w:val="32"/>
          <w:szCs w:val="32"/>
          <w:highlight w:val="none"/>
          <w:lang w:val="en-US" w:eastAsia="zh-CN"/>
        </w:rPr>
        <w:t>募集资金变更后的用途</w:t>
      </w:r>
      <w:r>
        <w:rPr>
          <w:rFonts w:hint="eastAsia" w:ascii="Times New Roman" w:hAnsi="Times New Roman" w:cs="Times New Roman"/>
          <w:b w:val="0"/>
          <w:bCs/>
          <w:sz w:val="32"/>
          <w:szCs w:val="32"/>
          <w:highlight w:val="none"/>
          <w:lang w:eastAsia="zh-CN"/>
        </w:rPr>
        <w:t>不符合监管要求的，应当在本次再融资时调减募集资金。</w:t>
      </w:r>
      <w:r>
        <w:rPr>
          <w:rFonts w:hint="eastAsia" w:ascii="Times New Roman" w:hAnsi="Times New Roman" w:cs="Times New Roman"/>
          <w:b w:val="0"/>
          <w:bCs/>
          <w:sz w:val="32"/>
          <w:szCs w:val="32"/>
          <w:highlight w:val="none"/>
          <w:lang w:val="en-US" w:eastAsia="zh-CN"/>
        </w:rPr>
        <w:t>考虑到扣减事项应当由上位规则统一规范，本次修订删除该条规定，相关事项适用上位规则相关规定。</w:t>
      </w:r>
    </w:p>
    <w:p w14:paraId="606B18FF">
      <w:pPr>
        <w:spacing w:beforeLines="0" w:afterLines="0" w:line="560" w:lineRule="exact"/>
        <w:ind w:firstLine="640" w:firstLineChars="200"/>
        <w:rPr>
          <w:rFonts w:hint="default" w:ascii="Times New Roman" w:hAnsi="Times New Roman" w:cs="Times New Roman"/>
          <w:b w:val="0"/>
          <w:bCs/>
          <w:sz w:val="32"/>
          <w:szCs w:val="32"/>
          <w:highlight w:val="none"/>
          <w:lang w:val="en-US" w:eastAsia="zh-CN"/>
        </w:rPr>
      </w:pPr>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41A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02D4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9002D4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9DE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BC34"/>
    <w:rsid w:val="0D0D2660"/>
    <w:rsid w:val="1BBD5089"/>
    <w:rsid w:val="27DD04FF"/>
    <w:rsid w:val="2ABB8459"/>
    <w:rsid w:val="2AEF7893"/>
    <w:rsid w:val="2F3716C4"/>
    <w:rsid w:val="2F5FECA2"/>
    <w:rsid w:val="2F6770CC"/>
    <w:rsid w:val="324F6CA1"/>
    <w:rsid w:val="37FFFB48"/>
    <w:rsid w:val="3DFB7DE9"/>
    <w:rsid w:val="3E3DABD6"/>
    <w:rsid w:val="3E744A4E"/>
    <w:rsid w:val="3EBF31B9"/>
    <w:rsid w:val="3F6E693C"/>
    <w:rsid w:val="3F91513A"/>
    <w:rsid w:val="3FBD18D3"/>
    <w:rsid w:val="426C593D"/>
    <w:rsid w:val="4CBF2E9C"/>
    <w:rsid w:val="53FE2B82"/>
    <w:rsid w:val="558D5F0B"/>
    <w:rsid w:val="57236C2F"/>
    <w:rsid w:val="576D1831"/>
    <w:rsid w:val="57CE5736"/>
    <w:rsid w:val="5A6D6530"/>
    <w:rsid w:val="5BF9A6DF"/>
    <w:rsid w:val="5DBD1D3E"/>
    <w:rsid w:val="5DFD91C8"/>
    <w:rsid w:val="5E6D9BBC"/>
    <w:rsid w:val="5EF5B78F"/>
    <w:rsid w:val="65F7C57F"/>
    <w:rsid w:val="65FE5A78"/>
    <w:rsid w:val="67D91E9E"/>
    <w:rsid w:val="67F7A8E4"/>
    <w:rsid w:val="67FBB927"/>
    <w:rsid w:val="6BEA3FE9"/>
    <w:rsid w:val="6C230F2B"/>
    <w:rsid w:val="6E5F762A"/>
    <w:rsid w:val="6FB10628"/>
    <w:rsid w:val="6FB9DA00"/>
    <w:rsid w:val="6FFF5225"/>
    <w:rsid w:val="75372864"/>
    <w:rsid w:val="76CF1D39"/>
    <w:rsid w:val="77968E37"/>
    <w:rsid w:val="77ABE9C8"/>
    <w:rsid w:val="78CFE1F8"/>
    <w:rsid w:val="7B3FCDF7"/>
    <w:rsid w:val="7D2D6E64"/>
    <w:rsid w:val="7D7FA959"/>
    <w:rsid w:val="7DEAB245"/>
    <w:rsid w:val="7DFCF41F"/>
    <w:rsid w:val="7F4FCB4C"/>
    <w:rsid w:val="7F7F8C3D"/>
    <w:rsid w:val="7FA7287F"/>
    <w:rsid w:val="7FAD0AEF"/>
    <w:rsid w:val="7FE93355"/>
    <w:rsid w:val="7FFDD342"/>
    <w:rsid w:val="91F2A17D"/>
    <w:rsid w:val="A3F5C681"/>
    <w:rsid w:val="A3FFADF5"/>
    <w:rsid w:val="A52D615F"/>
    <w:rsid w:val="ACE74A7D"/>
    <w:rsid w:val="AF1F26E8"/>
    <w:rsid w:val="B2B68D13"/>
    <w:rsid w:val="B4BF6F6F"/>
    <w:rsid w:val="B7FF8E62"/>
    <w:rsid w:val="BB254043"/>
    <w:rsid w:val="BDF3D930"/>
    <w:rsid w:val="BE73E0D0"/>
    <w:rsid w:val="BEFD8054"/>
    <w:rsid w:val="CCBFFB6A"/>
    <w:rsid w:val="CD964385"/>
    <w:rsid w:val="CECFB043"/>
    <w:rsid w:val="CF9FDC1E"/>
    <w:rsid w:val="D6FE09C6"/>
    <w:rsid w:val="D6FF0526"/>
    <w:rsid w:val="D7894C6B"/>
    <w:rsid w:val="DDFD0978"/>
    <w:rsid w:val="DEAF7A77"/>
    <w:rsid w:val="DEEF5AFF"/>
    <w:rsid w:val="DF5F7737"/>
    <w:rsid w:val="DFD5A28B"/>
    <w:rsid w:val="DFFF200A"/>
    <w:rsid w:val="E3E98542"/>
    <w:rsid w:val="E3ED48DE"/>
    <w:rsid w:val="EB574660"/>
    <w:rsid w:val="EBB6E29D"/>
    <w:rsid w:val="EDFF6EE3"/>
    <w:rsid w:val="EFF9F5DA"/>
    <w:rsid w:val="EFFEB6C0"/>
    <w:rsid w:val="EFFF5115"/>
    <w:rsid w:val="F2D57FAD"/>
    <w:rsid w:val="F6EF655A"/>
    <w:rsid w:val="F76873D0"/>
    <w:rsid w:val="F7F536A3"/>
    <w:rsid w:val="F9EA6814"/>
    <w:rsid w:val="FAE57601"/>
    <w:rsid w:val="FE73C477"/>
    <w:rsid w:val="FE850F5C"/>
    <w:rsid w:val="FEFF0086"/>
    <w:rsid w:val="FF7F414F"/>
    <w:rsid w:val="FFBF4225"/>
    <w:rsid w:val="FFCF2A49"/>
    <w:rsid w:val="FFEEC377"/>
    <w:rsid w:val="FFFABC34"/>
    <w:rsid w:val="FFFC722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hAnsi="Calibri" w:eastAsia="仿宋_GB2312" w:cs="Times New Roman"/>
      <w:kern w:val="2"/>
      <w:sz w:val="32"/>
      <w:szCs w:val="30"/>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715</Words>
  <Characters>730</Characters>
  <Lines>0</Lines>
  <Paragraphs>0</Paragraphs>
  <TotalTime>12</TotalTime>
  <ScaleCrop>false</ScaleCrop>
  <LinksUpToDate>false</LinksUpToDate>
  <CharactersWithSpaces>730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2024-11-06T20:16:00Z</dcterms:created>
  <dc:creator>sse</dc:creator>
  <cp:lastModifiedBy>whxu</cp:lastModifiedBy>
  <cp:lastPrinted>2026-02-28T19:07:00Z</cp:lastPrinted>
  <dcterms:modified xsi:type="dcterms:W3CDTF">2026-03-27T17:11:31Z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C9611F7996D1F106F9E2C4697712BF63_43</vt:lpwstr>
  </property>
</Properties>
</file>