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jc w:val="both"/>
        <w:rPr>
          <w:rFonts w:ascii="Times New Roman" w:hAnsi="Times New Roman" w:eastAsia="方正小标宋简体"/>
          <w:sz w:val="40"/>
          <w:szCs w:val="40"/>
        </w:rPr>
      </w:pPr>
      <w:bookmarkStart w:id="49" w:name="_GoBack"/>
      <w:bookmarkEnd w:id="49"/>
      <w:r>
        <w:rPr>
          <w:rFonts w:hint="eastAsia" w:ascii="黑体" w:hAnsi="黑体" w:eastAsia="黑体"/>
          <w:sz w:val="32"/>
          <w:szCs w:val="32"/>
        </w:rPr>
        <w:t>附件</w:t>
      </w:r>
    </w:p>
    <w:p>
      <w:pPr>
        <w:snapToGrid w:val="0"/>
        <w:spacing w:line="560" w:lineRule="exact"/>
        <w:ind w:firstLine="0" w:firstLineChars="0"/>
        <w:jc w:val="both"/>
        <w:rPr>
          <w:rFonts w:ascii="方正小标宋简体" w:hAnsi="Times New Roman" w:eastAsia="方正小标宋简体"/>
          <w:sz w:val="40"/>
          <w:szCs w:val="40"/>
        </w:rPr>
      </w:pPr>
    </w:p>
    <w:p>
      <w:pPr>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深圳证券交易所债券交易业务指南第7号</w:t>
      </w:r>
    </w:p>
    <w:p>
      <w:pPr>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——债券做市（202</w:t>
      </w:r>
      <w:r>
        <w:rPr>
          <w:rFonts w:hint="eastAsia" w:ascii="方正小标宋简体" w:hAnsi="Times New Roman" w:eastAsia="方正小标宋简体"/>
          <w:sz w:val="44"/>
          <w:szCs w:val="44"/>
          <w:lang w:val="en-US" w:eastAsia="zh-CN"/>
        </w:rPr>
        <w:t>6</w:t>
      </w:r>
      <w:r>
        <w:rPr>
          <w:rFonts w:hint="eastAsia" w:ascii="方正小标宋简体" w:hAnsi="Times New Roman" w:eastAsia="方正小标宋简体"/>
          <w:sz w:val="44"/>
          <w:szCs w:val="44"/>
        </w:rPr>
        <w:t>年</w:t>
      </w:r>
      <w:r>
        <w:rPr>
          <w:rFonts w:hint="eastAsia" w:ascii="方正小标宋简体" w:hAnsi="Times New Roman" w:eastAsia="方正小标宋简体"/>
          <w:sz w:val="44"/>
          <w:szCs w:val="44"/>
          <w:lang w:val="en-US" w:eastAsia="zh-CN"/>
        </w:rPr>
        <w:t>5</w:t>
      </w:r>
      <w:r>
        <w:rPr>
          <w:rFonts w:hint="eastAsia" w:ascii="方正小标宋简体" w:hAnsi="Times New Roman" w:eastAsia="方正小标宋简体"/>
          <w:sz w:val="44"/>
          <w:szCs w:val="44"/>
        </w:rPr>
        <w:t>月修订）</w:t>
      </w:r>
    </w:p>
    <w:p>
      <w:pPr>
        <w:snapToGrid w:val="0"/>
        <w:ind w:firstLine="800"/>
        <w:jc w:val="center"/>
        <w:rPr>
          <w:rFonts w:ascii="Times New Roman" w:hAnsi="Times New Roman" w:eastAsia="方正小标宋简体"/>
          <w:sz w:val="40"/>
          <w:szCs w:val="40"/>
        </w:rPr>
      </w:pPr>
    </w:p>
    <w:p>
      <w:pPr>
        <w:snapToGrid w:val="0"/>
        <w:ind w:firstLine="800"/>
        <w:jc w:val="center"/>
        <w:rPr>
          <w:rFonts w:ascii="Times New Roman" w:hAnsi="Times New Roman" w:eastAsia="方正小标宋简体"/>
          <w:sz w:val="40"/>
          <w:szCs w:val="40"/>
        </w:rPr>
      </w:pPr>
    </w:p>
    <w:p>
      <w:pPr>
        <w:snapToGrid w:val="0"/>
        <w:ind w:firstLine="800"/>
        <w:jc w:val="center"/>
        <w:rPr>
          <w:rFonts w:ascii="Times New Roman" w:hAnsi="Times New Roman" w:eastAsia="方正小标宋简体"/>
          <w:sz w:val="40"/>
          <w:szCs w:val="40"/>
        </w:rPr>
      </w:pPr>
    </w:p>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版本及修订说明</w:t>
      </w:r>
    </w:p>
    <w:tbl>
      <w:tblPr>
        <w:tblStyle w:val="30"/>
        <w:tblW w:w="7459" w:type="dxa"/>
        <w:tblInd w:w="8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904"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修改日期</w:t>
            </w:r>
          </w:p>
        </w:tc>
        <w:tc>
          <w:tcPr>
            <w:tcW w:w="5555"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版本及主要修订内容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04" w:type="dxa"/>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2022/9/20</w:t>
            </w:r>
          </w:p>
        </w:tc>
        <w:tc>
          <w:tcPr>
            <w:tcW w:w="5555" w:type="dxa"/>
          </w:tcPr>
          <w:p>
            <w:pPr>
              <w:snapToGrid w:val="0"/>
              <w:ind w:firstLine="0" w:firstLineChars="0"/>
              <w:rPr>
                <w:rFonts w:hint="eastAsia" w:ascii="仿宋" w:hAnsi="仿宋" w:eastAsia="仿宋" w:cs="仿宋"/>
                <w:bCs/>
                <w:sz w:val="32"/>
                <w:szCs w:val="32"/>
              </w:rPr>
            </w:pPr>
            <w:r>
              <w:rPr>
                <w:rFonts w:hint="eastAsia" w:ascii="仿宋" w:hAnsi="仿宋" w:eastAsia="仿宋" w:cs="仿宋"/>
                <w:bCs/>
                <w:sz w:val="32"/>
                <w:szCs w:val="32"/>
              </w:rPr>
              <w:t>首次发布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904" w:type="dxa"/>
            <w:vAlign w:val="center"/>
          </w:tcPr>
          <w:p>
            <w:pPr>
              <w:snapToGrid w:val="0"/>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2023/1/6</w:t>
            </w:r>
          </w:p>
        </w:tc>
        <w:tc>
          <w:tcPr>
            <w:tcW w:w="5555" w:type="dxa"/>
            <w:vAlign w:val="center"/>
          </w:tcPr>
          <w:p>
            <w:pPr>
              <w:snapToGrid w:val="0"/>
              <w:ind w:firstLine="0" w:firstLineChars="0"/>
              <w:rPr>
                <w:rFonts w:hint="eastAsia" w:ascii="仿宋" w:hAnsi="仿宋" w:eastAsia="仿宋" w:cs="仿宋"/>
                <w:bCs/>
                <w:sz w:val="32"/>
                <w:szCs w:val="32"/>
              </w:rPr>
            </w:pPr>
            <w:r>
              <w:rPr>
                <w:rFonts w:hint="eastAsia" w:ascii="仿宋" w:hAnsi="仿宋" w:eastAsia="仿宋" w:cs="仿宋"/>
                <w:bCs/>
                <w:sz w:val="32"/>
                <w:szCs w:val="32"/>
              </w:rPr>
              <w:t>新增固定收益业务品种专区债券做市功能上线后的业务操作流程及合并申报等内容。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04" w:type="dxa"/>
            <w:vAlign w:val="center"/>
          </w:tcPr>
          <w:p>
            <w:pPr>
              <w:snapToGrid w:val="0"/>
              <w:ind w:firstLine="0" w:firstLineChars="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2024/9/20</w:t>
            </w:r>
          </w:p>
        </w:tc>
        <w:tc>
          <w:tcPr>
            <w:tcW w:w="5555" w:type="dxa"/>
            <w:vAlign w:val="center"/>
          </w:tcPr>
          <w:p>
            <w:pPr>
              <w:snapToGrid w:val="0"/>
              <w:ind w:firstLine="0" w:firstLineChars="0"/>
              <w:rPr>
                <w:rFonts w:hint="eastAsia" w:ascii="仿宋" w:hAnsi="仿宋" w:eastAsia="仿宋" w:cs="仿宋"/>
                <w:bCs/>
                <w:sz w:val="32"/>
                <w:szCs w:val="32"/>
                <w:lang w:eastAsia="zh-CN"/>
              </w:rPr>
            </w:pPr>
            <w:r>
              <w:rPr>
                <w:rFonts w:hint="eastAsia" w:ascii="仿宋" w:hAnsi="仿宋" w:eastAsia="仿宋" w:cs="仿宋"/>
                <w:bCs/>
                <w:sz w:val="32"/>
                <w:szCs w:val="32"/>
                <w:lang w:eastAsia="zh-CN"/>
              </w:rPr>
              <w:t>调整做市品种管理规定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904" w:type="dxa"/>
            <w:vAlign w:val="center"/>
          </w:tcPr>
          <w:p>
            <w:pPr>
              <w:snapToGrid w:val="0"/>
              <w:ind w:firstLine="0" w:firstLineChars="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2024/12/25</w:t>
            </w:r>
          </w:p>
        </w:tc>
        <w:tc>
          <w:tcPr>
            <w:tcW w:w="5555" w:type="dxa"/>
            <w:vAlign w:val="center"/>
          </w:tcPr>
          <w:p>
            <w:pPr>
              <w:snapToGrid w:val="0"/>
              <w:ind w:firstLine="0" w:firstLineChars="0"/>
              <w:rPr>
                <w:rFonts w:hint="eastAsia" w:ascii="仿宋" w:hAnsi="仿宋" w:eastAsia="仿宋" w:cs="仿宋"/>
                <w:bCs/>
                <w:sz w:val="32"/>
                <w:szCs w:val="32"/>
                <w:lang w:eastAsia="zh-CN"/>
              </w:rPr>
            </w:pPr>
            <w:r>
              <w:rPr>
                <w:rFonts w:hint="eastAsia" w:ascii="仿宋" w:hAnsi="仿宋" w:eastAsia="仿宋" w:cs="仿宋"/>
                <w:bCs/>
                <w:sz w:val="32"/>
                <w:szCs w:val="32"/>
                <w:lang w:eastAsia="zh-CN"/>
              </w:rPr>
              <w:t>调整基准做市信用债管理规定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904" w:type="dxa"/>
            <w:vAlign w:val="center"/>
          </w:tcPr>
          <w:p>
            <w:pPr>
              <w:snapToGrid w:val="0"/>
              <w:ind w:firstLine="0" w:firstLineChars="0"/>
              <w:jc w:val="center"/>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2026/5/22</w:t>
            </w:r>
          </w:p>
        </w:tc>
        <w:tc>
          <w:tcPr>
            <w:tcW w:w="5555" w:type="dxa"/>
            <w:vAlign w:val="center"/>
          </w:tcPr>
          <w:p>
            <w:pPr>
              <w:snapToGrid w:val="0"/>
              <w:ind w:firstLine="0" w:firstLineChars="0"/>
              <w:rPr>
                <w:rFonts w:hint="eastAsia" w:ascii="仿宋" w:hAnsi="仿宋" w:eastAsia="仿宋" w:cs="仿宋"/>
                <w:bCs/>
                <w:sz w:val="32"/>
                <w:szCs w:val="32"/>
                <w:lang w:eastAsia="zh-CN"/>
              </w:rPr>
            </w:pPr>
            <w:r>
              <w:rPr>
                <w:rFonts w:hint="eastAsia" w:ascii="仿宋" w:hAnsi="仿宋" w:eastAsia="仿宋" w:cs="仿宋"/>
                <w:bCs/>
                <w:sz w:val="32"/>
                <w:szCs w:val="32"/>
                <w:lang w:eastAsia="zh-CN"/>
              </w:rPr>
              <w:t>调整基准做市品种管理规定及债券做市业务评价安排</w:t>
            </w:r>
          </w:p>
        </w:tc>
      </w:tr>
    </w:tbl>
    <w:p>
      <w:pPr>
        <w:ind w:firstLine="0" w:firstLineChars="0"/>
        <w:jc w:val="center"/>
        <w:rPr>
          <w:rFonts w:ascii="仿宋" w:hAnsi="仿宋" w:eastAsia="仿宋"/>
          <w:sz w:val="32"/>
          <w:szCs w:val="32"/>
        </w:rPr>
      </w:pPr>
    </w:p>
    <w:p>
      <w:pPr>
        <w:ind w:firstLine="0" w:firstLineChars="0"/>
        <w:jc w:val="center"/>
        <w:rPr>
          <w:rFonts w:ascii="仿宋" w:hAnsi="仿宋" w:eastAsia="仿宋"/>
          <w:sz w:val="32"/>
          <w:szCs w:val="32"/>
        </w:rPr>
      </w:pPr>
    </w:p>
    <w:p>
      <w:pPr>
        <w:ind w:firstLine="0" w:firstLineChars="0"/>
        <w:jc w:val="center"/>
        <w:rPr>
          <w:rFonts w:ascii="Times New Roman" w:hAnsi="Times New Roman" w:eastAsia="仿宋"/>
          <w:b/>
          <w:sz w:val="44"/>
          <w:szCs w:val="44"/>
        </w:rPr>
      </w:pPr>
      <w:r>
        <w:rPr>
          <w:rFonts w:hint="eastAsia" w:ascii="仿宋" w:hAnsi="仿宋" w:eastAsia="仿宋"/>
          <w:sz w:val="32"/>
          <w:szCs w:val="32"/>
        </w:rPr>
        <w:t>二○</w:t>
      </w:r>
      <w:bookmarkStart w:id="0" w:name="_Toc26521"/>
      <w:r>
        <w:rPr>
          <w:rFonts w:hint="eastAsia" w:ascii="仿宋" w:hAnsi="仿宋" w:eastAsia="仿宋"/>
          <w:sz w:val="32"/>
          <w:szCs w:val="32"/>
        </w:rPr>
        <w:t>二</w:t>
      </w:r>
      <w:r>
        <w:rPr>
          <w:rFonts w:hint="eastAsia" w:ascii="仿宋" w:hAnsi="仿宋" w:eastAsia="仿宋"/>
          <w:sz w:val="32"/>
          <w:szCs w:val="32"/>
          <w:lang w:eastAsia="zh-CN"/>
        </w:rPr>
        <w:t>六</w:t>
      </w:r>
      <w:r>
        <w:rPr>
          <w:rFonts w:ascii="仿宋" w:hAnsi="仿宋" w:eastAsia="仿宋"/>
          <w:sz w:val="32"/>
          <w:szCs w:val="32"/>
        </w:rPr>
        <w:t>年</w:t>
      </w:r>
      <w:r>
        <w:rPr>
          <w:rFonts w:hint="eastAsia" w:ascii="仿宋" w:hAnsi="仿宋" w:eastAsia="仿宋"/>
          <w:sz w:val="32"/>
          <w:szCs w:val="32"/>
          <w:lang w:val="en-US" w:eastAsia="zh-CN"/>
        </w:rPr>
        <w:t>五</w:t>
      </w:r>
      <w:r>
        <w:rPr>
          <w:rFonts w:hint="eastAsia" w:ascii="仿宋" w:hAnsi="仿宋" w:eastAsia="仿宋"/>
          <w:sz w:val="32"/>
          <w:szCs w:val="32"/>
        </w:rPr>
        <w:t>月</w:t>
      </w:r>
    </w:p>
    <w:p>
      <w:pPr>
        <w:ind w:firstLine="0" w:firstLineChars="0"/>
        <w:jc w:val="center"/>
        <w:rPr>
          <w:rFonts w:hint="eastAsia" w:ascii="黑体" w:hAnsi="黑体" w:eastAsia="黑体" w:cs="黑体"/>
          <w:b w:val="0"/>
          <w:bCs/>
          <w:sz w:val="32"/>
          <w:szCs w:val="32"/>
        </w:rPr>
      </w:pPr>
      <w:r>
        <w:rPr>
          <w:rFonts w:ascii="Times New Roman" w:hAnsi="Times New Roman" w:eastAsia="仿宋"/>
          <w:b/>
          <w:sz w:val="44"/>
          <w:szCs w:val="44"/>
        </w:rPr>
        <w:br w:type="page"/>
      </w:r>
      <w:bookmarkEnd w:id="0"/>
      <w:r>
        <w:rPr>
          <w:rFonts w:hint="eastAsia" w:ascii="黑体" w:hAnsi="黑体" w:eastAsia="黑体" w:cs="黑体"/>
          <w:b w:val="0"/>
          <w:bCs/>
          <w:sz w:val="32"/>
          <w:szCs w:val="32"/>
        </w:rPr>
        <w:t>目 录</w:t>
      </w:r>
    </w:p>
    <w:p>
      <w:pPr>
        <w:pStyle w:val="21"/>
        <w:spacing w:after="0" w:line="560" w:lineRule="exact"/>
        <w:rPr>
          <w:rFonts w:ascii="仿宋" w:hAnsi="仿宋" w:eastAsia="仿宋" w:cstheme="minorBidi"/>
          <w:b w:val="0"/>
          <w:kern w:val="2"/>
          <w:sz w:val="32"/>
          <w:szCs w:val="32"/>
        </w:rPr>
      </w:pPr>
      <w:r>
        <w:rPr>
          <w:rFonts w:ascii="仿宋" w:hAnsi="仿宋" w:eastAsia="仿宋" w:cstheme="minorBidi"/>
          <w:b w:val="0"/>
          <w:kern w:val="2"/>
          <w:sz w:val="32"/>
          <w:szCs w:val="32"/>
        </w:rPr>
        <w:fldChar w:fldCharType="begin"/>
      </w:r>
      <w:r>
        <w:rPr>
          <w:rFonts w:ascii="仿宋" w:hAnsi="仿宋" w:eastAsia="仿宋" w:cstheme="minorBidi"/>
          <w:b w:val="0"/>
          <w:kern w:val="2"/>
          <w:sz w:val="32"/>
          <w:szCs w:val="32"/>
        </w:rPr>
        <w:instrText xml:space="preserve"> TOC \o "1-2" \h \z \u </w:instrText>
      </w:r>
      <w:r>
        <w:rPr>
          <w:rFonts w:ascii="仿宋" w:hAnsi="仿宋" w:eastAsia="仿宋" w:cstheme="minorBidi"/>
          <w:b w:val="0"/>
          <w:kern w:val="2"/>
          <w:sz w:val="32"/>
          <w:szCs w:val="32"/>
        </w:rPr>
        <w:fldChar w:fldCharType="separate"/>
      </w:r>
      <w:r>
        <w:rPr>
          <w:sz w:val="32"/>
          <w:szCs w:val="32"/>
        </w:rPr>
        <w:fldChar w:fldCharType="begin"/>
      </w:r>
      <w:r>
        <w:rPr>
          <w:sz w:val="32"/>
          <w:szCs w:val="32"/>
        </w:rPr>
        <w:instrText xml:space="preserve"> HYPERLINK \l "_Toc123811066" </w:instrText>
      </w:r>
      <w:r>
        <w:rPr>
          <w:sz w:val="32"/>
          <w:szCs w:val="32"/>
        </w:rPr>
        <w:fldChar w:fldCharType="separate"/>
      </w:r>
      <w:r>
        <w:rPr>
          <w:rStyle w:val="35"/>
          <w:rFonts w:hint="eastAsia" w:ascii="仿宋" w:hAnsi="仿宋" w:eastAsia="仿宋"/>
          <w:bCs/>
          <w:kern w:val="44"/>
          <w:sz w:val="32"/>
          <w:szCs w:val="32"/>
        </w:rPr>
        <w:t>第一章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总体要求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_Toc123811066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"_Toc123811067" </w:instrText>
      </w:r>
      <w:r>
        <w:rPr>
          <w:sz w:val="32"/>
          <w:szCs w:val="32"/>
        </w:rPr>
        <w:fldChar w:fldCharType="separate"/>
      </w:r>
      <w:r>
        <w:rPr>
          <w:rStyle w:val="35"/>
          <w:rFonts w:hint="eastAsia" w:ascii="仿宋" w:hAnsi="仿宋" w:eastAsia="仿宋"/>
          <w:sz w:val="32"/>
          <w:szCs w:val="32"/>
        </w:rPr>
        <w:t>一、概览</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_Toc123811067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"_Toc123811068" </w:instrText>
      </w:r>
      <w:r>
        <w:rPr>
          <w:sz w:val="32"/>
          <w:szCs w:val="32"/>
        </w:rPr>
        <w:fldChar w:fldCharType="separate"/>
      </w:r>
      <w:r>
        <w:rPr>
          <w:rStyle w:val="35"/>
          <w:rFonts w:hint="eastAsia" w:ascii="仿宋" w:hAnsi="仿宋" w:eastAsia="仿宋"/>
          <w:sz w:val="32"/>
          <w:szCs w:val="32"/>
        </w:rPr>
        <w:t>二、做市商岗位设置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_Toc123811068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"_Toc123811069" </w:instrText>
      </w:r>
      <w:r>
        <w:rPr>
          <w:sz w:val="32"/>
          <w:szCs w:val="32"/>
        </w:rPr>
        <w:fldChar w:fldCharType="separate"/>
      </w:r>
      <w:r>
        <w:rPr>
          <w:rStyle w:val="35"/>
          <w:rFonts w:hint="eastAsia" w:ascii="仿宋" w:hAnsi="仿宋" w:eastAsia="仿宋"/>
          <w:sz w:val="32"/>
          <w:szCs w:val="32"/>
        </w:rPr>
        <w:t>三、做市商风控合规管理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_Toc123811069 \h </w:instrText>
      </w:r>
      <w:r>
        <w:rPr>
          <w:rFonts w:ascii="仿宋" w:hAnsi="仿宋" w:eastAsia="仿宋"/>
          <w:sz w:val="32"/>
          <w:szCs w:val="32"/>
        </w:rPr>
        <w:fldChar w:fldCharType="separate"/>
      </w:r>
      <w:r>
        <w:rPr>
          <w:rFonts w:ascii="仿宋" w:hAnsi="仿宋" w:eastAsia="仿宋"/>
          <w:sz w:val="32"/>
          <w:szCs w:val="32"/>
        </w:rPr>
        <w:t>4</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"_Toc123811070" </w:instrText>
      </w:r>
      <w:r>
        <w:rPr>
          <w:sz w:val="32"/>
          <w:szCs w:val="32"/>
        </w:rPr>
        <w:fldChar w:fldCharType="separate"/>
      </w:r>
      <w:r>
        <w:rPr>
          <w:rStyle w:val="35"/>
          <w:rFonts w:hint="eastAsia" w:ascii="仿宋" w:hAnsi="仿宋" w:eastAsia="仿宋"/>
          <w:bCs/>
          <w:kern w:val="44"/>
          <w:sz w:val="32"/>
          <w:szCs w:val="32"/>
        </w:rPr>
        <w:t>第二章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债券做市商和做市品种</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_Toc123811070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"_Toc123811071" </w:instrText>
      </w:r>
      <w:r>
        <w:rPr>
          <w:sz w:val="32"/>
          <w:szCs w:val="32"/>
        </w:rPr>
        <w:fldChar w:fldCharType="separate"/>
      </w:r>
      <w:r>
        <w:rPr>
          <w:rStyle w:val="35"/>
          <w:rFonts w:hint="eastAsia" w:ascii="仿宋" w:hAnsi="仿宋" w:eastAsia="仿宋"/>
          <w:sz w:val="32"/>
          <w:szCs w:val="32"/>
        </w:rPr>
        <w:t>一、债券做市商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_Toc123811071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"_Toc123811072" </w:instrText>
      </w:r>
      <w:r>
        <w:rPr>
          <w:sz w:val="32"/>
          <w:szCs w:val="32"/>
        </w:rPr>
        <w:fldChar w:fldCharType="separate"/>
      </w:r>
      <w:r>
        <w:rPr>
          <w:rStyle w:val="35"/>
          <w:rFonts w:hint="eastAsia" w:ascii="仿宋" w:hAnsi="仿宋" w:eastAsia="仿宋"/>
          <w:sz w:val="32"/>
          <w:szCs w:val="32"/>
        </w:rPr>
        <w:t>二、债券做市品种</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_Toc123811072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"_Toc123811073" </w:instrText>
      </w:r>
      <w:r>
        <w:rPr>
          <w:sz w:val="32"/>
          <w:szCs w:val="32"/>
        </w:rPr>
        <w:fldChar w:fldCharType="separate"/>
      </w:r>
      <w:r>
        <w:rPr>
          <w:rStyle w:val="35"/>
          <w:rFonts w:hint="eastAsia" w:ascii="仿宋" w:hAnsi="仿宋" w:eastAsia="仿宋"/>
          <w:sz w:val="32"/>
          <w:szCs w:val="32"/>
        </w:rPr>
        <w:t>三、做市信息披露</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_Toc123811073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"_Toc123811074" </w:instrText>
      </w:r>
      <w:r>
        <w:rPr>
          <w:sz w:val="32"/>
          <w:szCs w:val="32"/>
        </w:rPr>
        <w:fldChar w:fldCharType="separate"/>
      </w:r>
      <w:r>
        <w:rPr>
          <w:rStyle w:val="35"/>
          <w:rFonts w:hint="eastAsia" w:ascii="仿宋" w:hAnsi="仿宋" w:eastAsia="仿宋"/>
          <w:bCs/>
          <w:kern w:val="44"/>
          <w:sz w:val="32"/>
          <w:szCs w:val="32"/>
        </w:rPr>
        <w:t>第三章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债券做市业务申请和管理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_Toc123811074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"_Toc123811075" </w:instrText>
      </w:r>
      <w:r>
        <w:rPr>
          <w:sz w:val="32"/>
          <w:szCs w:val="32"/>
        </w:rPr>
        <w:fldChar w:fldCharType="separate"/>
      </w:r>
      <w:r>
        <w:rPr>
          <w:rStyle w:val="35"/>
          <w:rFonts w:hint="eastAsia" w:ascii="仿宋" w:hAnsi="仿宋" w:eastAsia="仿宋"/>
          <w:sz w:val="32"/>
          <w:szCs w:val="32"/>
        </w:rPr>
        <w:t>一、申请前的准备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_Toc123811075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"_Toc123811076" </w:instrText>
      </w:r>
      <w:r>
        <w:rPr>
          <w:sz w:val="32"/>
          <w:szCs w:val="32"/>
        </w:rPr>
        <w:fldChar w:fldCharType="separate"/>
      </w:r>
      <w:r>
        <w:rPr>
          <w:rStyle w:val="35"/>
          <w:rFonts w:hint="eastAsia" w:ascii="仿宋" w:hAnsi="仿宋" w:eastAsia="仿宋"/>
          <w:sz w:val="32"/>
          <w:szCs w:val="32"/>
        </w:rPr>
        <w:t>二、做市业务申请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_Toc123811076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"_Toc123811077" </w:instrText>
      </w:r>
      <w:r>
        <w:rPr>
          <w:sz w:val="32"/>
          <w:szCs w:val="32"/>
        </w:rPr>
        <w:fldChar w:fldCharType="separate"/>
      </w:r>
      <w:r>
        <w:rPr>
          <w:rStyle w:val="35"/>
          <w:rFonts w:hint="eastAsia" w:ascii="仿宋" w:hAnsi="仿宋" w:eastAsia="仿宋"/>
          <w:sz w:val="32"/>
          <w:szCs w:val="32"/>
        </w:rPr>
        <w:t>三、做市业务变更申请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_Toc123811077 \h </w:instrText>
      </w:r>
      <w:r>
        <w:rPr>
          <w:rFonts w:ascii="仿宋" w:hAnsi="仿宋" w:eastAsia="仿宋"/>
          <w:sz w:val="32"/>
          <w:szCs w:val="32"/>
        </w:rPr>
        <w:fldChar w:fldCharType="separate"/>
      </w:r>
      <w:r>
        <w:rPr>
          <w:rFonts w:ascii="仿宋" w:hAnsi="仿宋" w:eastAsia="仿宋"/>
          <w:sz w:val="32"/>
          <w:szCs w:val="32"/>
        </w:rPr>
        <w:t>10</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"_Toc123811078" </w:instrText>
      </w:r>
      <w:r>
        <w:rPr>
          <w:sz w:val="32"/>
          <w:szCs w:val="32"/>
        </w:rPr>
        <w:fldChar w:fldCharType="separate"/>
      </w:r>
      <w:r>
        <w:rPr>
          <w:rStyle w:val="35"/>
          <w:rFonts w:hint="eastAsia" w:ascii="仿宋" w:hAnsi="仿宋" w:eastAsia="仿宋"/>
          <w:sz w:val="32"/>
          <w:szCs w:val="32"/>
        </w:rPr>
        <w:t>四、暂停做市业务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_Toc123811078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"_Toc123811079" </w:instrText>
      </w:r>
      <w:r>
        <w:rPr>
          <w:sz w:val="32"/>
          <w:szCs w:val="32"/>
        </w:rPr>
        <w:fldChar w:fldCharType="separate"/>
      </w:r>
      <w:r>
        <w:rPr>
          <w:rStyle w:val="35"/>
          <w:rFonts w:hint="eastAsia" w:ascii="仿宋" w:hAnsi="仿宋" w:eastAsia="仿宋"/>
          <w:sz w:val="32"/>
          <w:szCs w:val="32"/>
        </w:rPr>
        <w:t>五、恢复做市业务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_Toc123811079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"_Toc123811080" </w:instrText>
      </w:r>
      <w:r>
        <w:rPr>
          <w:sz w:val="32"/>
          <w:szCs w:val="32"/>
        </w:rPr>
        <w:fldChar w:fldCharType="separate"/>
      </w:r>
      <w:r>
        <w:rPr>
          <w:rStyle w:val="35"/>
          <w:rFonts w:hint="eastAsia" w:ascii="仿宋" w:hAnsi="仿宋" w:eastAsia="仿宋"/>
          <w:sz w:val="32"/>
          <w:szCs w:val="32"/>
        </w:rPr>
        <w:t>六、终止做市业务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_Toc123811080 \h </w:instrText>
      </w:r>
      <w:r>
        <w:rPr>
          <w:rFonts w:ascii="仿宋" w:hAnsi="仿宋" w:eastAsia="仿宋"/>
          <w:sz w:val="32"/>
          <w:szCs w:val="32"/>
        </w:rPr>
        <w:fldChar w:fldCharType="separate"/>
      </w:r>
      <w:r>
        <w:rPr>
          <w:rFonts w:ascii="仿宋" w:hAnsi="仿宋" w:eastAsia="仿宋"/>
          <w:sz w:val="32"/>
          <w:szCs w:val="32"/>
        </w:rPr>
        <w:t>12</w:t>
      </w:r>
      <w:r>
        <w:rPr>
          <w:rFonts w:ascii="仿宋" w:hAnsi="仿宋" w:eastAsia="仿宋"/>
          <w:sz w:val="32"/>
          <w:szCs w:val="32"/>
        </w:rPr>
        <w:fldChar w:fldCharType="end"/>
      </w:r>
      <w:r>
        <w:rPr>
          <w:rFonts w:ascii="仿宋" w:hAnsi="仿宋" w:eastAsia="仿宋"/>
          <w:sz w:val="32"/>
          <w:szCs w:val="32"/>
        </w:rPr>
        <w:fldChar w:fldCharType="end"/>
      </w:r>
    </w:p>
    <w:p>
      <w:pPr>
        <w:pStyle w:val="21"/>
        <w:spacing w:after="0" w:line="560" w:lineRule="exact"/>
        <w:rPr>
          <w:rFonts w:ascii="仿宋" w:hAnsi="仿宋" w:eastAsia="仿宋" w:cstheme="minorBidi"/>
          <w:b w:val="0"/>
          <w:kern w:val="2"/>
          <w:sz w:val="32"/>
          <w:szCs w:val="32"/>
        </w:rPr>
      </w:pPr>
      <w:r>
        <w:rPr>
          <w:sz w:val="32"/>
          <w:szCs w:val="32"/>
        </w:rPr>
        <w:fldChar w:fldCharType="begin"/>
      </w:r>
      <w:r>
        <w:rPr>
          <w:sz w:val="32"/>
          <w:szCs w:val="32"/>
        </w:rPr>
        <w:instrText xml:space="preserve"> HYPERLINK \l "_Toc123811081" </w:instrText>
      </w:r>
      <w:r>
        <w:rPr>
          <w:sz w:val="32"/>
          <w:szCs w:val="32"/>
        </w:rPr>
        <w:fldChar w:fldCharType="separate"/>
      </w:r>
      <w:r>
        <w:rPr>
          <w:rStyle w:val="35"/>
          <w:rFonts w:hint="eastAsia" w:ascii="仿宋" w:hAnsi="仿宋" w:eastAsia="仿宋"/>
          <w:bCs/>
          <w:kern w:val="44"/>
          <w:sz w:val="32"/>
          <w:szCs w:val="32"/>
        </w:rPr>
        <w:t>第四章</w:t>
      </w:r>
      <w:r>
        <w:rPr>
          <w:rStyle w:val="35"/>
          <w:rFonts w:ascii="仿宋" w:hAnsi="仿宋" w:eastAsia="仿宋"/>
          <w:bCs/>
          <w:kern w:val="44"/>
          <w:sz w:val="32"/>
          <w:szCs w:val="32"/>
        </w:rPr>
        <w:t xml:space="preserve"> </w:t>
      </w:r>
      <w:r>
        <w:rPr>
          <w:rStyle w:val="35"/>
          <w:rFonts w:hint="eastAsia" w:ascii="仿宋" w:hAnsi="仿宋" w:eastAsia="仿宋"/>
          <w:bCs/>
          <w:kern w:val="44"/>
          <w:sz w:val="32"/>
          <w:szCs w:val="32"/>
        </w:rPr>
        <w:t>债券做市业务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_Toc123811081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"_Toc123811082" </w:instrText>
      </w:r>
      <w:r>
        <w:rPr>
          <w:sz w:val="32"/>
          <w:szCs w:val="32"/>
        </w:rPr>
        <w:fldChar w:fldCharType="separate"/>
      </w:r>
      <w:r>
        <w:rPr>
          <w:rStyle w:val="35"/>
          <w:rFonts w:hint="eastAsia" w:ascii="仿宋" w:hAnsi="仿宋" w:eastAsia="仿宋"/>
          <w:sz w:val="32"/>
          <w:szCs w:val="32"/>
        </w:rPr>
        <w:t>一、 做市方式</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_Toc123811082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"_Toc123811083" </w:instrText>
      </w:r>
      <w:r>
        <w:rPr>
          <w:sz w:val="32"/>
          <w:szCs w:val="32"/>
        </w:rPr>
        <w:fldChar w:fldCharType="separate"/>
      </w:r>
      <w:r>
        <w:rPr>
          <w:rStyle w:val="35"/>
          <w:rFonts w:hint="eastAsia" w:ascii="仿宋" w:hAnsi="仿宋" w:eastAsia="仿宋"/>
          <w:sz w:val="32"/>
          <w:szCs w:val="32"/>
        </w:rPr>
        <w:t>二、 做市业务评价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_Toc123811083 \h </w:instrText>
      </w:r>
      <w:r>
        <w:rPr>
          <w:rFonts w:ascii="仿宋" w:hAnsi="仿宋" w:eastAsia="仿宋"/>
          <w:sz w:val="32"/>
          <w:szCs w:val="32"/>
        </w:rPr>
        <w:fldChar w:fldCharType="separate"/>
      </w:r>
      <w:r>
        <w:rPr>
          <w:rFonts w:ascii="仿宋" w:hAnsi="仿宋" w:eastAsia="仿宋"/>
          <w:sz w:val="32"/>
          <w:szCs w:val="32"/>
        </w:rPr>
        <w:t>14</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"_Toc123811084" </w:instrText>
      </w:r>
      <w:r>
        <w:rPr>
          <w:sz w:val="32"/>
          <w:szCs w:val="32"/>
        </w:rPr>
        <w:fldChar w:fldCharType="separate"/>
      </w:r>
      <w:r>
        <w:rPr>
          <w:rStyle w:val="35"/>
          <w:rFonts w:hint="eastAsia" w:ascii="仿宋" w:hAnsi="仿宋" w:eastAsia="仿宋"/>
          <w:sz w:val="32"/>
          <w:szCs w:val="32"/>
        </w:rPr>
        <w:t>三、 做市支持措施</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_Toc123811084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pPr>
        <w:pStyle w:val="25"/>
        <w:spacing w:line="560" w:lineRule="exact"/>
        <w:rPr>
          <w:rFonts w:ascii="仿宋" w:hAnsi="仿宋" w:eastAsia="仿宋" w:cstheme="minorBidi"/>
          <w:kern w:val="2"/>
          <w:sz w:val="32"/>
          <w:szCs w:val="32"/>
        </w:rPr>
      </w:pPr>
      <w:r>
        <w:rPr>
          <w:sz w:val="32"/>
          <w:szCs w:val="32"/>
        </w:rPr>
        <w:fldChar w:fldCharType="begin"/>
      </w:r>
      <w:r>
        <w:rPr>
          <w:sz w:val="32"/>
          <w:szCs w:val="32"/>
        </w:rPr>
        <w:instrText xml:space="preserve"> HYPERLINK \l "_Toc123811085" </w:instrText>
      </w:r>
      <w:r>
        <w:rPr>
          <w:sz w:val="32"/>
          <w:szCs w:val="32"/>
        </w:rPr>
        <w:fldChar w:fldCharType="separate"/>
      </w:r>
      <w:r>
        <w:rPr>
          <w:rStyle w:val="35"/>
          <w:rFonts w:hint="eastAsia" w:ascii="仿宋" w:hAnsi="仿宋" w:eastAsia="仿宋"/>
          <w:sz w:val="32"/>
          <w:szCs w:val="32"/>
        </w:rPr>
        <w:t>四、 监管豁免情形</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_Toc123811085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pPr>
        <w:adjustRightInd w:val="0"/>
        <w:snapToGrid w:val="0"/>
        <w:spacing w:line="560" w:lineRule="exact"/>
        <w:rPr>
          <w:rFonts w:ascii="仿宋" w:hAnsi="仿宋" w:eastAsia="仿宋"/>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7" w:header="851" w:footer="992" w:gutter="0"/>
          <w:pgNumType w:fmt="decimal" w:start="1"/>
          <w:cols w:space="425" w:num="1"/>
          <w:docGrid w:type="lines" w:linePitch="408" w:charSpace="0"/>
        </w:sectPr>
      </w:pPr>
      <w:r>
        <w:rPr>
          <w:rFonts w:ascii="仿宋" w:hAnsi="仿宋" w:eastAsia="仿宋" w:cstheme="minorBidi"/>
          <w:sz w:val="32"/>
          <w:szCs w:val="32"/>
        </w:rPr>
        <w:fldChar w:fldCharType="end"/>
      </w:r>
      <w:bookmarkStart w:id="1" w:name="_Toc391559957"/>
    </w:p>
    <w:p>
      <w:pPr>
        <w:widowControl/>
        <w:tabs>
          <w:tab w:val="right" w:leader="dot" w:pos="8364"/>
        </w:tabs>
        <w:snapToGrid w:val="0"/>
        <w:ind w:right="321" w:rightChars="107" w:firstLine="640"/>
        <w:jc w:val="left"/>
        <w:rPr>
          <w:rFonts w:ascii="仿宋" w:hAnsi="仿宋" w:eastAsia="仿宋"/>
          <w:bCs/>
          <w:caps/>
          <w:sz w:val="32"/>
          <w:szCs w:val="32"/>
        </w:rPr>
      </w:pPr>
    </w:p>
    <w:p>
      <w:pPr>
        <w:widowControl/>
        <w:spacing w:before="0" w:beforeLines="0" w:after="0" w:afterLines="0" w:line="560" w:lineRule="exact"/>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重要提示</w:t>
      </w:r>
    </w:p>
    <w:p>
      <w:pPr>
        <w:widowControl/>
        <w:tabs>
          <w:tab w:val="right" w:leader="dot" w:pos="8364"/>
        </w:tabs>
        <w:spacing w:beforeLines="0" w:afterLines="0" w:line="560" w:lineRule="exact"/>
        <w:ind w:right="321" w:rightChars="107" w:firstLine="640"/>
        <w:jc w:val="left"/>
        <w:rPr>
          <w:rFonts w:ascii="仿宋" w:hAnsi="仿宋" w:eastAsia="仿宋"/>
          <w:bCs/>
          <w:caps/>
          <w:sz w:val="32"/>
          <w:szCs w:val="32"/>
        </w:rPr>
      </w:pPr>
    </w:p>
    <w:p>
      <w:pPr>
        <w:pStyle w:val="11"/>
        <w:snapToGrid w:val="0"/>
        <w:spacing w:beforeLines="0" w:afterLines="0" w:line="560" w:lineRule="exact"/>
        <w:ind w:firstLine="640"/>
        <w:jc w:val="both"/>
        <w:rPr>
          <w:rFonts w:hint="eastAsia" w:ascii="仿宋" w:hAnsi="仿宋" w:eastAsia="仿宋" w:cs="仿宋"/>
          <w:sz w:val="32"/>
          <w:szCs w:val="32"/>
        </w:rPr>
      </w:pPr>
      <w:r>
        <w:rPr>
          <w:rFonts w:hint="eastAsia" w:ascii="仿宋" w:hAnsi="仿宋" w:eastAsia="仿宋" w:cs="仿宋"/>
          <w:sz w:val="32"/>
          <w:szCs w:val="32"/>
        </w:rPr>
        <w:t>一、为便于深圳证券交易所（以下简称本所）债券做市商规范开展债券做市业务，进一步明确各业务环节操作流程，根据《深圳证券交易所债券交易规则》（以下简称《交易规则》）和《深圳证券交易所债券交易业务指引第3号——债券做市》（以下简称《做市指引》）相关规定，制定本指南。如本指南与法律、法规以及有关业务规则发生冲突，应当以法律、法规以及有关业务规则为准。</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二、做市商应当通过本所固定收益品种业务专区（以下简称固收专区）的债券做市栏目提交相关文件。如未特别说明，相关文件均需加盖公章，以彩色扫描件方式制作成PDF文件。做市商应当保证所提交的文件真实、准确、完整，不存在虚假记载、误导性陈述或者重大遗漏，并确保提交的电子文件与原件一致。</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三、本所将根据业务需要不定期对本指南作出修订，并保留对本指南的最终解释权。</w:t>
      </w:r>
    </w:p>
    <w:p>
      <w:pPr>
        <w:spacing w:before="0" w:beforeLines="0" w:after="0" w:afterLines="0" w:line="560" w:lineRule="exact"/>
        <w:ind w:firstLine="640"/>
        <w:rPr>
          <w:sz w:val="32"/>
          <w:szCs w:val="32"/>
        </w:rPr>
      </w:pPr>
    </w:p>
    <w:bookmarkEnd w:id="1"/>
    <w:p>
      <w:pPr>
        <w:pStyle w:val="2"/>
        <w:spacing w:before="0" w:beforeLines="0" w:after="0" w:afterLines="0"/>
      </w:pPr>
      <w:bookmarkStart w:id="2" w:name="_Toc422331047"/>
      <w:r>
        <w:br w:type="page"/>
      </w:r>
    </w:p>
    <w:p>
      <w:pPr>
        <w:pStyle w:val="2"/>
        <w:spacing w:before="0" w:beforeLines="0" w:after="0" w:afterLines="0"/>
        <w:rPr>
          <w:rFonts w:hint="eastAsia" w:ascii="黑体" w:hAnsi="黑体" w:eastAsia="黑体" w:cs="黑体"/>
          <w:b w:val="0"/>
          <w:bCs w:val="0"/>
        </w:rPr>
      </w:pPr>
      <w:bookmarkStart w:id="3" w:name="_Toc123811066"/>
      <w:r>
        <w:rPr>
          <w:rFonts w:hint="eastAsia" w:ascii="黑体" w:hAnsi="黑体" w:eastAsia="黑体" w:cs="黑体"/>
          <w:b w:val="0"/>
          <w:bCs w:val="0"/>
        </w:rPr>
        <w:t xml:space="preserve">第一章 </w:t>
      </w:r>
      <w:bookmarkEnd w:id="2"/>
      <w:r>
        <w:rPr>
          <w:rFonts w:hint="eastAsia" w:ascii="黑体" w:hAnsi="黑体" w:eastAsia="黑体" w:cs="黑体"/>
          <w:b w:val="0"/>
          <w:bCs w:val="0"/>
        </w:rPr>
        <w:t>总体要求</w:t>
      </w:r>
      <w:bookmarkEnd w:id="3"/>
    </w:p>
    <w:p>
      <w:pPr>
        <w:pStyle w:val="3"/>
        <w:spacing w:beforeLines="0" w:afterLines="0"/>
      </w:pPr>
      <w:bookmarkStart w:id="4" w:name="_Toc123811067"/>
      <w:r>
        <w:t>一、</w:t>
      </w:r>
      <w:r>
        <w:rPr>
          <w:rFonts w:hint="eastAsia"/>
        </w:rPr>
        <w:t>概览</w:t>
      </w:r>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60" w:lineRule="exact"/>
        <w:ind w:firstLine="640"/>
        <w:rPr>
          <w:rFonts w:ascii="仿宋" w:hAnsi="仿宋" w:eastAsia="仿宋" w:cs="方正仿宋简体"/>
          <w:kern w:val="0"/>
          <w:sz w:val="32"/>
          <w:szCs w:val="32"/>
        </w:rPr>
      </w:pPr>
      <w:r>
        <w:rPr>
          <w:rFonts w:hint="eastAsia" w:ascii="仿宋" w:hAnsi="仿宋" w:eastAsia="仿宋"/>
          <w:sz w:val="32"/>
          <w:szCs w:val="32"/>
        </w:rPr>
        <w:t>债券做市商（以下简称做市商），是指按照《交易规则》《做市指引》的规定，</w:t>
      </w:r>
      <w:r>
        <w:rPr>
          <w:rFonts w:hint="eastAsia" w:ascii="仿宋" w:hAnsi="仿宋" w:eastAsia="仿宋" w:cs="方正仿宋简体"/>
          <w:kern w:val="0"/>
          <w:sz w:val="32"/>
          <w:szCs w:val="32"/>
        </w:rPr>
        <w:t>在本所债券市场为债券提供流动性、开展债券做市业务的债券交易参与人</w:t>
      </w:r>
      <w:r>
        <w:rPr>
          <w:rFonts w:hint="eastAsia" w:ascii="仿宋" w:hAnsi="仿宋" w:eastAsia="仿宋"/>
          <w:sz w:val="32"/>
          <w:szCs w:val="32"/>
        </w:rPr>
        <w:t>，</w:t>
      </w:r>
      <w:r>
        <w:rPr>
          <w:rFonts w:hint="eastAsia" w:ascii="仿宋" w:hAnsi="仿宋" w:eastAsia="仿宋" w:cs="方正仿宋简体"/>
          <w:kern w:val="0"/>
          <w:sz w:val="32"/>
          <w:szCs w:val="32"/>
        </w:rPr>
        <w:t>分为主做市商和一般做市商。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60" w:lineRule="exact"/>
        <w:ind w:firstLine="640"/>
        <w:rPr>
          <w:rFonts w:ascii="仿宋" w:hAnsi="仿宋" w:eastAsia="仿宋" w:cs="方正仿宋简体"/>
          <w:kern w:val="0"/>
          <w:sz w:val="32"/>
          <w:szCs w:val="32"/>
        </w:rPr>
      </w:pPr>
      <w:r>
        <w:rPr>
          <w:rFonts w:hint="eastAsia" w:ascii="仿宋" w:hAnsi="仿宋" w:eastAsia="仿宋" w:cs="方正仿宋简体"/>
          <w:kern w:val="0"/>
          <w:sz w:val="32"/>
          <w:szCs w:val="32"/>
        </w:rPr>
        <w:t>债券做市业务是指做市商在本所债券市场持续报出做市品种的双边买卖价格、对本所债券投资者的询价请求进行回复，以及通过本所认可的其他做市方式</w:t>
      </w:r>
      <w:r>
        <w:rPr>
          <w:rFonts w:hint="eastAsia" w:ascii="仿宋" w:hAnsi="仿宋" w:eastAsia="仿宋"/>
          <w:sz w:val="32"/>
          <w:szCs w:val="32"/>
        </w:rPr>
        <w:t>，</w:t>
      </w:r>
      <w:r>
        <w:rPr>
          <w:rFonts w:ascii="仿宋" w:hAnsi="仿宋" w:eastAsia="仿宋" w:cs="方正仿宋简体"/>
          <w:kern w:val="0"/>
          <w:sz w:val="32"/>
          <w:szCs w:val="32"/>
        </w:rPr>
        <w:t>为债券提供流动性的行为。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做市商应当具备符合要求的技术系统、风险管理和内部控制制度，加强对市场风险、模型风险、存货风险、做市风险、操作风险等业务风险的识别、监测和控制。</w:t>
      </w:r>
    </w:p>
    <w:p>
      <w:pPr>
        <w:pStyle w:val="3"/>
        <w:spacing w:beforeLines="0" w:afterLines="0"/>
      </w:pPr>
      <w:bookmarkStart w:id="5" w:name="_Toc78321478"/>
      <w:bookmarkStart w:id="6" w:name="_Toc123811068"/>
      <w:r>
        <w:rPr>
          <w:rFonts w:hint="eastAsia"/>
        </w:rPr>
        <w:t>二、做市商岗位设置</w:t>
      </w:r>
      <w:bookmarkEnd w:id="5"/>
      <w:bookmarkEnd w:id="6"/>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做市商需配置专门的债券做市业务团队开展做市业务，不得把做市业务外包，或者交由第三方机构开展。</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做市商开展债券做市业务需设立交易、风险控制、技术运维等岗位，涉及交易、风控、合规、清算、信息技术等多个业务和功能支持部门，并建立备岗机制。</w:t>
      </w:r>
      <w:bookmarkStart w:id="7" w:name="_Toc78321479"/>
      <w:r>
        <w:rPr>
          <w:rFonts w:hint="eastAsia" w:ascii="仿宋" w:hAnsi="仿宋" w:eastAsia="仿宋"/>
          <w:sz w:val="32"/>
          <w:szCs w:val="32"/>
        </w:rPr>
        <w:t>做市业务应和经纪、自营、资产管理等业务进行有效隔离，防止敏感信息的不当流动和使用。</w:t>
      </w:r>
    </w:p>
    <w:p>
      <w:pPr>
        <w:pStyle w:val="3"/>
        <w:spacing w:beforeLines="0" w:afterLines="0"/>
      </w:pPr>
      <w:bookmarkStart w:id="8" w:name="_Toc123811069"/>
      <w:r>
        <w:rPr>
          <w:rFonts w:hint="eastAsia"/>
        </w:rPr>
        <w:t>三、做市商</w:t>
      </w:r>
      <w:bookmarkEnd w:id="7"/>
      <w:r>
        <w:rPr>
          <w:rFonts w:hint="eastAsia"/>
        </w:rPr>
        <w:t>风控合规管理</w:t>
      </w:r>
      <w:bookmarkEnd w:id="8"/>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做市商应当制定健全的业务制度和完备的业务流程，涵盖做市业务管理、交易管理、结算、风险管理、内部控制、应急等各个业务环节，并明确各相关部门的职责和岗位设置。</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做市商应当根据监管部门以及本所相关规定，制定做市业务相关管理办法，保障业务规范开展</w:t>
      </w:r>
      <w:r>
        <w:rPr>
          <w:rFonts w:ascii="仿宋" w:hAnsi="仿宋" w:eastAsia="仿宋"/>
          <w:sz w:val="32"/>
          <w:szCs w:val="32"/>
        </w:rPr>
        <w:t>，</w:t>
      </w:r>
      <w:r>
        <w:rPr>
          <w:rFonts w:hint="eastAsia" w:ascii="仿宋" w:hAnsi="仿宋" w:eastAsia="仿宋"/>
          <w:sz w:val="32"/>
          <w:szCs w:val="32"/>
        </w:rPr>
        <w:t>内容包括但不限于做市业务实施机制、决策流程、授权体系、风险管理、合规与内部控制等。</w:t>
      </w:r>
    </w:p>
    <w:p>
      <w:pPr>
        <w:adjustRightInd w:val="0"/>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做市商应当制定做市业务相关风险管理制度，加强对做市业务的风险管理，有效防范和化解业务风险</w:t>
      </w:r>
      <w:r>
        <w:rPr>
          <w:rFonts w:ascii="仿宋" w:hAnsi="仿宋" w:eastAsia="仿宋"/>
          <w:sz w:val="32"/>
          <w:szCs w:val="32"/>
        </w:rPr>
        <w:t>，</w:t>
      </w:r>
      <w:r>
        <w:rPr>
          <w:rFonts w:hint="eastAsia" w:ascii="仿宋" w:hAnsi="仿宋" w:eastAsia="仿宋"/>
          <w:sz w:val="32"/>
          <w:szCs w:val="32"/>
        </w:rPr>
        <w:t>内容包括但不限于做市业务风险管理基本原则、风险指标设计、风险识别与评估、风险控制与处置、风险定期报告机制、压力测试的情景设置和分析等。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仿宋" w:hAnsi="仿宋" w:eastAsia="仿宋"/>
          <w:sz w:val="32"/>
          <w:szCs w:val="32"/>
        </w:rPr>
      </w:pPr>
      <w:r>
        <w:rPr>
          <w:rFonts w:hint="eastAsia" w:ascii="仿宋" w:hAnsi="仿宋" w:eastAsia="仿宋"/>
          <w:sz w:val="32"/>
          <w:szCs w:val="32"/>
        </w:rPr>
        <w:t>做市商应当制定做市业务应急预案，以应对做市业务中的突发事件，保障做市业务平稳开展。</w:t>
      </w:r>
    </w:p>
    <w:p>
      <w:pPr>
        <w:pStyle w:val="2"/>
        <w:spacing w:before="0" w:beforeLines="0" w:after="0" w:afterLines="0"/>
        <w:rPr>
          <w:rFonts w:hint="eastAsia" w:ascii="黑体" w:hAnsi="黑体" w:eastAsia="黑体" w:cs="黑体"/>
          <w:b w:val="0"/>
          <w:bCs w:val="0"/>
        </w:rPr>
      </w:pPr>
      <w:bookmarkStart w:id="9" w:name="_Toc123811070"/>
      <w:r>
        <w:rPr>
          <w:rFonts w:hint="eastAsia" w:ascii="黑体" w:hAnsi="黑体" w:eastAsia="黑体" w:cs="黑体"/>
          <w:b w:val="0"/>
          <w:bCs w:val="0"/>
        </w:rPr>
        <w:t>第二章 债券做市商和做市品种</w:t>
      </w:r>
      <w:bookmarkEnd w:id="9"/>
    </w:p>
    <w:p>
      <w:pPr>
        <w:pStyle w:val="3"/>
        <w:spacing w:beforeLines="0" w:afterLines="0"/>
      </w:pPr>
      <w:bookmarkStart w:id="10" w:name="_Toc123811071"/>
      <w:r>
        <w:rPr>
          <w:rFonts w:hint="eastAsia"/>
        </w:rPr>
        <w:t>一</w:t>
      </w:r>
      <w:r>
        <w:t>、</w:t>
      </w:r>
      <w:r>
        <w:rPr>
          <w:rFonts w:hint="eastAsia"/>
        </w:rPr>
        <w:t>债券做市商</w:t>
      </w:r>
      <w:bookmarkEnd w:id="1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本所债券市场的做市商包括主做市商和一般做市商。主做市商对基准做市品种开展持续做市业务（以下简称基准做市业务）；一般做市商对其自行选定的做市品种在一定时期内开展做市业务（以下简称一般做市业务）。主做市商可以参照一般做市业务的要求对自选做市品种开展做市业务。</w:t>
      </w:r>
    </w:p>
    <w:p>
      <w:pPr>
        <w:tabs>
          <w:tab w:val="left" w:pos="0"/>
          <w:tab w:val="left" w:pos="1680"/>
        </w:tabs>
        <w:spacing w:beforeLines="0" w:afterLines="0" w:line="560" w:lineRule="exact"/>
        <w:ind w:firstLineChars="0"/>
        <w:rPr>
          <w:rFonts w:ascii="Times New Roman" w:hAnsi="Times New Roman" w:eastAsia="仿宋"/>
          <w:sz w:val="32"/>
          <w:szCs w:val="32"/>
        </w:rPr>
      </w:pPr>
      <w:r>
        <w:rPr>
          <w:rFonts w:ascii="Times New Roman" w:hAnsi="Times New Roman" w:eastAsia="仿宋"/>
          <w:sz w:val="32"/>
          <w:szCs w:val="32"/>
        </w:rPr>
        <w:t>符合下列条件的债券交易参与人可以成为主做市商，开展基准做市业务：</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（一</w:t>
      </w:r>
      <w:r>
        <w:rPr>
          <w:rFonts w:hint="eastAsia" w:ascii="仿宋" w:hAnsi="仿宋" w:eastAsia="仿宋" w:cs="仿宋"/>
          <w:sz w:val="32"/>
          <w:szCs w:val="32"/>
        </w:rPr>
        <w:t>）</w:t>
      </w:r>
      <w:r>
        <w:rPr>
          <w:rFonts w:hint="eastAsia" w:ascii="仿宋" w:hAnsi="仿宋" w:eastAsia="仿宋" w:cs="仿宋"/>
          <w:kern w:val="2"/>
          <w:sz w:val="32"/>
          <w:szCs w:val="32"/>
        </w:rPr>
        <w:t>市场交易活跃，近2年债券交易量</w:t>
      </w:r>
      <w:r>
        <w:rPr>
          <w:rFonts w:ascii="Times New Roman" w:hAnsi="Times New Roman" w:eastAsia="仿宋" w:cs="Times New Roman"/>
          <w:kern w:val="2"/>
          <w:sz w:val="32"/>
          <w:szCs w:val="32"/>
        </w:rPr>
        <w:t>排名靠前；</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kern w:val="2"/>
          <w:sz w:val="32"/>
          <w:szCs w:val="32"/>
        </w:rPr>
        <w:t>具有专业的做市团队和较强的做市能力；</w:t>
      </w:r>
    </w:p>
    <w:p>
      <w:pPr>
        <w:pStyle w:val="27"/>
        <w:widowControl w:val="0"/>
        <w:shd w:val="clear" w:color="auto" w:fill="FFFFFF"/>
        <w:spacing w:before="0" w:beforeLines="0" w:beforeAutospacing="0" w:after="0" w:afterLines="0" w:afterAutospacing="0" w:line="560" w:lineRule="exact"/>
        <w:ind w:left="640" w:firstLine="0" w:firstLineChars="0"/>
        <w:jc w:val="both"/>
        <w:rPr>
          <w:rFonts w:ascii="Times New Roman" w:hAnsi="Times New Roman" w:eastAsia="仿宋" w:cs="Times New Roman"/>
          <w:kern w:val="2"/>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kern w:val="2"/>
          <w:sz w:val="32"/>
          <w:szCs w:val="32"/>
        </w:rPr>
        <w:t>本所规定的其他条件。</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sz w:val="32"/>
          <w:szCs w:val="32"/>
        </w:rPr>
      </w:pPr>
      <w:r>
        <w:rPr>
          <w:rFonts w:hint="eastAsia" w:ascii="Times New Roman" w:hAnsi="Times New Roman" w:eastAsia="仿宋"/>
          <w:sz w:val="32"/>
          <w:szCs w:val="32"/>
        </w:rPr>
        <w:t>证券公司为债券交易开展做市业务的，应当依据相关法律法规取得相应的经营证券业务许可。对于已取得中国证券监督管理委员会（以下简称中国证监会）上市证券做市交易业务资格的证券公司，本所将根据业务报送材料接收其成为本所债券做市商。</w:t>
      </w:r>
    </w:p>
    <w:p>
      <w:pPr>
        <w:pStyle w:val="3"/>
        <w:spacing w:beforeLines="0" w:afterLines="0"/>
      </w:pPr>
      <w:bookmarkStart w:id="11" w:name="_Toc123811072"/>
      <w:r>
        <w:rPr>
          <w:rFonts w:hint="eastAsia"/>
        </w:rPr>
        <w:t>二</w:t>
      </w:r>
      <w:r>
        <w:t>、</w:t>
      </w:r>
      <w:r>
        <w:rPr>
          <w:rFonts w:hint="eastAsia"/>
        </w:rPr>
        <w:t>债券做市品种</w:t>
      </w:r>
      <w:bookmarkEnd w:id="11"/>
    </w:p>
    <w:p>
      <w:pPr>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做市品种包括基准做市品种和自选做市品种。主做市商对基准做市品种开展持续做市业务，一般做市商对其自行选定的做市品种在一定时期内开展做市业务。主做市商可以参照本所对一般做市业务的要求对其自行选定的基准做市品种以外的债券和资产支持证券品种开展一般做市业务。</w:t>
      </w:r>
    </w:p>
    <w:p>
      <w:pPr>
        <w:pStyle w:val="5"/>
        <w:spacing w:beforeLines="0" w:afterLines="0"/>
      </w:pPr>
      <w:r>
        <w:t>（一）基准做市</w:t>
      </w:r>
      <w:r>
        <w:rPr>
          <w:rFonts w:hint="eastAsia"/>
        </w:rPr>
        <w:t>品种</w:t>
      </w:r>
    </w:p>
    <w:p>
      <w:pPr>
        <w:pStyle w:val="27"/>
        <w:widowControl w:val="0"/>
        <w:shd w:val="clear" w:color="auto" w:fill="FFFFFF"/>
        <w:spacing w:before="0" w:beforeLines="0" w:beforeAutospacing="0" w:after="0" w:afterLines="0" w:afterAutospacing="0" w:line="560" w:lineRule="exact"/>
        <w:ind w:firstLine="640"/>
        <w:jc w:val="both"/>
        <w:rPr>
          <w:rFonts w:hint="eastAsia" w:ascii="仿宋" w:hAnsi="仿宋" w:eastAsia="仿宋" w:cs="仿宋"/>
          <w:sz w:val="32"/>
          <w:szCs w:val="32"/>
        </w:rPr>
      </w:pPr>
      <w:r>
        <w:rPr>
          <w:rFonts w:hint="eastAsia" w:ascii="Times New Roman" w:hAnsi="Times New Roman" w:eastAsia="仿宋"/>
          <w:sz w:val="32"/>
          <w:szCs w:val="32"/>
        </w:rPr>
        <w:t>根据《做市指引》相关规定，主做市商应当从政府债券和政策性金融债基准做市债券清</w:t>
      </w:r>
      <w:r>
        <w:rPr>
          <w:rFonts w:hint="eastAsia" w:ascii="仿宋" w:hAnsi="仿宋" w:eastAsia="仿宋" w:cs="仿宋"/>
          <w:sz w:val="32"/>
          <w:szCs w:val="32"/>
        </w:rPr>
        <w:t>单中选择至少5只债券做市，从公司债券基准做市债券清单中选择至少10只债券做市。</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sz w:val="32"/>
          <w:szCs w:val="32"/>
        </w:rPr>
      </w:pPr>
      <w:r>
        <w:rPr>
          <w:rFonts w:hint="eastAsia" w:ascii="仿宋" w:hAnsi="仿宋" w:eastAsia="仿宋" w:cs="仿宋"/>
          <w:sz w:val="32"/>
          <w:szCs w:val="32"/>
        </w:rPr>
        <w:t>本所每月定期更新基准做市债券清单，做市商应当关注基准做市债券清单调整情况，及时对本机构基准做市债券范围进行动态调整，确保有效做市清单应满足《</w:t>
      </w:r>
      <w:r>
        <w:rPr>
          <w:rFonts w:hint="eastAsia" w:ascii="Times New Roman" w:hAnsi="Times New Roman" w:eastAsia="仿宋"/>
          <w:sz w:val="32"/>
          <w:szCs w:val="32"/>
        </w:rPr>
        <w:t>做市指引》要求。若做市商的基准做市债券不再属于本所基准做市债券清单的，相关债券将自动调出该做市商的基准做市债券范围。</w:t>
      </w:r>
    </w:p>
    <w:p>
      <w:pPr>
        <w:pStyle w:val="5"/>
        <w:spacing w:beforeLines="0" w:afterLines="0"/>
      </w:pPr>
      <w:r>
        <w:t>（</w:t>
      </w:r>
      <w:r>
        <w:rPr>
          <w:rFonts w:hint="eastAsia"/>
        </w:rPr>
        <w:t>二</w:t>
      </w:r>
      <w:r>
        <w:t>）基准做市</w:t>
      </w:r>
      <w:r>
        <w:rPr>
          <w:rFonts w:hint="eastAsia"/>
        </w:rPr>
        <w:t>债券清单</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本所将于每月初通过官网“固定收益信息平台</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信息披露</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交易参与信息</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做市品种”栏目披露基准做市债券清单。根据《做市指引</w:t>
      </w:r>
      <w:r>
        <w:rPr>
          <w:rFonts w:hint="eastAsia" w:ascii="仿宋" w:hAnsi="仿宋" w:eastAsia="仿宋" w:cs="仿宋"/>
          <w:sz w:val="32"/>
          <w:szCs w:val="32"/>
        </w:rPr>
        <w:t>》相关要求，本所将选取符合以下要求的债券纳入基准做市债券清单：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1．国债：选取1年期、2年期、3年期、5年期、10年期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20年期、30年期、30年期以上</w:t>
      </w:r>
      <w:r>
        <w:rPr>
          <w:rFonts w:hint="eastAsia" w:ascii="仿宋" w:hAnsi="仿宋" w:eastAsia="仿宋" w:cs="仿宋"/>
          <w:sz w:val="32"/>
          <w:szCs w:val="32"/>
        </w:rPr>
        <w:t>等期限中最新上市的两期国债</w:t>
      </w:r>
      <w:r>
        <w:rPr>
          <w:rFonts w:hint="eastAsia" w:ascii="仿宋" w:hAnsi="仿宋" w:eastAsia="仿宋" w:cs="仿宋"/>
          <w:sz w:val="32"/>
          <w:szCs w:val="32"/>
          <w:lang w:eastAsia="zh-CN"/>
        </w:rPr>
        <w:t>，以及最近两年上市的超长期特别国债</w:t>
      </w:r>
      <w:r>
        <w:rPr>
          <w:rFonts w:hint="eastAsia" w:ascii="仿宋" w:hAnsi="仿宋" w:eastAsia="仿宋" w:cs="仿宋"/>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2．地方政府债</w:t>
      </w:r>
      <w:r>
        <w:rPr>
          <w:rFonts w:hint="eastAsia" w:ascii="仿宋" w:hAnsi="仿宋" w:eastAsia="仿宋" w:cs="仿宋"/>
          <w:sz w:val="32"/>
          <w:szCs w:val="32"/>
          <w:lang w:eastAsia="zh-CN"/>
        </w:rPr>
        <w:t>以及</w:t>
      </w:r>
      <w:r>
        <w:rPr>
          <w:rFonts w:hint="eastAsia" w:ascii="仿宋" w:hAnsi="仿宋" w:eastAsia="仿宋" w:cs="仿宋"/>
          <w:sz w:val="32"/>
          <w:szCs w:val="32"/>
        </w:rPr>
        <w:t>政策性金融债：</w:t>
      </w:r>
      <w:r>
        <w:rPr>
          <w:rFonts w:hint="eastAsia" w:ascii="仿宋" w:hAnsi="仿宋" w:eastAsia="仿宋" w:cs="仿宋"/>
          <w:sz w:val="32"/>
          <w:szCs w:val="32"/>
          <w:highlight w:val="none"/>
        </w:rPr>
        <w:t>本所指定</w:t>
      </w:r>
      <w:r>
        <w:rPr>
          <w:rFonts w:hint="eastAsia" w:ascii="仿宋" w:hAnsi="仿宋" w:eastAsia="仿宋" w:cs="仿宋"/>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．政府支持债券：选取最新发行的</w:t>
      </w:r>
      <w:r>
        <w:rPr>
          <w:rFonts w:hint="eastAsia" w:ascii="仿宋" w:hAnsi="仿宋" w:eastAsia="仿宋" w:cs="仿宋"/>
          <w:sz w:val="32"/>
          <w:szCs w:val="32"/>
          <w:lang w:val="en-US" w:eastAsia="zh-CN"/>
        </w:rPr>
        <w:t>8</w:t>
      </w:r>
      <w:r>
        <w:rPr>
          <w:rFonts w:hint="eastAsia" w:ascii="仿宋" w:hAnsi="仿宋" w:eastAsia="仿宋" w:cs="仿宋"/>
          <w:sz w:val="32"/>
          <w:szCs w:val="32"/>
        </w:rPr>
        <w:t>只铁道债；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．公司债券</w:t>
      </w:r>
      <w:r>
        <w:rPr>
          <w:rFonts w:hint="eastAsia" w:ascii="仿宋" w:hAnsi="仿宋" w:eastAsia="仿宋" w:cs="仿宋"/>
          <w:sz w:val="32"/>
          <w:szCs w:val="32"/>
          <w:lang w:eastAsia="zh-CN"/>
        </w:rPr>
        <w:t>（含企业债券）</w:t>
      </w:r>
      <w:r>
        <w:rPr>
          <w:rFonts w:hint="eastAsia" w:ascii="仿宋" w:hAnsi="仿宋" w:eastAsia="仿宋" w:cs="仿宋"/>
          <w:sz w:val="32"/>
          <w:szCs w:val="32"/>
        </w:rPr>
        <w:t>：</w:t>
      </w:r>
      <w:r>
        <w:rPr>
          <w:rFonts w:hint="eastAsia" w:ascii="仿宋" w:hAnsi="仿宋" w:eastAsia="仿宋" w:cs="仿宋"/>
          <w:sz w:val="32"/>
          <w:szCs w:val="32"/>
          <w:lang w:eastAsia="zh-CN"/>
        </w:rPr>
        <w:t>同时满足以下条件的公募公司债券，</w:t>
      </w:r>
      <w:r>
        <w:rPr>
          <w:rFonts w:hint="eastAsia" w:ascii="仿宋" w:hAnsi="仿宋" w:eastAsia="仿宋" w:cs="仿宋"/>
          <w:sz w:val="32"/>
          <w:szCs w:val="32"/>
        </w:rPr>
        <w:t>暂不纳入可交换公司债券、上市公司公开发行的可转换公司债券等</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主体评级或者</w:t>
      </w:r>
      <w:r>
        <w:rPr>
          <w:rFonts w:hint="eastAsia" w:ascii="仿宋" w:hAnsi="仿宋" w:eastAsia="仿宋" w:cs="仿宋"/>
          <w:sz w:val="32"/>
          <w:szCs w:val="32"/>
        </w:rPr>
        <w:t>债项评级AAA</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存续规模1</w:t>
      </w:r>
      <w:r>
        <w:rPr>
          <w:rFonts w:hint="eastAsia" w:ascii="仿宋" w:hAnsi="仿宋" w:eastAsia="仿宋" w:cs="仿宋"/>
          <w:sz w:val="32"/>
          <w:szCs w:val="32"/>
          <w:lang w:val="en-US" w:eastAsia="zh-CN"/>
        </w:rPr>
        <w:t>0</w:t>
      </w:r>
      <w:r>
        <w:rPr>
          <w:rFonts w:hint="eastAsia" w:ascii="仿宋" w:hAnsi="仿宋" w:eastAsia="仿宋" w:cs="仿宋"/>
          <w:sz w:val="32"/>
          <w:szCs w:val="32"/>
        </w:rPr>
        <w:t>亿元</w:t>
      </w:r>
      <w:r>
        <w:rPr>
          <w:rFonts w:hint="eastAsia" w:ascii="仿宋" w:hAnsi="仿宋" w:eastAsia="仿宋" w:cs="仿宋"/>
          <w:sz w:val="32"/>
          <w:szCs w:val="32"/>
          <w:lang w:eastAsia="zh-CN"/>
        </w:rPr>
        <w:t>以上的公司债券，或者存续规模</w:t>
      </w:r>
      <w:r>
        <w:rPr>
          <w:rFonts w:hint="eastAsia" w:ascii="仿宋" w:hAnsi="仿宋" w:eastAsia="仿宋" w:cs="仿宋"/>
          <w:sz w:val="32"/>
          <w:szCs w:val="32"/>
          <w:lang w:val="en-US" w:eastAsia="zh-CN"/>
        </w:rPr>
        <w:t>5亿元以上</w:t>
      </w:r>
      <w:r>
        <w:rPr>
          <w:rFonts w:hint="eastAsia" w:ascii="仿宋" w:hAnsi="仿宋" w:eastAsia="仿宋" w:cs="仿宋"/>
          <w:sz w:val="32"/>
          <w:szCs w:val="32"/>
          <w:lang w:eastAsia="zh-CN"/>
        </w:rPr>
        <w:t>的科技创新公司债券、绿色公司债券、民营企业发行的公司债券；</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3）债券</w:t>
      </w:r>
      <w:r>
        <w:rPr>
          <w:rFonts w:hint="eastAsia" w:ascii="仿宋" w:hAnsi="仿宋" w:eastAsia="仿宋" w:cs="仿宋"/>
          <w:sz w:val="32"/>
          <w:szCs w:val="32"/>
        </w:rPr>
        <w:t>剩余期限</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3个月以上</w:t>
      </w:r>
      <w:r>
        <w:rPr>
          <w:rFonts w:hint="eastAsia" w:ascii="仿宋" w:hAnsi="仿宋" w:eastAsia="仿宋" w:cs="仿宋"/>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jc w:val="left"/>
        <w:rPr>
          <w:rFonts w:ascii="Times New Roman" w:hAnsi="Times New Roman" w:eastAsia="仿宋"/>
          <w:sz w:val="32"/>
          <w:szCs w:val="32"/>
        </w:rPr>
      </w:pPr>
      <w:r>
        <w:rPr>
          <w:rFonts w:hint="eastAsia" w:ascii="仿宋" w:hAnsi="仿宋" w:eastAsia="仿宋" w:cs="仿宋"/>
          <w:sz w:val="32"/>
          <w:szCs w:val="32"/>
        </w:rPr>
        <w:t>针对每月末不再符合要求的债券，本所将对其进行调出处理，并原则上设置1个月的“过渡期”安排，即于次月将相关债券正式调出基准做市债券清单，对处于“过渡期”内的债券开展做市业务计入评价范畴。基准做市债券清单中提前摘牌的债券将于当月末直接从清单中</w:t>
      </w:r>
      <w:r>
        <w:rPr>
          <w:rFonts w:hint="eastAsia" w:ascii="Times New Roman" w:hAnsi="Times New Roman" w:eastAsia="仿宋"/>
          <w:sz w:val="32"/>
          <w:szCs w:val="32"/>
        </w:rPr>
        <w:t>调出，不再设置上述“过渡期”安排。</w:t>
      </w:r>
    </w:p>
    <w:p>
      <w:pPr>
        <w:pStyle w:val="5"/>
        <w:spacing w:beforeLines="0" w:afterLines="0"/>
      </w:pPr>
      <w:r>
        <w:t>（</w:t>
      </w:r>
      <w:r>
        <w:rPr>
          <w:rFonts w:hint="eastAsia"/>
        </w:rPr>
        <w:t>三</w:t>
      </w:r>
      <w:r>
        <w:t>）</w:t>
      </w:r>
      <w:r>
        <w:rPr>
          <w:rFonts w:hint="eastAsia"/>
        </w:rPr>
        <w:t>一般做市品种</w:t>
      </w:r>
    </w:p>
    <w:p>
      <w:pPr>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一般做市商可以自行选定的做市品种对其在一定时期内开展做市业务，自选做市品种包含除可转债和</w:t>
      </w:r>
      <w:r>
        <w:rPr>
          <w:rFonts w:hint="eastAsia" w:ascii="Times New Roman" w:hAnsi="Times New Roman" w:eastAsia="仿宋"/>
          <w:sz w:val="32"/>
          <w:szCs w:val="32"/>
          <w:lang w:eastAsia="zh-CN"/>
        </w:rPr>
        <w:t>可</w:t>
      </w:r>
      <w:r>
        <w:rPr>
          <w:rFonts w:hint="eastAsia" w:ascii="Times New Roman" w:hAnsi="Times New Roman" w:eastAsia="仿宋"/>
          <w:sz w:val="32"/>
          <w:szCs w:val="32"/>
        </w:rPr>
        <w:t>交债以外的债券和资产支持证券。本所鼓励债券承销商为其承销的债券品种做市。</w:t>
      </w:r>
    </w:p>
    <w:p>
      <w:pPr>
        <w:pStyle w:val="3"/>
        <w:spacing w:beforeLines="0" w:afterLines="0"/>
      </w:pPr>
      <w:bookmarkStart w:id="12" w:name="_Toc123811073"/>
      <w:r>
        <w:rPr>
          <w:rFonts w:hint="eastAsia"/>
        </w:rPr>
        <w:t>三</w:t>
      </w:r>
      <w:r>
        <w:t>、</w:t>
      </w:r>
      <w:r>
        <w:rPr>
          <w:rFonts w:hint="eastAsia"/>
        </w:rPr>
        <w:t>做市信息披露</w:t>
      </w:r>
      <w:bookmarkEnd w:id="1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5" w:firstLineChars="0"/>
        <w:rPr>
          <w:rFonts w:ascii="Times New Roman" w:hAnsi="Times New Roman" w:eastAsia="仿宋"/>
          <w:sz w:val="32"/>
          <w:szCs w:val="32"/>
        </w:rPr>
      </w:pPr>
      <w:r>
        <w:rPr>
          <w:rFonts w:hint="eastAsia" w:ascii="仿宋" w:hAnsi="仿宋" w:eastAsia="仿宋"/>
          <w:sz w:val="32"/>
          <w:szCs w:val="32"/>
        </w:rPr>
        <w:t>本所通过</w:t>
      </w:r>
      <w:r>
        <w:rPr>
          <w:rFonts w:hint="eastAsia" w:ascii="仿宋" w:hAnsi="仿宋" w:eastAsia="仿宋"/>
          <w:color w:val="000000" w:themeColor="text1"/>
          <w:sz w:val="32"/>
          <w:szCs w:val="32"/>
          <w14:textFill>
            <w14:solidFill>
              <w14:schemeClr w14:val="tx1"/>
            </w14:solidFill>
          </w14:textFill>
        </w:rPr>
        <w:t>官网“固定收益信息平台</w:t>
      </w:r>
      <w:r>
        <w:rPr>
          <w:rFonts w:ascii="仿宋" w:hAnsi="仿宋" w:eastAsia="仿宋"/>
          <w:color w:val="000000" w:themeColor="text1"/>
          <w:sz w:val="32"/>
          <w:szCs w:val="32"/>
          <w14:textFill>
            <w14:solidFill>
              <w14:schemeClr w14:val="tx1"/>
            </w14:solidFill>
          </w14:textFill>
        </w:rPr>
        <w:t>-信息披露-交易参与信息-</w:t>
      </w:r>
      <w:r>
        <w:rPr>
          <w:rFonts w:hint="eastAsia" w:ascii="仿宋" w:hAnsi="仿宋" w:eastAsia="仿宋"/>
          <w:color w:val="000000" w:themeColor="text1"/>
          <w:sz w:val="32"/>
          <w:szCs w:val="32"/>
          <w14:textFill>
            <w14:solidFill>
              <w14:schemeClr w14:val="tx1"/>
            </w14:solidFill>
          </w14:textFill>
        </w:rPr>
        <w:t>机构名单</w:t>
      </w:r>
      <w:r>
        <w:rPr>
          <w:rFonts w:ascii="仿宋" w:hAnsi="仿宋" w:eastAsia="仿宋"/>
          <w:color w:val="000000" w:themeColor="text1"/>
          <w:sz w:val="32"/>
          <w:szCs w:val="32"/>
          <w14:textFill>
            <w14:solidFill>
              <w14:schemeClr w14:val="tx1"/>
            </w14:solidFill>
          </w14:textFill>
        </w:rPr>
        <w:t>-做市商”栏目</w:t>
      </w:r>
      <w:r>
        <w:rPr>
          <w:rFonts w:hint="eastAsia" w:ascii="Times New Roman" w:hAnsi="Times New Roman" w:eastAsia="仿宋"/>
          <w:sz w:val="32"/>
          <w:szCs w:val="32"/>
        </w:rPr>
        <w:t>披露本所做市商及其选定的做市债券信息；</w:t>
      </w:r>
      <w:r>
        <w:rPr>
          <w:rFonts w:hint="eastAsia" w:ascii="仿宋" w:hAnsi="仿宋" w:eastAsia="仿宋"/>
          <w:sz w:val="32"/>
          <w:szCs w:val="32"/>
        </w:rPr>
        <w:t>通过</w:t>
      </w:r>
      <w:r>
        <w:rPr>
          <w:rFonts w:hint="eastAsia" w:ascii="Times New Roman" w:hAnsi="Times New Roman" w:eastAsia="仿宋"/>
          <w:sz w:val="32"/>
          <w:szCs w:val="32"/>
        </w:rPr>
        <w:t>官网“固定收益信息平台</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信息披露</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交易参与信息</w:t>
      </w:r>
      <w:r>
        <w:rPr>
          <w:rFonts w:ascii="仿宋" w:hAnsi="仿宋" w:eastAsia="仿宋"/>
          <w:color w:val="000000" w:themeColor="text1"/>
          <w:sz w:val="32"/>
          <w:szCs w:val="32"/>
          <w14:textFill>
            <w14:solidFill>
              <w14:schemeClr w14:val="tx1"/>
            </w14:solidFill>
          </w14:textFill>
        </w:rPr>
        <w:t>-</w:t>
      </w:r>
      <w:r>
        <w:rPr>
          <w:rFonts w:hint="eastAsia" w:ascii="Times New Roman" w:hAnsi="Times New Roman" w:eastAsia="仿宋"/>
          <w:sz w:val="32"/>
          <w:szCs w:val="32"/>
        </w:rPr>
        <w:t>做市品种”栏目披露</w:t>
      </w:r>
      <w:r>
        <w:rPr>
          <w:rFonts w:hint="eastAsia" w:ascii="仿宋" w:hAnsi="仿宋" w:eastAsia="仿宋"/>
          <w:sz w:val="32"/>
          <w:szCs w:val="32"/>
        </w:rPr>
        <w:t>基准做市债券清单和本所做市商选取的做市债券汇总清单</w:t>
      </w:r>
      <w:r>
        <w:rPr>
          <w:rFonts w:hint="eastAsia" w:ascii="Times New Roman" w:hAnsi="Times New Roman" w:eastAsia="仿宋"/>
          <w:sz w:val="32"/>
          <w:szCs w:val="32"/>
        </w:rPr>
        <w:t>。</w:t>
      </w:r>
    </w:p>
    <w:p>
      <w:pPr>
        <w:pStyle w:val="2"/>
        <w:spacing w:before="0" w:beforeLines="0" w:after="0" w:afterLines="0"/>
        <w:rPr>
          <w:rFonts w:hint="eastAsia" w:ascii="黑体" w:hAnsi="黑体" w:eastAsia="黑体" w:cs="黑体"/>
          <w:b w:val="0"/>
          <w:bCs w:val="0"/>
        </w:rPr>
      </w:pPr>
      <w:bookmarkStart w:id="13" w:name="_Toc123811074"/>
      <w:r>
        <w:rPr>
          <w:rFonts w:hint="eastAsia" w:ascii="黑体" w:hAnsi="黑体" w:eastAsia="黑体" w:cs="黑体"/>
          <w:b w:val="0"/>
          <w:bCs w:val="0"/>
        </w:rPr>
        <w:t>第三章 债券做市业务申请和管理</w:t>
      </w:r>
      <w:bookmarkEnd w:id="13"/>
    </w:p>
    <w:p>
      <w:pPr>
        <w:pStyle w:val="3"/>
        <w:spacing w:beforeLines="0" w:afterLines="0"/>
      </w:pPr>
      <w:bookmarkStart w:id="14" w:name="_Toc123811075"/>
      <w:r>
        <w:rPr>
          <w:rFonts w:hint="eastAsia"/>
        </w:rPr>
        <w:t>一</w:t>
      </w:r>
      <w:r>
        <w:t>、</w:t>
      </w:r>
      <w:r>
        <w:rPr>
          <w:rFonts w:hint="eastAsia"/>
        </w:rPr>
        <w:t>申请前的准备</w:t>
      </w:r>
      <w:bookmarkEnd w:id="14"/>
    </w:p>
    <w:p>
      <w:pPr>
        <w:pStyle w:val="5"/>
        <w:spacing w:beforeLines="0" w:afterLines="0"/>
      </w:pPr>
      <w:r>
        <w:t>（</w:t>
      </w:r>
      <w:r>
        <w:rPr>
          <w:rFonts w:hint="eastAsia"/>
        </w:rPr>
        <w:t>一</w:t>
      </w:r>
      <w:r>
        <w:t>）</w:t>
      </w:r>
      <w:r>
        <w:rPr>
          <w:rFonts w:hint="eastAsia"/>
        </w:rPr>
        <w:t>登录固收专区</w:t>
      </w:r>
    </w:p>
    <w:p>
      <w:pPr>
        <w:pStyle w:val="27"/>
        <w:widowControl w:val="0"/>
        <w:shd w:val="clear" w:color="auto" w:fill="FFFFFF"/>
        <w:spacing w:before="0" w:beforeLines="0" w:beforeAutospacing="0" w:after="0" w:afterLines="0" w:afterAutospacing="0" w:line="560" w:lineRule="exact"/>
        <w:ind w:firstLine="640"/>
        <w:jc w:val="both"/>
        <w:rPr>
          <w:rFonts w:hint="eastAsia" w:ascii="仿宋" w:hAnsi="仿宋" w:eastAsia="仿宋" w:cs="仿宋"/>
          <w:sz w:val="32"/>
          <w:szCs w:val="32"/>
          <w:u w:val="none"/>
        </w:rPr>
      </w:pPr>
      <w:r>
        <w:rPr>
          <w:rFonts w:hint="eastAsia" w:ascii="Times New Roman" w:hAnsi="Times New Roman" w:eastAsia="仿宋" w:cs="Times New Roman"/>
          <w:sz w:val="32"/>
          <w:szCs w:val="32"/>
        </w:rPr>
        <w:t>做市商需</w:t>
      </w:r>
      <w:r>
        <w:rPr>
          <w:rFonts w:ascii="Times New Roman" w:hAnsi="Times New Roman" w:eastAsia="仿宋" w:cs="Times New Roman"/>
          <w:sz w:val="32"/>
          <w:szCs w:val="32"/>
        </w:rPr>
        <w:t>使</w:t>
      </w:r>
      <w:r>
        <w:rPr>
          <w:rFonts w:hint="eastAsia" w:ascii="仿宋" w:hAnsi="仿宋" w:eastAsia="仿宋" w:cs="仿宋"/>
          <w:sz w:val="32"/>
          <w:szCs w:val="32"/>
          <w:u w:val="none"/>
        </w:rPr>
        <w:t>用本所会员业务专区数字证书（M类数字证书）通过</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"https://biz.szse.cn/fic" </w:instrText>
      </w:r>
      <w:r>
        <w:rPr>
          <w:rFonts w:hint="eastAsia" w:ascii="仿宋" w:hAnsi="仿宋" w:eastAsia="仿宋" w:cs="仿宋"/>
          <w:color w:val="auto"/>
          <w:sz w:val="32"/>
          <w:szCs w:val="32"/>
          <w:u w:val="none"/>
        </w:rPr>
        <w:fldChar w:fldCharType="separate"/>
      </w:r>
      <w:r>
        <w:rPr>
          <w:rStyle w:val="35"/>
          <w:rFonts w:hint="eastAsia" w:ascii="仿宋" w:hAnsi="仿宋" w:eastAsia="仿宋" w:cs="仿宋"/>
          <w:color w:val="auto"/>
          <w:sz w:val="32"/>
          <w:szCs w:val="32"/>
          <w:u w:val="none"/>
        </w:rPr>
        <w:t>https://biz.szse.cn/fic</w:t>
      </w:r>
      <w:r>
        <w:rPr>
          <w:rStyle w:val="35"/>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登录固收专区，通过“债券做市”专栏办理做市业务申请、做市业务变更、做市业务暂停/恢复/终止等业务。做市商需新</w:t>
      </w:r>
      <w:r>
        <w:rPr>
          <w:rFonts w:hint="eastAsia" w:ascii="仿宋" w:hAnsi="仿宋" w:eastAsia="仿宋" w:cs="仿宋"/>
          <w:sz w:val="32"/>
          <w:szCs w:val="32"/>
          <w:u w:val="none"/>
        </w:rPr>
        <w:t>增、补办、更新数字证书的，应当通过本所官网“市场服务-信息服务-CA服务”栏目根据相关要求进行办理。</w:t>
      </w:r>
    </w:p>
    <w:p>
      <w:pPr>
        <w:pStyle w:val="5"/>
        <w:spacing w:beforeLines="0" w:afterLines="0"/>
        <w:ind w:firstLine="707" w:firstLineChars="221"/>
      </w:pPr>
      <w:r>
        <w:t>（</w:t>
      </w:r>
      <w:r>
        <w:rPr>
          <w:rFonts w:hint="eastAsia"/>
        </w:rPr>
        <w:t>二</w:t>
      </w:r>
      <w:r>
        <w:t>）</w:t>
      </w:r>
      <w:r>
        <w:rPr>
          <w:rFonts w:hint="eastAsia"/>
        </w:rPr>
        <w:t>报备做市专用证券账户信息</w:t>
      </w:r>
    </w:p>
    <w:p>
      <w:pPr>
        <w:pStyle w:val="27"/>
        <w:widowControl w:val="0"/>
        <w:shd w:val="clear" w:color="auto" w:fill="FFFFFF"/>
        <w:spacing w:before="0" w:beforeLines="0" w:beforeAutospacing="0" w:after="0" w:afterLines="0" w:afterAutospacing="0" w:line="560" w:lineRule="exact"/>
        <w:ind w:firstLine="640"/>
        <w:jc w:val="both"/>
        <w:rPr>
          <w:rFonts w:ascii="Times New Roman" w:hAnsi="Times New Roman" w:eastAsia="仿宋"/>
        </w:rPr>
      </w:pPr>
      <w:r>
        <w:rPr>
          <w:rFonts w:hint="eastAsia" w:ascii="Times New Roman" w:hAnsi="Times New Roman" w:eastAsia="仿宋"/>
          <w:sz w:val="32"/>
          <w:szCs w:val="32"/>
        </w:rPr>
        <w:t>提交做市</w:t>
      </w:r>
      <w:r>
        <w:rPr>
          <w:rFonts w:hint="eastAsia" w:ascii="仿宋" w:hAnsi="仿宋" w:eastAsia="仿宋" w:cs="仿宋"/>
          <w:sz w:val="32"/>
          <w:szCs w:val="32"/>
        </w:rPr>
        <w:t>业务申请前，做市商应当根据《深圳证券交易所债券交易业务指南第1号——账户信息报备》规定，通过固收专区完成做市专用证券账户的信息</w:t>
      </w:r>
      <w:r>
        <w:rPr>
          <w:rFonts w:hint="eastAsia" w:ascii="Times New Roman" w:hAnsi="Times New Roman" w:eastAsia="仿宋"/>
          <w:sz w:val="32"/>
          <w:szCs w:val="32"/>
        </w:rPr>
        <w:t>报备工作。</w:t>
      </w:r>
    </w:p>
    <w:p>
      <w:pPr>
        <w:pStyle w:val="3"/>
        <w:spacing w:beforeLines="0" w:afterLines="0"/>
        <w:ind w:firstLine="707" w:firstLineChars="221"/>
      </w:pPr>
      <w:bookmarkStart w:id="15" w:name="_Toc123811076"/>
      <w:r>
        <w:rPr>
          <w:rFonts w:hint="eastAsia"/>
        </w:rPr>
        <w:t>二</w:t>
      </w:r>
      <w:r>
        <w:t>、</w:t>
      </w:r>
      <w:r>
        <w:rPr>
          <w:rFonts w:hint="eastAsia"/>
        </w:rPr>
        <w:t>做市业务申请</w:t>
      </w:r>
      <w:bookmarkEnd w:id="15"/>
    </w:p>
    <w:p>
      <w:pPr>
        <w:pStyle w:val="5"/>
        <w:spacing w:beforeLines="0" w:afterLines="0"/>
        <w:ind w:firstLine="707" w:firstLineChars="221"/>
      </w:pPr>
      <w:bookmarkStart w:id="16" w:name="_Toc113106159"/>
      <w:bookmarkStart w:id="17" w:name="_Toc5193299"/>
      <w:bookmarkStart w:id="18" w:name="_Toc113106585"/>
      <w:bookmarkStart w:id="19" w:name="_Toc109755398"/>
      <w:r>
        <w:t>（</w:t>
      </w:r>
      <w:r>
        <w:rPr>
          <w:rFonts w:hint="eastAsia"/>
        </w:rPr>
        <w:t>一</w:t>
      </w:r>
      <w:r>
        <w:t>）</w:t>
      </w:r>
      <w:r>
        <w:rPr>
          <w:rFonts w:hint="eastAsia"/>
        </w:rPr>
        <w:t>做市商</w:t>
      </w:r>
      <w:bookmarkEnd w:id="16"/>
      <w:bookmarkEnd w:id="17"/>
      <w:bookmarkEnd w:id="18"/>
      <w:bookmarkEnd w:id="19"/>
      <w:r>
        <w:rPr>
          <w:rFonts w:hint="eastAsia"/>
        </w:rPr>
        <w:t>报送材料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1．债券交易参与人拟成为主做市商的，应当向本所报送以下材料：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（1）《基准做市实施方案》（附件1），含做市证券账户及拟基准做市品种信息等；</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（2）《关于债券做市业务准备情况的专项说明》（附件2），含专项说明附件2-1和附件2-2；</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（3）已取得上市证券做市交易业务资格的支持性文件、经营许可证等（证券公司适用）；</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（4）本所规定的其他文件。</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2．债券交易参与人拟成为一般做市商的，应当向本所报送以下材料：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（1）《一般做市业务报备表》（附件3），含做市证券账户及拟自选做市品种信息等；</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 xml:space="preserve">（2）《关于债券做市业务准备情况的专项说明》（附件2），含专项说明附件2-1和附件2-2； </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（3）已取得上市证券做市交易业务资格的支持性文件、经营许可证等（证券公司适用）；</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（4）本所规定的其他文件。</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本所将对报送材料进行审慎评估，并将视情况通过要求补充说明、汇报座谈、专家评议、技术验收及测试等方式评估</w:t>
      </w:r>
      <w:r>
        <w:rPr>
          <w:rFonts w:hint="eastAsia" w:ascii="仿宋" w:hAnsi="仿宋" w:eastAsia="仿宋" w:cs="仿宋"/>
          <w:sz w:val="32"/>
          <w:szCs w:val="32"/>
        </w:rPr>
        <w:t>债券交易参与人的债券</w:t>
      </w:r>
      <w:r>
        <w:rPr>
          <w:rFonts w:hint="eastAsia" w:ascii="仿宋" w:hAnsi="仿宋" w:eastAsia="仿宋" w:cs="仿宋"/>
          <w:color w:val="000000" w:themeColor="text1"/>
          <w:sz w:val="32"/>
          <w:szCs w:val="32"/>
          <w14:textFill>
            <w14:solidFill>
              <w14:schemeClr w14:val="tx1"/>
            </w14:solidFill>
          </w14:textFill>
        </w:rPr>
        <w:t>做市业务准备情况。</w:t>
      </w:r>
    </w:p>
    <w:p>
      <w:pPr>
        <w:pStyle w:val="5"/>
        <w:spacing w:beforeLines="0" w:afterLines="0"/>
        <w:ind w:firstLine="707" w:firstLineChars="221"/>
      </w:pPr>
      <w:r>
        <w:t>（</w:t>
      </w:r>
      <w:r>
        <w:rPr>
          <w:rFonts w:hint="eastAsia"/>
        </w:rPr>
        <w:t>二</w:t>
      </w:r>
      <w:r>
        <w:t>）</w:t>
      </w:r>
      <w:r>
        <w:rPr>
          <w:rFonts w:hint="eastAsia"/>
        </w:rPr>
        <w:t>申请提交方式</w:t>
      </w:r>
    </w:p>
    <w:p>
      <w:pPr>
        <w:spacing w:beforeLines="0" w:afterLines="0" w:line="560" w:lineRule="exact"/>
        <w:ind w:firstLine="707" w:firstLineChars="221"/>
        <w:rPr>
          <w:rFonts w:hint="eastAsia" w:ascii="仿宋" w:hAnsi="仿宋" w:eastAsia="仿宋" w:cs="仿宋"/>
          <w:sz w:val="32"/>
          <w:szCs w:val="32"/>
        </w:rPr>
      </w:pPr>
      <w:r>
        <w:rPr>
          <w:rFonts w:ascii="Times New Roman" w:hAnsi="Times New Roman" w:eastAsia="仿宋"/>
          <w:sz w:val="32"/>
          <w:szCs w:val="32"/>
        </w:rPr>
        <w:t>拟开展做市业务的债券交易参与人应当</w:t>
      </w:r>
      <w:r>
        <w:rPr>
          <w:rFonts w:hint="eastAsia" w:ascii="Times New Roman" w:hAnsi="Times New Roman" w:eastAsia="仿宋"/>
          <w:sz w:val="32"/>
          <w:szCs w:val="32"/>
        </w:rPr>
        <w:t>通过固收专区“债券做市</w:t>
      </w:r>
      <w:r>
        <w:rPr>
          <w:rFonts w:hint="eastAsia" w:ascii="仿宋" w:hAnsi="仿宋" w:eastAsia="仿宋" w:cs="仿宋"/>
          <w:sz w:val="32"/>
          <w:szCs w:val="32"/>
        </w:rPr>
        <w:t>-做市业务申请”栏目提交上述报送材料。</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拟申请成为主做市商的，应当在“做市业务类型”中同时选择“基准做市业务”和“一般做市业务”，并从基准做市债券清单中选择至少5只政府债券和政策性金融债、至少10只公司债券作为基准做市品种；主做市商不开展一般做市业务的，无需选择自选做市品种。</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拟申请成为一般做市商</w:t>
      </w:r>
      <w:r>
        <w:rPr>
          <w:rFonts w:hint="eastAsia" w:ascii="Times New Roman" w:hAnsi="Times New Roman" w:eastAsia="仿宋"/>
          <w:sz w:val="32"/>
          <w:szCs w:val="32"/>
        </w:rPr>
        <w:t>的，应当在“做市业务类型”中仅选择“一般做</w:t>
      </w:r>
      <w:r>
        <w:rPr>
          <w:rFonts w:hint="eastAsia" w:ascii="仿宋" w:hAnsi="仿宋" w:eastAsia="仿宋" w:cs="仿宋"/>
          <w:sz w:val="32"/>
          <w:szCs w:val="32"/>
        </w:rPr>
        <w:t>市业务”，并选择至少1只证券作为自选做市品种。</w:t>
      </w:r>
    </w:p>
    <w:p>
      <w:pPr>
        <w:spacing w:beforeLines="0" w:afterLines="0"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一般做市商拟变更为主做市商的，应当符合主做市商相关要求，并通过固收专区“债券做市-做市业务申请”栏目提交报送材料，申请页面中“做市业务类型”增加勾选“基准做市业务”并上传主做市商的相关材料。</w:t>
      </w:r>
    </w:p>
    <w:p>
      <w:pPr>
        <w:spacing w:beforeLines="0" w:afterLines="0" w:line="560" w:lineRule="exact"/>
        <w:ind w:firstLine="707" w:firstLineChars="221"/>
        <w:rPr>
          <w:rFonts w:ascii="Times New Roman" w:hAnsi="Times New Roman" w:eastAsia="仿宋"/>
          <w:sz w:val="32"/>
          <w:szCs w:val="32"/>
        </w:rPr>
      </w:pPr>
      <w:r>
        <w:rPr>
          <w:rFonts w:hint="eastAsia" w:ascii="仿宋" w:hAnsi="仿宋" w:eastAsia="仿宋" w:cs="仿宋"/>
          <w:color w:val="000000" w:themeColor="text1"/>
          <w:sz w:val="32"/>
          <w:szCs w:val="32"/>
          <w14:textFill>
            <w14:solidFill>
              <w14:schemeClr w14:val="tx1"/>
            </w14:solidFill>
          </w14:textFill>
        </w:rPr>
        <w:t>本所将于2个交易日内受理</w:t>
      </w:r>
      <w:r>
        <w:rPr>
          <w:rFonts w:hint="eastAsia" w:ascii="仿宋" w:hAnsi="仿宋" w:eastAsia="仿宋" w:cs="仿宋"/>
          <w:sz w:val="32"/>
          <w:szCs w:val="32"/>
        </w:rPr>
        <w:t>做市业务申请</w:t>
      </w:r>
      <w:r>
        <w:rPr>
          <w:rFonts w:hint="eastAsia" w:ascii="仿宋" w:hAnsi="仿宋" w:eastAsia="仿宋" w:cs="仿宋"/>
          <w:color w:val="000000" w:themeColor="text1"/>
          <w:sz w:val="32"/>
          <w:szCs w:val="32"/>
          <w14:textFill>
            <w14:solidFill>
              <w14:schemeClr w14:val="tx1"/>
            </w14:solidFill>
          </w14:textFill>
        </w:rPr>
        <w:t>，并在受理后5个交易日内</w:t>
      </w:r>
      <w:r>
        <w:rPr>
          <w:rFonts w:hint="eastAsia" w:ascii="仿宋" w:hAnsi="仿宋" w:eastAsia="仿宋" w:cs="仿宋"/>
          <w:sz w:val="32"/>
          <w:szCs w:val="32"/>
        </w:rPr>
        <w:t>反馈主做市商业务申请结果、</w:t>
      </w:r>
      <w:r>
        <w:rPr>
          <w:rFonts w:hint="eastAsia" w:ascii="仿宋" w:hAnsi="仿宋" w:eastAsia="仿宋" w:cs="仿宋"/>
          <w:color w:val="000000" w:themeColor="text1"/>
          <w:sz w:val="32"/>
          <w:szCs w:val="32"/>
          <w14:textFill>
            <w14:solidFill>
              <w14:schemeClr w14:val="tx1"/>
            </w14:solidFill>
          </w14:textFill>
        </w:rPr>
        <w:t>受理后</w:t>
      </w:r>
      <w:r>
        <w:rPr>
          <w:rFonts w:hint="eastAsia" w:ascii="仿宋" w:hAnsi="仿宋" w:eastAsia="仿宋" w:cs="仿宋"/>
          <w:sz w:val="32"/>
          <w:szCs w:val="32"/>
        </w:rPr>
        <w:t>2个交易日内反馈</w:t>
      </w:r>
      <w:r>
        <w:rPr>
          <w:rFonts w:hint="eastAsia" w:ascii="仿宋" w:hAnsi="仿宋" w:eastAsia="仿宋" w:cs="仿宋"/>
          <w:color w:val="000000" w:themeColor="text1"/>
          <w:sz w:val="32"/>
          <w:szCs w:val="32"/>
          <w14:textFill>
            <w14:solidFill>
              <w14:schemeClr w14:val="tx1"/>
            </w14:solidFill>
          </w14:textFill>
        </w:rPr>
        <w:t>一般做市商业务申请</w:t>
      </w:r>
      <w:r>
        <w:rPr>
          <w:rFonts w:hint="eastAsia" w:ascii="仿宋" w:hAnsi="仿宋" w:eastAsia="仿宋" w:cs="仿宋"/>
          <w:sz w:val="32"/>
          <w:szCs w:val="32"/>
        </w:rPr>
        <w:t>结果</w:t>
      </w:r>
      <w:r>
        <w:rPr>
          <w:rFonts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申请机构可在固收专区“做市业务申请”栏目查看业务申请记录、进度及结果。</w:t>
      </w:r>
    </w:p>
    <w:p>
      <w:pPr>
        <w:pStyle w:val="3"/>
        <w:spacing w:beforeLines="0" w:afterLines="0"/>
        <w:ind w:firstLine="707" w:firstLineChars="221"/>
      </w:pPr>
      <w:bookmarkStart w:id="20" w:name="_Toc123811077"/>
      <w:r>
        <w:rPr>
          <w:rFonts w:hint="eastAsia"/>
        </w:rPr>
        <w:t>三、做市业务变更申请</w:t>
      </w:r>
      <w:bookmarkEnd w:id="20"/>
    </w:p>
    <w:p>
      <w:pPr>
        <w:pStyle w:val="5"/>
        <w:spacing w:beforeLines="0" w:afterLines="0"/>
      </w:pPr>
      <w:r>
        <w:t>（</w:t>
      </w:r>
      <w:r>
        <w:rPr>
          <w:rFonts w:hint="eastAsia"/>
        </w:rPr>
        <w:t>一</w:t>
      </w:r>
      <w:r>
        <w:t>）</w:t>
      </w:r>
      <w:r>
        <w:rPr>
          <w:rFonts w:hint="eastAsia"/>
        </w:rPr>
        <w:t>做市账户、做市证券变更申请</w:t>
      </w:r>
    </w:p>
    <w:p>
      <w:pPr>
        <w:snapToGrid w:val="0"/>
        <w:spacing w:beforeLines="0" w:afterLines="0" w:line="560" w:lineRule="exact"/>
        <w:ind w:firstLine="645" w:firstLineChars="0"/>
        <w:rPr>
          <w:rFonts w:hint="eastAsia" w:ascii="仿宋" w:hAnsi="仿宋" w:eastAsia="仿宋" w:cs="仿宋"/>
          <w:sz w:val="32"/>
          <w:szCs w:val="32"/>
        </w:rPr>
      </w:pPr>
      <w:r>
        <w:rPr>
          <w:rFonts w:ascii="Times New Roman" w:hAnsi="Times New Roman" w:eastAsia="仿宋"/>
          <w:color w:val="000000" w:themeColor="text1"/>
          <w:sz w:val="32"/>
          <w:szCs w:val="32"/>
          <w14:textFill>
            <w14:solidFill>
              <w14:schemeClr w14:val="tx1"/>
            </w14:solidFill>
          </w14:textFill>
        </w:rPr>
        <w:t>做市商拟变更做市专用证券账户</w:t>
      </w:r>
      <w:r>
        <w:rPr>
          <w:rFonts w:hint="eastAsia"/>
        </w:rPr>
        <w:t>或做市证券</w:t>
      </w:r>
      <w:r>
        <w:rPr>
          <w:rFonts w:ascii="Times New Roman" w:hAnsi="Times New Roman" w:eastAsia="仿宋"/>
          <w:color w:val="000000" w:themeColor="text1"/>
          <w:sz w:val="32"/>
          <w:szCs w:val="32"/>
          <w14:textFill>
            <w14:solidFill>
              <w14:schemeClr w14:val="tx1"/>
            </w14:solidFill>
          </w14:textFill>
        </w:rPr>
        <w:t>的，</w:t>
      </w:r>
      <w:r>
        <w:rPr>
          <w:rFonts w:ascii="Times New Roman" w:hAnsi="Times New Roman" w:eastAsia="仿宋"/>
          <w:sz w:val="32"/>
          <w:szCs w:val="32"/>
        </w:rPr>
        <w:t>应当</w:t>
      </w:r>
      <w:r>
        <w:rPr>
          <w:rFonts w:hint="eastAsia" w:ascii="Times New Roman" w:hAnsi="Times New Roman" w:eastAsia="仿宋"/>
          <w:sz w:val="32"/>
          <w:szCs w:val="32"/>
        </w:rPr>
        <w:t>通过固收专区“债券做市</w:t>
      </w:r>
      <w:r>
        <w:rPr>
          <w:rFonts w:hint="eastAsia" w:ascii="仿宋" w:hAnsi="仿宋" w:eastAsia="仿宋" w:cs="仿宋"/>
          <w:sz w:val="32"/>
          <w:szCs w:val="32"/>
        </w:rPr>
        <w:t>-做市变更申请”栏目提交申请。做市账户、做市证券变更的申请需在当日17:00之前提交，变更申请于下一交易日生效。做市商每季度内原则上最多可以进行一次账户变更。</w:t>
      </w:r>
    </w:p>
    <w:p>
      <w:pPr>
        <w:pStyle w:val="5"/>
        <w:spacing w:beforeLines="0" w:afterLines="0"/>
      </w:pPr>
      <w:r>
        <w:t>（</w:t>
      </w:r>
      <w:r>
        <w:rPr>
          <w:rFonts w:hint="eastAsia"/>
        </w:rPr>
        <w:t>二</w:t>
      </w:r>
      <w:r>
        <w:t>）</w:t>
      </w:r>
      <w:r>
        <w:rPr>
          <w:rFonts w:hint="eastAsia"/>
        </w:rPr>
        <w:t>做市商信息变更申请</w:t>
      </w:r>
    </w:p>
    <w:p>
      <w:pPr>
        <w:adjustRightInd w:val="0"/>
        <w:snapToGrid w:val="0"/>
        <w:spacing w:beforeLines="0" w:afterLines="0" w:line="560" w:lineRule="exact"/>
        <w:ind w:firstLine="640" w:firstLineChars="200"/>
        <w:rPr>
          <w:rFonts w:ascii="Times New Roman" w:hAnsi="Times New Roman" w:eastAsia="仿宋"/>
          <w:sz w:val="32"/>
          <w:szCs w:val="32"/>
        </w:rPr>
      </w:pPr>
      <w:r>
        <w:rPr>
          <w:rFonts w:ascii="Times New Roman" w:hAnsi="Times New Roman" w:eastAsia="仿宋"/>
          <w:color w:val="000000" w:themeColor="text1"/>
          <w:sz w:val="32"/>
          <w:szCs w:val="32"/>
          <w14:textFill>
            <w14:solidFill>
              <w14:schemeClr w14:val="tx1"/>
            </w14:solidFill>
          </w14:textFill>
        </w:rPr>
        <w:t>债券</w:t>
      </w:r>
      <w:r>
        <w:rPr>
          <w:rFonts w:hint="eastAsia" w:ascii="仿宋" w:hAnsi="仿宋" w:eastAsia="仿宋" w:cs="仿宋"/>
          <w:color w:val="000000" w:themeColor="text1"/>
          <w:sz w:val="32"/>
          <w:szCs w:val="32"/>
          <w14:textFill>
            <w14:solidFill>
              <w14:schemeClr w14:val="tx1"/>
            </w14:solidFill>
          </w14:textFill>
        </w:rPr>
        <w:t>交易参与人机构信息发生变更的，相应做市商信息同步变更，无需另行报送。做市商拟变更机构信息、证券账户以及做市债券信息以外信息的，应当基于</w:t>
      </w:r>
      <w:r>
        <w:rPr>
          <w:rFonts w:hint="eastAsia" w:ascii="仿宋" w:hAnsi="仿宋" w:eastAsia="仿宋" w:cs="仿宋"/>
          <w:sz w:val="32"/>
          <w:szCs w:val="32"/>
        </w:rPr>
        <w:t>固收专区“债券做市-做市业务申请”栏目的申请记录提交修改申请，同时上传</w:t>
      </w:r>
      <w:r>
        <w:rPr>
          <w:rFonts w:hint="eastAsia" w:ascii="仿宋" w:hAnsi="仿宋" w:eastAsia="仿宋" w:cs="仿宋"/>
          <w:color w:val="000000" w:themeColor="text1"/>
          <w:sz w:val="32"/>
          <w:szCs w:val="32"/>
          <w14:textFill>
            <w14:solidFill>
              <w14:schemeClr w14:val="tx1"/>
            </w14:solidFill>
          </w14:textFill>
        </w:rPr>
        <w:t>更新后的《</w:t>
      </w:r>
      <w:r>
        <w:rPr>
          <w:rFonts w:hint="eastAsia" w:ascii="仿宋" w:hAnsi="仿宋" w:eastAsia="仿宋" w:cs="仿宋"/>
          <w:sz w:val="32"/>
          <w:szCs w:val="32"/>
        </w:rPr>
        <w:t>基准做市实施方案》（附件1）或者《一般做市业务报备表》（附件3）以及变更情况说明。</w:t>
      </w:r>
    </w:p>
    <w:p>
      <w:pPr>
        <w:pStyle w:val="3"/>
        <w:spacing w:beforeLines="0" w:afterLines="0"/>
        <w:ind w:firstLine="707" w:firstLineChars="221"/>
      </w:pPr>
      <w:bookmarkStart w:id="21" w:name="_Toc123811078"/>
      <w:r>
        <w:rPr>
          <w:rFonts w:hint="eastAsia"/>
        </w:rPr>
        <w:t>四、暂停做市业务</w:t>
      </w:r>
      <w:bookmarkEnd w:id="2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根据《交易规则》《做市指引》相关规定，出现下列第一项或者第二项情形的，做市商可以暂停对应债券品种的做市业务，出现下列第三项或者第四项情形的，做市商可以暂停开展做市业务：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（一）</w:t>
      </w:r>
      <w:r>
        <w:rPr>
          <w:rFonts w:ascii="Times New Roman" w:hAnsi="Times New Roman" w:eastAsia="仿宋"/>
          <w:sz w:val="32"/>
          <w:szCs w:val="32"/>
        </w:rPr>
        <w:t>做市品种被停牌的；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（二）</w:t>
      </w:r>
      <w:r>
        <w:rPr>
          <w:rFonts w:ascii="Times New Roman" w:hAnsi="Times New Roman" w:eastAsia="仿宋"/>
          <w:sz w:val="32"/>
          <w:szCs w:val="32"/>
        </w:rPr>
        <w:t>做市品种的交易价格出现异常波动的；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（三）</w:t>
      </w:r>
      <w:r>
        <w:rPr>
          <w:rFonts w:ascii="Times New Roman" w:hAnsi="Times New Roman" w:eastAsia="仿宋"/>
          <w:sz w:val="32"/>
          <w:szCs w:val="32"/>
        </w:rPr>
        <w:t>因不可抗力或者意外事件而无法正常开展做市业务的；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本所认定的其他难以持续开展做市业务的情形。</w:t>
      </w:r>
    </w:p>
    <w:p>
      <w:pPr>
        <w:snapToGrid w:val="0"/>
        <w:spacing w:beforeLines="0" w:afterLines="0" w:line="560" w:lineRule="exact"/>
        <w:ind w:firstLine="640"/>
        <w:rPr>
          <w:rFonts w:ascii="仿宋" w:hAnsi="仿宋" w:eastAsia="仿宋"/>
          <w:sz w:val="32"/>
          <w:szCs w:val="32"/>
        </w:rPr>
      </w:pPr>
      <w:r>
        <w:rPr>
          <w:rFonts w:ascii="Times New Roman" w:hAnsi="Times New Roman" w:eastAsia="仿宋"/>
          <w:sz w:val="32"/>
          <w:szCs w:val="32"/>
        </w:rPr>
        <w:t>出现上述第一项情形的，做市商无需另行提交暂停对应</w:t>
      </w:r>
      <w:r>
        <w:rPr>
          <w:rFonts w:hint="eastAsia" w:ascii="Times New Roman" w:hAnsi="Times New Roman" w:eastAsia="仿宋"/>
          <w:sz w:val="32"/>
          <w:szCs w:val="32"/>
        </w:rPr>
        <w:t>债券</w:t>
      </w:r>
      <w:r>
        <w:rPr>
          <w:rFonts w:ascii="Times New Roman" w:hAnsi="Times New Roman" w:eastAsia="仿宋"/>
          <w:sz w:val="32"/>
          <w:szCs w:val="32"/>
        </w:rPr>
        <w:t>品种做市业务的申请</w:t>
      </w:r>
      <w:r>
        <w:rPr>
          <w:rFonts w:hint="eastAsia" w:ascii="Times New Roman" w:hAnsi="Times New Roman" w:eastAsia="仿宋"/>
          <w:sz w:val="32"/>
          <w:szCs w:val="32"/>
        </w:rPr>
        <w:t>。</w:t>
      </w:r>
      <w:r>
        <w:rPr>
          <w:rFonts w:ascii="Times New Roman" w:hAnsi="Times New Roman" w:eastAsia="仿宋"/>
          <w:sz w:val="32"/>
          <w:szCs w:val="32"/>
        </w:rPr>
        <w:t>做市商出现除第一项以外的其他情形且确需暂停做市业务</w:t>
      </w:r>
      <w:r>
        <w:rPr>
          <w:rFonts w:hint="eastAsia" w:ascii="Times New Roman" w:hAnsi="Times New Roman" w:eastAsia="仿宋"/>
          <w:sz w:val="32"/>
          <w:szCs w:val="32"/>
        </w:rPr>
        <w:t>的</w:t>
      </w:r>
      <w:r>
        <w:rPr>
          <w:rFonts w:ascii="Times New Roman" w:hAnsi="Times New Roman" w:eastAsia="仿宋"/>
          <w:sz w:val="32"/>
          <w:szCs w:val="32"/>
        </w:rPr>
        <w:t>，应当</w:t>
      </w:r>
      <w:r>
        <w:rPr>
          <w:rFonts w:hint="eastAsia" w:ascii="Times New Roman" w:hAnsi="Times New Roman" w:eastAsia="仿宋"/>
          <w:sz w:val="32"/>
          <w:szCs w:val="32"/>
        </w:rPr>
        <w:t>通过固收专区“债券做市-做市暂停申请”栏目提交相关材料，申请页面中“暂停业务类型”需选择“暂停做市业务”或者“暂停特定品种做市业务”，并明确暂停生效时间，同时上传</w:t>
      </w:r>
      <w:r>
        <w:rPr>
          <w:rFonts w:ascii="Times New Roman" w:hAnsi="Times New Roman" w:eastAsia="仿宋"/>
          <w:sz w:val="32"/>
          <w:szCs w:val="32"/>
        </w:rPr>
        <w:t>《暂停做市业务申请表》（附件</w:t>
      </w:r>
      <w:r>
        <w:rPr>
          <w:rFonts w:hint="eastAsia" w:ascii="Times New Roman" w:hAnsi="Times New Roman" w:eastAsia="仿宋"/>
          <w:sz w:val="32"/>
          <w:szCs w:val="32"/>
        </w:rPr>
        <w:t>4</w:t>
      </w:r>
      <w:r>
        <w:rPr>
          <w:rFonts w:ascii="Times New Roman" w:hAnsi="Times New Roman" w:eastAsia="仿宋"/>
          <w:sz w:val="32"/>
          <w:szCs w:val="32"/>
        </w:rPr>
        <w:t>）</w:t>
      </w:r>
      <w:r>
        <w:rPr>
          <w:rFonts w:ascii="仿宋" w:hAnsi="仿宋" w:eastAsia="仿宋"/>
          <w:sz w:val="32"/>
          <w:szCs w:val="32"/>
        </w:rPr>
        <w:t>。</w:t>
      </w:r>
    </w:p>
    <w:p>
      <w:pPr>
        <w:pStyle w:val="3"/>
        <w:spacing w:beforeLines="0" w:afterLines="0"/>
        <w:ind w:firstLine="707" w:firstLineChars="221"/>
      </w:pPr>
      <w:bookmarkStart w:id="22" w:name="_Toc123811079"/>
      <w:r>
        <w:rPr>
          <w:rFonts w:hint="eastAsia"/>
        </w:rPr>
        <w:t>五、恢复做市业务</w:t>
      </w:r>
      <w:bookmarkEnd w:id="22"/>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pPr>
      <w:r>
        <w:rPr>
          <w:rFonts w:hint="eastAsia" w:ascii="Times New Roman" w:hAnsi="Times New Roman" w:eastAsia="仿宋"/>
          <w:sz w:val="32"/>
          <w:szCs w:val="32"/>
        </w:rPr>
        <w:t>暂停做市业务的</w:t>
      </w:r>
      <w:r>
        <w:rPr>
          <w:rFonts w:ascii="Times New Roman" w:hAnsi="Times New Roman" w:eastAsia="仿宋"/>
          <w:sz w:val="32"/>
          <w:szCs w:val="32"/>
        </w:rPr>
        <w:t>情形消除后，做市商应当及时</w:t>
      </w:r>
      <w:r>
        <w:rPr>
          <w:rFonts w:hint="eastAsia" w:ascii="Times New Roman" w:hAnsi="Times New Roman" w:eastAsia="仿宋"/>
          <w:sz w:val="32"/>
          <w:szCs w:val="32"/>
        </w:rPr>
        <w:t>申请</w:t>
      </w:r>
      <w:r>
        <w:rPr>
          <w:rFonts w:ascii="Times New Roman" w:hAnsi="Times New Roman" w:eastAsia="仿宋"/>
          <w:sz w:val="32"/>
          <w:szCs w:val="32"/>
        </w:rPr>
        <w:t>恢复做市</w:t>
      </w:r>
      <w:r>
        <w:rPr>
          <w:rFonts w:hint="eastAsia" w:ascii="Times New Roman" w:hAnsi="Times New Roman" w:eastAsia="仿宋"/>
          <w:sz w:val="32"/>
          <w:szCs w:val="32"/>
        </w:rPr>
        <w:t>业务</w:t>
      </w:r>
      <w:r>
        <w:rPr>
          <w:rFonts w:ascii="Times New Roman" w:hAnsi="Times New Roman" w:eastAsia="仿宋"/>
          <w:sz w:val="32"/>
          <w:szCs w:val="32"/>
        </w:rPr>
        <w:t>。做市</w:t>
      </w:r>
      <w:r>
        <w:rPr>
          <w:rFonts w:ascii="Times New Roman" w:hAnsi="Times New Roman" w:eastAsia="仿宋"/>
          <w:color w:val="000000" w:themeColor="text1"/>
          <w:sz w:val="32"/>
          <w:szCs w:val="32"/>
          <w14:textFill>
            <w14:solidFill>
              <w14:schemeClr w14:val="tx1"/>
            </w14:solidFill>
          </w14:textFill>
        </w:rPr>
        <w:t>商拟恢复做市业务的，原则上应当</w:t>
      </w:r>
      <w:r>
        <w:rPr>
          <w:rFonts w:hint="default" w:ascii="Times New Roman" w:hAnsi="Times New Roman" w:eastAsia="仿宋"/>
          <w:color w:val="000000" w:themeColor="text1"/>
          <w:sz w:val="32"/>
          <w:szCs w:val="32"/>
          <w14:textFill>
            <w14:solidFill>
              <w14:schemeClr w14:val="tx1"/>
            </w14:solidFill>
          </w14:textFill>
        </w:rPr>
        <w:t>提前</w:t>
      </w:r>
      <w:r>
        <w:rPr>
          <w:rFonts w:ascii="Times New Roman" w:hAnsi="Times New Roman" w:eastAsia="仿宋"/>
          <w:color w:val="000000" w:themeColor="text1"/>
          <w:sz w:val="32"/>
          <w:szCs w:val="32"/>
          <w14:textFill>
            <w14:solidFill>
              <w14:schemeClr w14:val="tx1"/>
            </w14:solidFill>
          </w14:textFill>
        </w:rPr>
        <w:t>2</w:t>
      </w:r>
      <w:r>
        <w:rPr>
          <w:rFonts w:hint="default" w:ascii="Times New Roman" w:hAnsi="Times New Roman" w:eastAsia="仿宋"/>
          <w:color w:val="000000" w:themeColor="text1"/>
          <w:sz w:val="32"/>
          <w:szCs w:val="32"/>
          <w14:textFill>
            <w14:solidFill>
              <w14:schemeClr w14:val="tx1"/>
            </w14:solidFill>
          </w14:textFill>
        </w:rPr>
        <w:t>个交易日通过固收专区“债券做市-做市恢复申请”栏目提交相关材料，申请页面中“恢复业务类型”需选择“恢复做市业务”或者“恢复特定品种做市业务”，并明确恢复生效时间，同时上传</w:t>
      </w:r>
      <w:r>
        <w:rPr>
          <w:rFonts w:ascii="Times New Roman" w:hAnsi="Times New Roman" w:eastAsia="仿宋"/>
          <w:color w:val="000000" w:themeColor="text1"/>
          <w:sz w:val="32"/>
          <w:szCs w:val="32"/>
          <w14:textFill>
            <w14:solidFill>
              <w14:schemeClr w14:val="tx1"/>
            </w14:solidFill>
          </w14:textFill>
        </w:rPr>
        <w:t>《</w:t>
      </w:r>
      <w:r>
        <w:rPr>
          <w:rFonts w:hint="default" w:ascii="Times New Roman" w:hAnsi="Times New Roman" w:eastAsia="仿宋"/>
          <w:color w:val="000000" w:themeColor="text1"/>
          <w:sz w:val="32"/>
          <w:szCs w:val="32"/>
          <w14:textFill>
            <w14:solidFill>
              <w14:schemeClr w14:val="tx1"/>
            </w14:solidFill>
          </w14:textFill>
        </w:rPr>
        <w:t>恢复</w:t>
      </w:r>
      <w:r>
        <w:rPr>
          <w:rFonts w:ascii="Times New Roman" w:hAnsi="Times New Roman" w:eastAsia="仿宋"/>
          <w:color w:val="000000" w:themeColor="text1"/>
          <w:sz w:val="32"/>
          <w:szCs w:val="32"/>
          <w14:textFill>
            <w14:solidFill>
              <w14:schemeClr w14:val="tx1"/>
            </w14:solidFill>
          </w14:textFill>
        </w:rPr>
        <w:t>做市业务申请表》（附件5）</w:t>
      </w:r>
      <w:r>
        <w:rPr>
          <w:rFonts w:ascii="仿宋" w:hAnsi="仿宋" w:eastAsia="仿宋"/>
          <w:sz w:val="32"/>
          <w:szCs w:val="32"/>
        </w:rPr>
        <w:t>。</w:t>
      </w:r>
    </w:p>
    <w:p>
      <w:pPr>
        <w:pStyle w:val="3"/>
        <w:spacing w:beforeLines="0" w:afterLines="0"/>
        <w:ind w:firstLine="707" w:firstLineChars="221"/>
      </w:pPr>
      <w:bookmarkStart w:id="23" w:name="_Toc123811080"/>
      <w:r>
        <w:rPr>
          <w:rFonts w:hint="eastAsia"/>
        </w:rPr>
        <w:t>六、终止做市业务</w:t>
      </w:r>
      <w:bookmarkEnd w:id="2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ascii="Times New Roman" w:hAnsi="Times New Roman" w:eastAsia="仿宋"/>
          <w:sz w:val="32"/>
          <w:szCs w:val="32"/>
        </w:rPr>
        <w:t>做市商主动申请终止做市业务的，应当至少提前5个交易日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"mailto:做市商应当向本所邮箱szsebond@szse.cn发送《终止做市业务申请表》（附件6" </w:instrText>
      </w:r>
      <w:r>
        <w:rPr>
          <w:rFonts w:hint="eastAsia" w:ascii="仿宋" w:hAnsi="仿宋" w:eastAsia="仿宋" w:cs="仿宋"/>
          <w:sz w:val="32"/>
          <w:szCs w:val="32"/>
        </w:rPr>
        <w:fldChar w:fldCharType="separate"/>
      </w:r>
      <w:r>
        <w:rPr>
          <w:rFonts w:hint="eastAsia" w:ascii="仿宋" w:hAnsi="仿宋" w:eastAsia="仿宋" w:cs="仿宋"/>
          <w:sz w:val="32"/>
          <w:szCs w:val="32"/>
        </w:rPr>
        <w:t>通过固收专区“债券做市-做市终止申请”栏目提交相关材料，填写终止生效时间并上传《终止做市业务申请表》（附件6</w:t>
      </w:r>
      <w:r>
        <w:rPr>
          <w:rFonts w:hint="eastAsia" w:ascii="仿宋" w:hAnsi="仿宋" w:eastAsia="仿宋" w:cs="仿宋"/>
          <w:sz w:val="32"/>
          <w:szCs w:val="32"/>
        </w:rPr>
        <w:fldChar w:fldCharType="end"/>
      </w:r>
      <w:r>
        <w:rPr>
          <w:rFonts w:hint="eastAsia" w:ascii="仿宋" w:hAnsi="仿宋" w:eastAsia="仿宋" w:cs="仿宋"/>
          <w:sz w:val="32"/>
          <w:szCs w:val="32"/>
        </w:rPr>
        <w:t>）。经本所确认后，做市商方可终止做市业务。做市商主动终止做市业务的，原则上6个月内不得重新开展债券做市业务。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主做市商拟变更为一般做市商的，应当提前5个交易日通过固收专区“债券做市-做市终止申请”栏目提交相关资料，申请页面中“终止做市业务类型”需勾选“终止基准做市业务”，同时上传《终止做市业务申请表》（附件6）。主做市商变更为一般做市商的，原则上3个月内不得重新变更为主做市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本所按照《交易规则》《做市指引》等规定对做市商的债券做市业务活动进行自律管理，并根据定期评价结果对做市商进行动态管理。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对于做市商不再符合相关资质要求、未认真履行做市义务、存在严重扰乱债券市场行为或者存在严重违规等情形的，本所可视情况终止其做市业务。</w:t>
      </w:r>
    </w:p>
    <w:p>
      <w:pPr>
        <w:pStyle w:val="2"/>
        <w:spacing w:before="0" w:beforeLines="0" w:after="0" w:afterLines="0"/>
        <w:rPr>
          <w:rFonts w:hint="eastAsia" w:ascii="黑体" w:hAnsi="黑体" w:eastAsia="黑体" w:cs="黑体"/>
          <w:b w:val="0"/>
          <w:bCs w:val="0"/>
        </w:rPr>
      </w:pPr>
      <w:bookmarkStart w:id="24" w:name="_Toc123811081"/>
      <w:r>
        <w:rPr>
          <w:rFonts w:hint="eastAsia" w:ascii="黑体" w:hAnsi="黑体" w:eastAsia="黑体" w:cs="黑体"/>
          <w:b w:val="0"/>
          <w:bCs w:val="0"/>
        </w:rPr>
        <w:t>第四章 债券做市业务</w:t>
      </w:r>
      <w:bookmarkEnd w:id="24"/>
    </w:p>
    <w:p>
      <w:pPr>
        <w:pStyle w:val="3"/>
        <w:spacing w:beforeLines="0" w:afterLines="0"/>
        <w:ind w:left="420" w:firstLine="288" w:firstLineChars="90"/>
      </w:pPr>
      <w:bookmarkStart w:id="25" w:name="_Toc123811082"/>
      <w:r>
        <w:rPr>
          <w:rFonts w:hint="eastAsia"/>
        </w:rPr>
        <w:t>一、做市方式</w:t>
      </w:r>
      <w:bookmarkEnd w:id="2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做市商可以采用匹配成交、点击成交等方式对做市债券进行双边买卖报价，对本所债券投资者就做市债券的询价请求进行回复，以及通过本所认可的其他做市方式为债券提供流动性。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在协商成交方式下，本所做市商与不同对手方针对同一交易品种达成两笔数量相同但交易方向相反的交易意向的，可以将两笔交易合并向交易系统申报。</w:t>
      </w:r>
    </w:p>
    <w:p>
      <w:pPr>
        <w:pStyle w:val="5"/>
        <w:spacing w:beforeLines="0" w:afterLines="0"/>
      </w:pPr>
      <w:bookmarkStart w:id="26" w:name="_Toc113106599"/>
      <w:bookmarkStart w:id="27" w:name="_Toc113106173"/>
      <w:r>
        <w:t>（一）</w:t>
      </w:r>
      <w:r>
        <w:rPr>
          <w:rFonts w:hint="eastAsia"/>
        </w:rPr>
        <w:t>匹配成交</w:t>
      </w:r>
      <w:bookmarkEnd w:id="26"/>
      <w:bookmarkEnd w:id="2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lang w:val="zh-CN"/>
        </w:rPr>
      </w:pPr>
      <w:bookmarkStart w:id="28" w:name="_Toc113106600"/>
      <w:bookmarkStart w:id="29" w:name="_Toc113106174"/>
      <w:r>
        <w:rPr>
          <w:rFonts w:hint="eastAsia" w:ascii="仿宋" w:hAnsi="仿宋" w:eastAsia="仿宋" w:cs="仿宋"/>
          <w:sz w:val="32"/>
          <w:szCs w:val="32"/>
          <w:lang w:val="zh-CN"/>
        </w:rPr>
        <w:t>做市商可以使用匹配成交方式面向全市场分别进行双边买卖报价。匹配成交双边报价方式下，买入价格不得高于卖出价格，单笔申报数量应不低于100万元面额。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仿宋" w:hAnsi="仿宋" w:eastAsia="仿宋" w:cs="仿宋"/>
          <w:sz w:val="32"/>
          <w:szCs w:val="32"/>
        </w:rPr>
        <w:t>做市商拟修改双边报价下任一单边价格或者数量的，可以通过撤销原对应单边报价委托并提交新的匹配报价委托实现。若匹配成交报价中的单边申报全部成交或撤销，做市商须补充提交相应申报，确保针对做市债券存在持续双边报价。</w:t>
      </w:r>
    </w:p>
    <w:p>
      <w:pPr>
        <w:pStyle w:val="5"/>
        <w:spacing w:beforeLines="0" w:afterLines="0"/>
      </w:pPr>
      <w:r>
        <w:t>（</w:t>
      </w:r>
      <w:r>
        <w:rPr>
          <w:rFonts w:hint="eastAsia"/>
        </w:rPr>
        <w:t>二</w:t>
      </w:r>
      <w:r>
        <w:t>）</w:t>
      </w:r>
      <w:r>
        <w:rPr>
          <w:rFonts w:hint="eastAsia"/>
        </w:rPr>
        <w:t>点击成交</w:t>
      </w:r>
      <w:bookmarkEnd w:id="28"/>
      <w:bookmarkEnd w:id="2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hint="eastAsia" w:ascii="仿宋" w:hAnsi="仿宋" w:eastAsia="仿宋" w:cs="仿宋"/>
          <w:sz w:val="32"/>
          <w:szCs w:val="32"/>
          <w:lang w:val="zh-CN"/>
        </w:rPr>
      </w:pPr>
      <w:r>
        <w:rPr>
          <w:rFonts w:hint="eastAsia" w:ascii="仿宋" w:hAnsi="仿宋" w:eastAsia="仿宋" w:cs="仿宋"/>
          <w:sz w:val="32"/>
          <w:szCs w:val="32"/>
          <w:lang w:val="zh-CN"/>
        </w:rPr>
        <w:t>做市商可以使用点击成交方式面向全市场分别进行双边买卖报价。点击成交双边报价方式下，买入价格不得高于卖出价格，单笔申报数量应不低于100万元面额。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仿宋" w:hAnsi="仿宋" w:eastAsia="仿宋" w:cs="仿宋"/>
          <w:sz w:val="32"/>
          <w:szCs w:val="32"/>
        </w:rPr>
        <w:t>做市商拟修改双边报价下任一单边价格或者数量的，可以通过撤销原对应单边报价委托并提交新的报价委托实现。若点击成交报价中的单边报价全部成交或撤销，做市商须补充提交相应申报，确保针对做市债券存在持续双边报价。</w:t>
      </w:r>
    </w:p>
    <w:p>
      <w:pPr>
        <w:pStyle w:val="5"/>
        <w:spacing w:beforeLines="0" w:afterLines="0"/>
      </w:pPr>
      <w:bookmarkStart w:id="30" w:name="_Toc113106601"/>
      <w:bookmarkStart w:id="31" w:name="_Toc113106175"/>
      <w:r>
        <w:t>（</w:t>
      </w:r>
      <w:r>
        <w:rPr>
          <w:rFonts w:hint="eastAsia"/>
        </w:rPr>
        <w:t>三</w:t>
      </w:r>
      <w:r>
        <w:t>）</w:t>
      </w:r>
      <w:r>
        <w:rPr>
          <w:rFonts w:hint="eastAsia"/>
        </w:rPr>
        <w:t>询价成交</w:t>
      </w:r>
      <w:bookmarkEnd w:id="30"/>
      <w:bookmarkEnd w:id="31"/>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560" w:lineRule="exact"/>
        <w:ind w:firstLine="640"/>
        <w:rPr>
          <w:rFonts w:ascii="Times New Roman" w:hAnsi="Times New Roman" w:eastAsia="仿宋"/>
          <w:sz w:val="32"/>
          <w:szCs w:val="32"/>
          <w:lang w:val="zh-CN"/>
        </w:rPr>
      </w:pPr>
      <w:r>
        <w:rPr>
          <w:rFonts w:hint="eastAsia" w:ascii="Times New Roman" w:hAnsi="Times New Roman" w:eastAsia="仿宋"/>
          <w:sz w:val="32"/>
          <w:szCs w:val="32"/>
          <w:lang w:val="zh-CN"/>
        </w:rPr>
        <w:t>做市商应当基于其做市债券对债券投资者的询价请求进行回复。做市商应当在询价请求有效期内进行询价回复。</w:t>
      </w:r>
    </w:p>
    <w:p>
      <w:pPr>
        <w:pStyle w:val="3"/>
        <w:spacing w:beforeLines="0" w:afterLines="0"/>
        <w:ind w:firstLine="707" w:firstLineChars="221"/>
      </w:pPr>
      <w:bookmarkStart w:id="32" w:name="_Toc123811083"/>
      <w:r>
        <w:rPr>
          <w:rFonts w:hint="eastAsia"/>
        </w:rPr>
        <w:t>二、做市业务评价</w:t>
      </w:r>
      <w:bookmarkEnd w:id="32"/>
    </w:p>
    <w:p>
      <w:pPr>
        <w:pStyle w:val="5"/>
        <w:spacing w:beforeLines="0" w:afterLines="0"/>
      </w:pPr>
      <w:bookmarkStart w:id="33" w:name="_Toc5193298"/>
      <w:bookmarkStart w:id="34" w:name="_Toc109755397"/>
      <w:bookmarkStart w:id="35" w:name="_Toc113106177"/>
      <w:bookmarkStart w:id="36" w:name="_Toc113106603"/>
      <w:r>
        <w:t>（一）</w:t>
      </w:r>
      <w:bookmarkEnd w:id="33"/>
      <w:bookmarkEnd w:id="34"/>
      <w:r>
        <w:rPr>
          <w:rFonts w:hint="eastAsia"/>
        </w:rPr>
        <w:t>评价周期</w:t>
      </w:r>
      <w:bookmarkEnd w:id="35"/>
      <w:bookmarkEnd w:id="36"/>
    </w:p>
    <w:p>
      <w:pPr>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为协助做市商了解最新做市表现，适时优化调整做市策略，根据《做市</w:t>
      </w:r>
      <w:r>
        <w:rPr>
          <w:rFonts w:hint="eastAsia" w:ascii="仿宋" w:hAnsi="仿宋" w:eastAsia="仿宋" w:cs="仿宋"/>
          <w:sz w:val="32"/>
          <w:szCs w:val="32"/>
        </w:rPr>
        <w:t>指引》相关规定，本所对做市商的做市情况进行季度评价及年度评价，评价结果定期向做市商反馈。季度评价周期分别为12月21日（上一年度）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3月20日、3月21日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6月20日、6月21日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9月20日、9月21日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12月20日。</w:t>
      </w:r>
    </w:p>
    <w:p>
      <w:pPr>
        <w:spacing w:beforeLines="0" w:afterLines="0" w:line="560" w:lineRule="exact"/>
        <w:ind w:firstLine="707" w:firstLineChars="221"/>
        <w:rPr>
          <w:rFonts w:ascii="Times New Roman" w:hAnsi="Times New Roman" w:eastAsia="仿宋"/>
          <w:sz w:val="32"/>
          <w:szCs w:val="32"/>
        </w:rPr>
      </w:pPr>
      <w:r>
        <w:rPr>
          <w:rFonts w:hint="eastAsia" w:ascii="仿宋" w:hAnsi="仿宋" w:eastAsia="仿宋" w:cs="仿宋"/>
          <w:sz w:val="32"/>
          <w:szCs w:val="32"/>
        </w:rPr>
        <w:t>季度评价周期内开展对应做市业务的天数少于20个交易日的，本所不对其进行</w:t>
      </w:r>
      <w:r>
        <w:rPr>
          <w:rFonts w:hint="eastAsia" w:ascii="Times New Roman" w:hAnsi="Times New Roman" w:eastAsia="仿宋"/>
          <w:sz w:val="32"/>
          <w:szCs w:val="32"/>
        </w:rPr>
        <w:t>季度评价；年度评价周期内做市商参与季度评价</w:t>
      </w:r>
      <w:r>
        <w:rPr>
          <w:rFonts w:hint="eastAsia" w:ascii="Times New Roman" w:hAnsi="Times New Roman" w:eastAsia="仿宋"/>
          <w:sz w:val="32"/>
          <w:szCs w:val="32"/>
          <w:lang w:eastAsia="zh-CN"/>
        </w:rPr>
        <w:t>不足两次</w:t>
      </w:r>
      <w:r>
        <w:rPr>
          <w:rFonts w:hint="eastAsia" w:ascii="Times New Roman" w:hAnsi="Times New Roman" w:eastAsia="仿宋"/>
          <w:sz w:val="32"/>
          <w:szCs w:val="32"/>
        </w:rPr>
        <w:t>的，本所不对其进行年度评价。</w:t>
      </w:r>
    </w:p>
    <w:p>
      <w:pPr>
        <w:pStyle w:val="5"/>
        <w:spacing w:beforeLines="0" w:afterLines="0"/>
      </w:pPr>
      <w:bookmarkStart w:id="37" w:name="_Toc113106604"/>
      <w:bookmarkStart w:id="38" w:name="_Toc113106178"/>
      <w:r>
        <w:t>（</w:t>
      </w:r>
      <w:r>
        <w:rPr>
          <w:rFonts w:hint="eastAsia"/>
        </w:rPr>
        <w:t>二</w:t>
      </w:r>
      <w:r>
        <w:t>）</w:t>
      </w:r>
      <w:r>
        <w:rPr>
          <w:rFonts w:hint="eastAsia"/>
        </w:rPr>
        <w:t>评价指标</w:t>
      </w:r>
      <w:bookmarkEnd w:id="37"/>
      <w:bookmarkEnd w:id="38"/>
    </w:p>
    <w:p>
      <w:pPr>
        <w:spacing w:beforeLines="0" w:afterLines="0" w:line="560" w:lineRule="exact"/>
        <w:ind w:firstLine="640"/>
        <w:rPr>
          <w:rFonts w:hint="eastAsia" w:ascii="仿宋" w:hAnsi="仿宋" w:eastAsia="仿宋" w:cs="仿宋"/>
          <w:sz w:val="32"/>
          <w:szCs w:val="32"/>
        </w:rPr>
      </w:pPr>
      <w:r>
        <w:rPr>
          <w:rFonts w:hint="eastAsia" w:ascii="仿宋" w:hAnsi="仿宋" w:eastAsia="仿宋" w:cs="华文仿宋"/>
          <w:sz w:val="32"/>
          <w:szCs w:val="32"/>
          <w:lang w:eastAsia="zh-CN"/>
        </w:rPr>
        <w:t>本所从</w:t>
      </w:r>
      <w:r>
        <w:rPr>
          <w:rFonts w:hint="eastAsia" w:ascii="仿宋" w:hAnsi="仿宋" w:eastAsia="仿宋" w:cs="华文仿宋"/>
          <w:sz w:val="32"/>
          <w:szCs w:val="32"/>
        </w:rPr>
        <w:t>做市报价质量、</w:t>
      </w:r>
      <w:r>
        <w:rPr>
          <w:rFonts w:hint="eastAsia" w:ascii="仿宋" w:hAnsi="仿宋" w:eastAsia="仿宋" w:cs="华文仿宋"/>
          <w:sz w:val="32"/>
          <w:szCs w:val="32"/>
          <w:lang w:eastAsia="zh-CN"/>
        </w:rPr>
        <w:t>做市</w:t>
      </w:r>
      <w:r>
        <w:rPr>
          <w:rFonts w:hint="eastAsia" w:ascii="仿宋" w:hAnsi="仿宋" w:eastAsia="仿宋" w:cs="华文仿宋"/>
          <w:sz w:val="32"/>
          <w:szCs w:val="32"/>
        </w:rPr>
        <w:t>报价时长、</w:t>
      </w:r>
      <w:r>
        <w:rPr>
          <w:rFonts w:hint="eastAsia" w:ascii="仿宋" w:hAnsi="仿宋" w:eastAsia="仿宋" w:cs="华文仿宋"/>
          <w:sz w:val="32"/>
          <w:szCs w:val="32"/>
          <w:lang w:eastAsia="zh-CN"/>
        </w:rPr>
        <w:t>做市报价只数以</w:t>
      </w:r>
      <w:r>
        <w:rPr>
          <w:rFonts w:hint="eastAsia" w:ascii="仿宋" w:hAnsi="仿宋" w:eastAsia="仿宋" w:cs="华文仿宋"/>
          <w:sz w:val="32"/>
          <w:szCs w:val="32"/>
        </w:rPr>
        <w:t>及</w:t>
      </w:r>
      <w:r>
        <w:rPr>
          <w:rFonts w:hint="eastAsia" w:ascii="仿宋" w:hAnsi="仿宋" w:eastAsia="仿宋" w:cs="华文仿宋"/>
          <w:sz w:val="32"/>
          <w:szCs w:val="32"/>
          <w:lang w:eastAsia="zh-CN"/>
        </w:rPr>
        <w:t>做市</w:t>
      </w:r>
      <w:r>
        <w:rPr>
          <w:rFonts w:hint="eastAsia" w:ascii="仿宋" w:hAnsi="仿宋" w:eastAsia="仿宋" w:cs="华文仿宋"/>
          <w:sz w:val="32"/>
          <w:szCs w:val="32"/>
        </w:rPr>
        <w:t>成交量</w:t>
      </w:r>
      <w:r>
        <w:rPr>
          <w:rFonts w:hint="eastAsia" w:ascii="仿宋" w:hAnsi="仿宋" w:eastAsia="仿宋" w:cs="仿宋"/>
          <w:sz w:val="32"/>
          <w:szCs w:val="32"/>
        </w:rPr>
        <w:t>等</w:t>
      </w:r>
      <w:r>
        <w:rPr>
          <w:rFonts w:hint="eastAsia" w:ascii="仿宋" w:hAnsi="仿宋" w:eastAsia="仿宋" w:cs="仿宋"/>
          <w:sz w:val="32"/>
          <w:szCs w:val="32"/>
          <w:lang w:eastAsia="zh-CN"/>
        </w:rPr>
        <w:t>方面对做市商做市业务开展情况进行评价</w:t>
      </w:r>
      <w:r>
        <w:rPr>
          <w:rFonts w:hint="eastAsia" w:ascii="仿宋" w:hAnsi="仿宋" w:eastAsia="仿宋" w:cs="仿宋"/>
          <w:sz w:val="32"/>
          <w:szCs w:val="32"/>
        </w:rPr>
        <w:t>。</w:t>
      </w:r>
    </w:p>
    <w:p>
      <w:pPr>
        <w:spacing w:beforeLines="0" w:afterLines="0" w:line="560" w:lineRule="exact"/>
        <w:ind w:firstLine="640"/>
        <w:rPr>
          <w:rFonts w:ascii="仿宋" w:hAnsi="仿宋" w:eastAsia="仿宋" w:cs="华文仿宋"/>
          <w:sz w:val="32"/>
          <w:szCs w:val="32"/>
        </w:rPr>
      </w:pPr>
      <w:r>
        <w:rPr>
          <w:rFonts w:hint="eastAsia" w:ascii="仿宋" w:hAnsi="仿宋" w:eastAsia="仿宋" w:cs="仿宋"/>
          <w:sz w:val="32"/>
          <w:szCs w:val="32"/>
        </w:rPr>
        <w:t>本所鼓励做市商</w:t>
      </w:r>
      <w:r>
        <w:rPr>
          <w:rFonts w:hint="eastAsia" w:ascii="仿宋" w:hAnsi="仿宋" w:eastAsia="仿宋" w:cs="仿宋"/>
          <w:sz w:val="32"/>
          <w:szCs w:val="32"/>
          <w:lang w:eastAsia="zh-CN"/>
        </w:rPr>
        <w:t>对</w:t>
      </w:r>
      <w:r>
        <w:rPr>
          <w:rFonts w:hint="eastAsia" w:ascii="仿宋" w:hAnsi="仿宋" w:eastAsia="仿宋" w:cs="仿宋"/>
          <w:sz w:val="32"/>
          <w:szCs w:val="32"/>
        </w:rPr>
        <w:t>科技创新公司债券、绿色公司债券、民营企业发行的公司债券</w:t>
      </w:r>
      <w:r>
        <w:rPr>
          <w:rFonts w:hint="eastAsia" w:ascii="仿宋" w:hAnsi="仿宋" w:eastAsia="仿宋" w:cs="仿宋"/>
          <w:sz w:val="32"/>
          <w:szCs w:val="32"/>
          <w:lang w:eastAsia="zh-CN"/>
        </w:rPr>
        <w:t>等债券品种开展做市业务，鼓励做市商</w:t>
      </w:r>
      <w:r>
        <w:rPr>
          <w:rFonts w:hint="eastAsia" w:ascii="仿宋" w:hAnsi="仿宋" w:eastAsia="仿宋" w:cs="仿宋"/>
          <w:sz w:val="32"/>
          <w:szCs w:val="32"/>
        </w:rPr>
        <w:t>发挥积极作用，主动参与维护债</w:t>
      </w:r>
      <w:r>
        <w:rPr>
          <w:rFonts w:hint="eastAsia" w:ascii="仿宋" w:hAnsi="仿宋" w:eastAsia="仿宋"/>
          <w:sz w:val="32"/>
          <w:szCs w:val="32"/>
        </w:rPr>
        <w:t>券市场稳定运行、平抑市场异常波动，并将上述情况纳入业务评价考量。</w:t>
      </w:r>
    </w:p>
    <w:p>
      <w:pPr>
        <w:pStyle w:val="5"/>
        <w:spacing w:beforeLines="0" w:afterLines="0"/>
      </w:pPr>
      <w:r>
        <w:t>（</w:t>
      </w:r>
      <w:r>
        <w:rPr>
          <w:rFonts w:hint="eastAsia"/>
        </w:rPr>
        <w:t>三</w:t>
      </w:r>
      <w:r>
        <w:t>）</w:t>
      </w:r>
      <w:r>
        <w:rPr>
          <w:rFonts w:hint="eastAsia"/>
        </w:rPr>
        <w:t>评价范围</w:t>
      </w:r>
    </w:p>
    <w:p>
      <w:pPr>
        <w:spacing w:beforeLines="0" w:afterLines="0" w:line="56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考虑做市义务差异以及利率债</w:t>
      </w:r>
      <w:r>
        <w:rPr>
          <w:rFonts w:hint="eastAsia" w:ascii="仿宋" w:hAnsi="仿宋" w:eastAsia="仿宋" w:cs="仿宋"/>
          <w:sz w:val="32"/>
          <w:szCs w:val="32"/>
          <w:lang w:eastAsia="zh-CN"/>
        </w:rPr>
        <w:t>、</w:t>
      </w:r>
      <w:r>
        <w:rPr>
          <w:rFonts w:hint="eastAsia" w:ascii="仿宋" w:hAnsi="仿宋" w:eastAsia="仿宋" w:cs="仿宋"/>
          <w:sz w:val="32"/>
          <w:szCs w:val="32"/>
        </w:rPr>
        <w:t>信用债</w:t>
      </w:r>
      <w:r>
        <w:rPr>
          <w:rFonts w:hint="eastAsia" w:ascii="仿宋" w:hAnsi="仿宋" w:eastAsia="仿宋" w:cs="仿宋"/>
          <w:sz w:val="32"/>
          <w:szCs w:val="32"/>
          <w:lang w:eastAsia="zh-CN"/>
        </w:rPr>
        <w:t>、资产支持证券等不同品种</w:t>
      </w:r>
      <w:r>
        <w:rPr>
          <w:rFonts w:hint="eastAsia" w:ascii="仿宋" w:hAnsi="仿宋" w:eastAsia="仿宋" w:cs="仿宋"/>
          <w:sz w:val="32"/>
          <w:szCs w:val="32"/>
        </w:rPr>
        <w:t>报价策略、报价难易程度不一，本所将对基准做市</w:t>
      </w:r>
      <w:r>
        <w:rPr>
          <w:rFonts w:hint="eastAsia" w:ascii="仿宋" w:hAnsi="仿宋" w:eastAsia="仿宋" w:cs="仿宋"/>
          <w:sz w:val="32"/>
          <w:szCs w:val="32"/>
          <w:lang w:eastAsia="zh-CN"/>
        </w:rPr>
        <w:t>和</w:t>
      </w:r>
      <w:r>
        <w:rPr>
          <w:rFonts w:hint="eastAsia" w:ascii="仿宋" w:hAnsi="仿宋" w:eastAsia="仿宋" w:cs="仿宋"/>
          <w:sz w:val="32"/>
          <w:szCs w:val="32"/>
        </w:rPr>
        <w:t>一般做市</w:t>
      </w:r>
      <w:r>
        <w:rPr>
          <w:rFonts w:hint="eastAsia" w:ascii="仿宋" w:hAnsi="仿宋" w:eastAsia="仿宋" w:cs="仿宋"/>
          <w:sz w:val="32"/>
          <w:szCs w:val="32"/>
          <w:lang w:eastAsia="zh-CN"/>
        </w:rPr>
        <w:t>项下的</w:t>
      </w:r>
      <w:r>
        <w:rPr>
          <w:rFonts w:hint="eastAsia" w:ascii="仿宋" w:hAnsi="仿宋" w:eastAsia="仿宋" w:cs="仿宋"/>
          <w:sz w:val="32"/>
          <w:szCs w:val="32"/>
        </w:rPr>
        <w:t>利率债做市</w:t>
      </w:r>
      <w:r>
        <w:rPr>
          <w:rFonts w:hint="eastAsia" w:ascii="仿宋" w:hAnsi="仿宋" w:eastAsia="仿宋" w:cs="仿宋"/>
          <w:sz w:val="32"/>
          <w:szCs w:val="32"/>
          <w:lang w:eastAsia="zh-CN"/>
        </w:rPr>
        <w:t>、</w:t>
      </w:r>
      <w:r>
        <w:rPr>
          <w:rFonts w:hint="eastAsia" w:ascii="仿宋" w:hAnsi="仿宋" w:eastAsia="仿宋" w:cs="仿宋"/>
          <w:sz w:val="32"/>
          <w:szCs w:val="32"/>
        </w:rPr>
        <w:t>信用债</w:t>
      </w:r>
      <w:r>
        <w:rPr>
          <w:rFonts w:hint="eastAsia" w:ascii="仿宋" w:hAnsi="仿宋" w:eastAsia="仿宋" w:cs="仿宋"/>
          <w:sz w:val="32"/>
          <w:szCs w:val="32"/>
          <w:lang w:eastAsia="zh-CN"/>
        </w:rPr>
        <w:t>做市以及</w:t>
      </w:r>
      <w:r>
        <w:rPr>
          <w:rFonts w:hint="eastAsia" w:ascii="仿宋" w:hAnsi="仿宋" w:eastAsia="仿宋" w:cs="仿宋"/>
          <w:sz w:val="32"/>
          <w:szCs w:val="32"/>
        </w:rPr>
        <w:t>资产支持证券做市业务分别进行评价。</w:t>
      </w:r>
      <w:r>
        <w:rPr>
          <w:rFonts w:hint="eastAsia" w:ascii="仿宋" w:hAnsi="仿宋" w:eastAsia="仿宋" w:cs="仿宋"/>
          <w:sz w:val="32"/>
          <w:szCs w:val="32"/>
          <w:lang w:eastAsia="zh-CN"/>
        </w:rPr>
        <w:t>其中，利率债基准做市对地方政府债和其他利率债分别进行评价。</w:t>
      </w:r>
    </w:p>
    <w:p>
      <w:pPr>
        <w:spacing w:beforeLines="0" w:afterLines="0" w:line="560" w:lineRule="exact"/>
        <w:ind w:firstLine="640"/>
        <w:rPr>
          <w:rFonts w:hint="eastAsia" w:ascii="仿宋" w:hAnsi="仿宋" w:eastAsia="仿宋" w:cs="仿宋"/>
          <w:kern w:val="0"/>
          <w:sz w:val="32"/>
          <w:szCs w:val="32"/>
        </w:rPr>
      </w:pPr>
      <w:r>
        <w:rPr>
          <w:rFonts w:hint="eastAsia" w:ascii="仿宋" w:hAnsi="仿宋" w:eastAsia="仿宋" w:cs="仿宋"/>
          <w:sz w:val="32"/>
          <w:szCs w:val="32"/>
        </w:rPr>
        <w:t>做市商通过</w:t>
      </w:r>
      <w:r>
        <w:rPr>
          <w:rFonts w:hint="eastAsia" w:ascii="仿宋" w:hAnsi="仿宋" w:eastAsia="仿宋" w:cs="仿宋"/>
          <w:kern w:val="0"/>
          <w:sz w:val="32"/>
          <w:szCs w:val="32"/>
        </w:rPr>
        <w:t>匹配成交、点击成交方式对做市债券面向全市场进行的双边买卖报价纳入评价范围；通过各类交易方式达成的做市成交量均纳入评价范围。</w:t>
      </w:r>
      <w:r>
        <w:rPr>
          <w:rFonts w:hint="eastAsia" w:ascii="仿宋" w:hAnsi="仿宋" w:eastAsia="仿宋" w:cs="仿宋"/>
          <w:kern w:val="0"/>
          <w:sz w:val="32"/>
          <w:szCs w:val="32"/>
          <w:lang w:eastAsia="zh-CN"/>
        </w:rPr>
        <w:t>对于</w:t>
      </w:r>
      <w:r>
        <w:rPr>
          <w:rFonts w:hint="eastAsia" w:ascii="仿宋" w:hAnsi="仿宋" w:eastAsia="仿宋" w:cs="仿宋"/>
          <w:kern w:val="0"/>
          <w:sz w:val="32"/>
          <w:szCs w:val="32"/>
        </w:rPr>
        <w:t>基准做市，</w:t>
      </w:r>
      <w:r>
        <w:rPr>
          <w:rFonts w:hint="eastAsia" w:ascii="仿宋" w:hAnsi="仿宋" w:eastAsia="仿宋" w:cs="仿宋"/>
          <w:kern w:val="0"/>
          <w:sz w:val="32"/>
          <w:szCs w:val="32"/>
          <w:lang w:eastAsia="zh-CN"/>
        </w:rPr>
        <w:t>做市商</w:t>
      </w:r>
      <w:r>
        <w:rPr>
          <w:rFonts w:hint="eastAsia" w:ascii="仿宋" w:hAnsi="仿宋" w:eastAsia="仿宋" w:cs="仿宋"/>
          <w:kern w:val="0"/>
          <w:sz w:val="32"/>
          <w:szCs w:val="32"/>
        </w:rPr>
        <w:t>每个交易日应当</w:t>
      </w:r>
      <w:r>
        <w:rPr>
          <w:rFonts w:hint="eastAsia" w:ascii="仿宋" w:hAnsi="仿宋" w:eastAsia="仿宋" w:cs="仿宋"/>
          <w:kern w:val="0"/>
          <w:sz w:val="32"/>
          <w:szCs w:val="32"/>
          <w:lang w:eastAsia="zh-CN"/>
        </w:rPr>
        <w:t>在基准做市债券清单中选择</w:t>
      </w:r>
      <w:r>
        <w:rPr>
          <w:rFonts w:hint="eastAsia" w:ascii="仿宋" w:hAnsi="仿宋" w:eastAsia="仿宋" w:cs="仿宋"/>
          <w:kern w:val="0"/>
          <w:sz w:val="32"/>
          <w:szCs w:val="32"/>
        </w:rPr>
        <w:t>至少5只利率债</w:t>
      </w:r>
      <w:r>
        <w:rPr>
          <w:rFonts w:hint="eastAsia" w:ascii="仿宋" w:hAnsi="仿宋" w:eastAsia="仿宋" w:cs="仿宋"/>
          <w:kern w:val="0"/>
          <w:sz w:val="32"/>
          <w:szCs w:val="32"/>
          <w:lang w:eastAsia="zh-CN"/>
        </w:rPr>
        <w:t>和至少</w:t>
      </w:r>
      <w:r>
        <w:rPr>
          <w:rFonts w:hint="eastAsia" w:ascii="仿宋" w:hAnsi="仿宋" w:eastAsia="仿宋" w:cs="仿宋"/>
          <w:kern w:val="0"/>
          <w:sz w:val="32"/>
          <w:szCs w:val="32"/>
        </w:rPr>
        <w:t>10只信用债进行做市报价</w:t>
      </w:r>
      <w:r>
        <w:rPr>
          <w:rFonts w:hint="eastAsia" w:ascii="仿宋" w:hAnsi="仿宋" w:eastAsia="仿宋" w:cs="仿宋"/>
          <w:kern w:val="0"/>
          <w:sz w:val="32"/>
          <w:szCs w:val="32"/>
          <w:lang w:eastAsia="zh-CN"/>
        </w:rPr>
        <w:t>；对于一般做市，做市商每个交易日应当在</w:t>
      </w:r>
      <w:r>
        <w:rPr>
          <w:rFonts w:hint="eastAsia" w:ascii="仿宋" w:hAnsi="仿宋" w:eastAsia="仿宋" w:cs="仿宋"/>
          <w:kern w:val="0"/>
          <w:sz w:val="32"/>
          <w:szCs w:val="32"/>
          <w:lang w:val="en-US" w:eastAsia="zh-CN"/>
        </w:rPr>
        <w:t>相应债券品种中选择</w:t>
      </w:r>
      <w:r>
        <w:rPr>
          <w:rFonts w:hint="eastAsia" w:ascii="仿宋" w:hAnsi="仿宋" w:eastAsia="仿宋" w:cs="仿宋"/>
          <w:kern w:val="0"/>
          <w:sz w:val="32"/>
          <w:szCs w:val="32"/>
          <w:lang w:eastAsia="zh-CN"/>
        </w:rPr>
        <w:t>至少</w:t>
      </w:r>
      <w:r>
        <w:rPr>
          <w:rFonts w:hint="eastAsia" w:ascii="仿宋" w:hAnsi="仿宋" w:eastAsia="仿宋" w:cs="仿宋"/>
          <w:kern w:val="0"/>
          <w:sz w:val="32"/>
          <w:szCs w:val="32"/>
          <w:lang w:val="en-US" w:eastAsia="zh-CN"/>
        </w:rPr>
        <w:t>5只债券进行做市报价。</w:t>
      </w:r>
      <w:r>
        <w:rPr>
          <w:rFonts w:hint="eastAsia" w:ascii="仿宋" w:hAnsi="仿宋" w:eastAsia="仿宋" w:cs="仿宋"/>
          <w:kern w:val="0"/>
          <w:sz w:val="32"/>
          <w:szCs w:val="32"/>
        </w:rPr>
        <w:t>做市商对做市债券进行双边报价的，日均加权双边报价时长不得低于</w:t>
      </w:r>
      <w:r>
        <w:rPr>
          <w:rFonts w:hint="eastAsia" w:ascii="仿宋" w:hAnsi="仿宋" w:eastAsia="仿宋" w:cs="仿宋"/>
          <w:sz w:val="32"/>
          <w:szCs w:val="32"/>
        </w:rPr>
        <w:t>3小时。</w:t>
      </w:r>
    </w:p>
    <w:p>
      <w:pPr>
        <w:spacing w:beforeLines="0" w:afterLines="0" w:line="560" w:lineRule="exact"/>
        <w:ind w:firstLine="640"/>
        <w:rPr>
          <w:rFonts w:ascii="仿宋" w:hAnsi="仿宋" w:eastAsia="仿宋" w:cs="华文仿宋"/>
          <w:sz w:val="32"/>
          <w:szCs w:val="32"/>
        </w:rPr>
      </w:pPr>
      <w:r>
        <w:rPr>
          <w:rFonts w:hint="eastAsia" w:ascii="仿宋" w:hAnsi="仿宋" w:eastAsia="仿宋" w:cs="仿宋"/>
          <w:kern w:val="0"/>
          <w:sz w:val="32"/>
          <w:szCs w:val="32"/>
        </w:rPr>
        <w:t>做市商报价及成交应当以真实交易意愿为基础，不得以任何方式虚增做市成交量。</w:t>
      </w:r>
      <w:r>
        <w:rPr>
          <w:rFonts w:hint="eastAsia" w:ascii="仿宋" w:hAnsi="仿宋" w:eastAsia="仿宋" w:cs="仿宋"/>
          <w:sz w:val="32"/>
          <w:szCs w:val="32"/>
        </w:rPr>
        <w:t>评价指标计算时做市商做市账户之间的成交量不纳入。</w:t>
      </w:r>
    </w:p>
    <w:p>
      <w:pPr>
        <w:pStyle w:val="5"/>
        <w:spacing w:beforeLines="0" w:afterLines="0"/>
      </w:pPr>
      <w:bookmarkStart w:id="39" w:name="_Toc113106605"/>
      <w:bookmarkStart w:id="40" w:name="_Toc113106179"/>
      <w:r>
        <w:t>（</w:t>
      </w:r>
      <w:r>
        <w:rPr>
          <w:rFonts w:hint="eastAsia"/>
        </w:rPr>
        <w:t>四</w:t>
      </w:r>
      <w:r>
        <w:t>）</w:t>
      </w:r>
      <w:r>
        <w:rPr>
          <w:rFonts w:hint="eastAsia"/>
        </w:rPr>
        <w:t>评价结果</w:t>
      </w:r>
      <w:bookmarkEnd w:id="39"/>
      <w:bookmarkEnd w:id="40"/>
    </w:p>
    <w:p>
      <w:pPr>
        <w:adjustRightInd w:val="0"/>
        <w:snapToGrid w:val="0"/>
        <w:spacing w:beforeLines="0" w:afterLines="0" w:line="560" w:lineRule="exact"/>
        <w:ind w:firstLine="640"/>
        <w:rPr>
          <w:rFonts w:hint="eastAsia" w:ascii="仿宋" w:hAnsi="仿宋" w:eastAsia="仿宋"/>
          <w:sz w:val="32"/>
          <w:szCs w:val="32"/>
          <w:lang w:eastAsia="zh-CN"/>
        </w:rPr>
      </w:pPr>
      <w:r>
        <w:rPr>
          <w:rFonts w:hint="eastAsia" w:ascii="仿宋" w:hAnsi="仿宋" w:eastAsia="仿宋"/>
          <w:sz w:val="32"/>
          <w:szCs w:val="32"/>
        </w:rPr>
        <w:t>做市商可以通过固收专区“债券做市-做市评价结果查看”栏目查询季度及年度评价结果。</w:t>
      </w:r>
    </w:p>
    <w:p>
      <w:pPr>
        <w:pStyle w:val="3"/>
        <w:spacing w:beforeLines="0" w:afterLines="0"/>
        <w:ind w:firstLine="707" w:firstLineChars="221"/>
      </w:pPr>
      <w:bookmarkStart w:id="41" w:name="_Toc123811084"/>
      <w:r>
        <w:rPr>
          <w:rFonts w:hint="eastAsia"/>
        </w:rPr>
        <w:t>三、做市支持措施</w:t>
      </w:r>
      <w:bookmarkEnd w:id="41"/>
    </w:p>
    <w:p>
      <w:pPr>
        <w:adjustRightInd w:val="0"/>
        <w:snapToGrid w:val="0"/>
        <w:spacing w:beforeLines="0" w:afterLines="0" w:line="560" w:lineRule="exact"/>
        <w:ind w:firstLine="640"/>
        <w:rPr>
          <w:rFonts w:ascii="仿宋" w:hAnsi="仿宋" w:eastAsia="仿宋"/>
          <w:kern w:val="0"/>
          <w:sz w:val="32"/>
          <w:szCs w:val="32"/>
        </w:rPr>
      </w:pPr>
      <w:r>
        <w:rPr>
          <w:rFonts w:hint="eastAsia" w:ascii="仿宋" w:hAnsi="仿宋" w:eastAsia="仿宋" w:cs="仿宋"/>
          <w:kern w:val="0"/>
          <w:sz w:val="32"/>
          <w:szCs w:val="32"/>
        </w:rPr>
        <w:t>根据《关于</w:t>
      </w:r>
      <w:r>
        <w:rPr>
          <w:rFonts w:hint="eastAsia" w:ascii="仿宋" w:hAnsi="仿宋" w:eastAsia="仿宋" w:cs="仿宋"/>
          <w:kern w:val="0"/>
          <w:sz w:val="32"/>
          <w:szCs w:val="32"/>
          <w:lang w:eastAsia="zh-CN"/>
        </w:rPr>
        <w:t>减免</w:t>
      </w:r>
      <w:r>
        <w:rPr>
          <w:rFonts w:hint="eastAsia" w:ascii="仿宋" w:hAnsi="仿宋" w:eastAsia="仿宋" w:cs="仿宋"/>
          <w:kern w:val="0"/>
          <w:sz w:val="32"/>
          <w:szCs w:val="32"/>
          <w:lang w:val="en-US" w:eastAsia="zh-CN"/>
        </w:rPr>
        <w:t>2026年度相关</w:t>
      </w:r>
      <w:r>
        <w:rPr>
          <w:rFonts w:hint="eastAsia" w:ascii="仿宋" w:hAnsi="仿宋" w:eastAsia="仿宋" w:cs="仿宋"/>
          <w:kern w:val="0"/>
          <w:sz w:val="32"/>
          <w:szCs w:val="32"/>
        </w:rPr>
        <w:t>费</w:t>
      </w:r>
      <w:r>
        <w:rPr>
          <w:rFonts w:hint="eastAsia" w:ascii="仿宋" w:hAnsi="仿宋" w:eastAsia="仿宋" w:cs="仿宋"/>
          <w:kern w:val="0"/>
          <w:sz w:val="32"/>
          <w:szCs w:val="32"/>
          <w:lang w:eastAsia="zh-CN"/>
        </w:rPr>
        <w:t>用</w:t>
      </w:r>
      <w:r>
        <w:rPr>
          <w:rFonts w:hint="eastAsia" w:ascii="仿宋" w:hAnsi="仿宋" w:eastAsia="仿宋" w:cs="仿宋"/>
          <w:kern w:val="0"/>
          <w:sz w:val="32"/>
          <w:szCs w:val="32"/>
        </w:rPr>
        <w:t>的通知》相关安排，本所免收债券（不含可转换公司债券）及资产支持</w:t>
      </w:r>
      <w:r>
        <w:rPr>
          <w:rFonts w:hint="eastAsia" w:ascii="仿宋" w:hAnsi="仿宋" w:eastAsia="仿宋"/>
          <w:kern w:val="0"/>
          <w:sz w:val="32"/>
          <w:szCs w:val="32"/>
        </w:rPr>
        <w:t>证券</w:t>
      </w:r>
      <w:r>
        <w:rPr>
          <w:rFonts w:hint="eastAsia" w:ascii="仿宋" w:hAnsi="仿宋" w:eastAsia="仿宋"/>
          <w:kern w:val="0"/>
          <w:sz w:val="32"/>
          <w:szCs w:val="32"/>
          <w:lang w:val="en-US" w:eastAsia="zh-CN"/>
        </w:rPr>
        <w:t>2026年度</w:t>
      </w:r>
      <w:r>
        <w:rPr>
          <w:rFonts w:hint="eastAsia" w:ascii="仿宋" w:hAnsi="仿宋" w:eastAsia="仿宋"/>
          <w:kern w:val="0"/>
          <w:sz w:val="32"/>
          <w:szCs w:val="32"/>
        </w:rPr>
        <w:t>的流量费、交易经手费，相关安排同样适用于债券做市。</w:t>
      </w:r>
      <w:r>
        <w:rPr>
          <w:rFonts w:hint="eastAsia" w:ascii="仿宋" w:hAnsi="仿宋" w:eastAsia="仿宋"/>
          <w:sz w:val="32"/>
          <w:szCs w:val="32"/>
        </w:rPr>
        <w:t>根据做市商</w:t>
      </w:r>
      <w:r>
        <w:rPr>
          <w:rFonts w:hint="eastAsia" w:ascii="仿宋" w:hAnsi="仿宋" w:eastAsia="仿宋"/>
          <w:sz w:val="32"/>
          <w:szCs w:val="32"/>
          <w:lang w:eastAsia="zh-CN"/>
        </w:rPr>
        <w:t>季度及年度做市评价结果，本所定期</w:t>
      </w:r>
      <w:r>
        <w:rPr>
          <w:rFonts w:hint="eastAsia" w:ascii="仿宋" w:hAnsi="仿宋" w:eastAsia="仿宋" w:cs="仿宋"/>
          <w:sz w:val="32"/>
          <w:szCs w:val="32"/>
        </w:rPr>
        <w:t>向市场公布</w:t>
      </w:r>
      <w:r>
        <w:rPr>
          <w:rFonts w:hint="eastAsia" w:ascii="仿宋" w:hAnsi="仿宋" w:eastAsia="仿宋" w:cs="仿宋"/>
          <w:sz w:val="32"/>
          <w:szCs w:val="32"/>
          <w:lang w:eastAsia="zh-CN"/>
        </w:rPr>
        <w:t>排名靠前的</w:t>
      </w:r>
      <w:r>
        <w:rPr>
          <w:rFonts w:hint="eastAsia" w:ascii="仿宋" w:hAnsi="仿宋" w:eastAsia="仿宋"/>
          <w:sz w:val="32"/>
          <w:szCs w:val="32"/>
        </w:rPr>
        <w:t>优秀做市机构</w:t>
      </w:r>
      <w:r>
        <w:rPr>
          <w:rFonts w:hint="eastAsia" w:ascii="仿宋" w:hAnsi="仿宋" w:eastAsia="仿宋" w:cs="仿宋"/>
          <w:sz w:val="32"/>
          <w:szCs w:val="32"/>
        </w:rPr>
        <w:t>。</w:t>
      </w:r>
      <w:r>
        <w:rPr>
          <w:rFonts w:hint="eastAsia" w:ascii="仿宋" w:hAnsi="仿宋" w:eastAsia="仿宋" w:cs="仿宋"/>
          <w:sz w:val="32"/>
          <w:szCs w:val="32"/>
          <w:lang w:eastAsia="zh-CN"/>
        </w:rPr>
        <w:t>本所按规定将做市商债券做市情况提供其他各类业务开展或者评价参考，</w:t>
      </w:r>
      <w:r>
        <w:rPr>
          <w:rFonts w:hint="eastAsia" w:ascii="仿宋" w:hAnsi="仿宋" w:eastAsia="仿宋" w:cs="仿宋"/>
          <w:sz w:val="32"/>
          <w:szCs w:val="32"/>
          <w:highlight w:val="none"/>
          <w:lang w:eastAsia="zh-CN"/>
        </w:rPr>
        <w:t>并持续研究降低做市交易成本、优先开展创新业务等其他做市支持措施</w:t>
      </w:r>
      <w:r>
        <w:rPr>
          <w:rFonts w:hint="eastAsia" w:ascii="仿宋" w:hAnsi="仿宋" w:eastAsia="仿宋" w:cs="仿宋"/>
          <w:sz w:val="32"/>
          <w:szCs w:val="32"/>
          <w:lang w:eastAsia="zh-CN"/>
        </w:rPr>
        <w:t>。</w:t>
      </w:r>
    </w:p>
    <w:p>
      <w:pPr>
        <w:pStyle w:val="3"/>
        <w:spacing w:beforeLines="0" w:afterLines="0"/>
        <w:ind w:firstLine="707" w:firstLineChars="221"/>
      </w:pPr>
      <w:bookmarkStart w:id="42" w:name="_Toc123811085"/>
      <w:r>
        <w:rPr>
          <w:rFonts w:hint="eastAsia"/>
        </w:rPr>
        <w:t>四、监管豁免情形</w:t>
      </w:r>
      <w:bookmarkEnd w:id="42"/>
    </w:p>
    <w:p>
      <w:pPr>
        <w:snapToGrid w:val="0"/>
        <w:spacing w:beforeLines="0" w:afterLines="0" w:line="560" w:lineRule="exact"/>
        <w:ind w:firstLine="640"/>
        <w:rPr>
          <w:rFonts w:ascii="Times New Roman" w:hAnsi="Times New Roman" w:eastAsia="仿宋"/>
          <w:sz w:val="32"/>
          <w:szCs w:val="32"/>
        </w:rPr>
      </w:pPr>
      <w:r>
        <w:rPr>
          <w:rFonts w:hint="eastAsia" w:ascii="Times New Roman" w:hAnsi="Times New Roman" w:eastAsia="仿宋"/>
          <w:sz w:val="32"/>
          <w:szCs w:val="32"/>
        </w:rPr>
        <w:t>根据中国证监会《证券公司风险控制指标计算标准规定》相关条款，做市商在深市开展做市业务，可以豁免其所持单只债券的集中度要求。</w:t>
      </w:r>
    </w:p>
    <w:p>
      <w:pPr>
        <w:snapToGrid w:val="0"/>
        <w:spacing w:beforeLines="0" w:afterLines="0" w:line="560" w:lineRule="exact"/>
        <w:ind w:firstLine="640"/>
        <w:rPr>
          <w:rFonts w:hint="eastAsia" w:ascii="仿宋" w:hAnsi="仿宋" w:eastAsia="仿宋" w:cs="仿宋"/>
          <w:sz w:val="32"/>
          <w:szCs w:val="32"/>
        </w:rPr>
      </w:pPr>
      <w:r>
        <w:rPr>
          <w:rFonts w:hint="eastAsia" w:ascii="Times New Roman" w:hAnsi="Times New Roman" w:eastAsia="仿宋"/>
          <w:sz w:val="32"/>
          <w:szCs w:val="32"/>
        </w:rPr>
        <w:t>根据《交易规则》和《做市指引》相关规定，做市商因开展做市业务发生《交易</w:t>
      </w:r>
      <w:r>
        <w:rPr>
          <w:rFonts w:hint="eastAsia" w:ascii="仿宋" w:hAnsi="仿宋" w:eastAsia="仿宋" w:cs="仿宋"/>
          <w:sz w:val="32"/>
          <w:szCs w:val="32"/>
        </w:rPr>
        <w:t>规则》第7.2条第二项、第三项与第八项规定的异常交易行为，属于做市业务合理范围且未影响正常交易秩序的，本所不采取自律监管措施。上述异常交易行为包括：</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（一）拉抬打压，即大笔申报、连续申报、密集申报或者以明显偏离债券最新成交价或者合理价值的价格申报成交，期间债券交易价格明显上涨或者下跌；</w:t>
      </w:r>
    </w:p>
    <w:p>
      <w:pPr>
        <w:snapToGrid w:val="0"/>
        <w:spacing w:beforeLines="0" w:afterLines="0" w:line="560" w:lineRule="exact"/>
        <w:ind w:firstLine="640"/>
        <w:rPr>
          <w:rFonts w:hint="eastAsia" w:ascii="仿宋" w:hAnsi="仿宋" w:eastAsia="仿宋" w:cs="仿宋"/>
          <w:sz w:val="32"/>
          <w:szCs w:val="32"/>
        </w:rPr>
      </w:pPr>
      <w:r>
        <w:rPr>
          <w:rFonts w:hint="eastAsia" w:ascii="仿宋" w:hAnsi="仿宋" w:eastAsia="仿宋" w:cs="仿宋"/>
          <w:sz w:val="32"/>
          <w:szCs w:val="32"/>
        </w:rPr>
        <w:t>（二）单个账户、自己实际控制的账户之间或者关联账户之间大量或者频繁进行自买自卖、互为对手方的交易或者反向交易，影响债券交易价格或者交易量；</w:t>
      </w:r>
    </w:p>
    <w:p>
      <w:pPr>
        <w:snapToGrid w:val="0"/>
        <w:spacing w:beforeLines="0" w:afterLines="0" w:line="560" w:lineRule="exact"/>
        <w:ind w:firstLine="640"/>
        <w:rPr>
          <w:rFonts w:hint="eastAsia" w:ascii="仿宋" w:hAnsi="仿宋" w:eastAsia="仿宋"/>
          <w:sz w:val="32"/>
          <w:szCs w:val="32"/>
        </w:rPr>
      </w:pPr>
      <w:r>
        <w:rPr>
          <w:rFonts w:hint="eastAsia" w:ascii="Times New Roman" w:hAnsi="Times New Roman" w:eastAsia="仿宋"/>
          <w:sz w:val="32"/>
          <w:szCs w:val="32"/>
        </w:rPr>
        <w:t>（三）对单一债券在一段时期内进行大量且连续的交</w:t>
      </w:r>
      <w:r>
        <w:rPr>
          <w:rFonts w:hint="eastAsia" w:ascii="仿宋" w:hAnsi="仿宋" w:eastAsia="仿宋"/>
          <w:sz w:val="32"/>
          <w:szCs w:val="32"/>
        </w:rPr>
        <w:t>易。</w:t>
      </w:r>
    </w:p>
    <w:p>
      <w:pPr>
        <w:snapToGrid w:val="0"/>
        <w:spacing w:beforeLines="0" w:afterLines="0" w:line="560" w:lineRule="exact"/>
        <w:ind w:firstLine="640"/>
        <w:rPr>
          <w:rFonts w:hint="eastAsia" w:ascii="仿宋" w:hAnsi="仿宋" w:eastAsia="仿宋"/>
          <w:sz w:val="32"/>
          <w:szCs w:val="32"/>
        </w:rPr>
      </w:pPr>
    </w:p>
    <w:p>
      <w:pPr>
        <w:snapToGrid w:val="0"/>
        <w:spacing w:beforeLines="0" w:afterLines="0" w:line="560" w:lineRule="exact"/>
        <w:ind w:firstLine="640"/>
        <w:rPr>
          <w:rFonts w:hint="eastAsia"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rPr>
        <w:t>基准做市实施方案</w:t>
      </w:r>
    </w:p>
    <w:p>
      <w:pPr>
        <w:snapToGrid w:val="0"/>
        <w:spacing w:beforeLines="0" w:afterLines="0" w:line="560" w:lineRule="exact"/>
        <w:ind w:firstLine="1600" w:firstLineChars="5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关于债券做市业务准备情况的专项说明（参考模板）</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一般做市业务报备表</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暂停做市业务申请表</w:t>
      </w:r>
    </w:p>
    <w:p>
      <w:pPr>
        <w:snapToGrid w:val="0"/>
        <w:spacing w:beforeLines="0" w:afterLines="0" w:line="56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恢复做市业务申请表</w:t>
      </w:r>
    </w:p>
    <w:p>
      <w:pPr>
        <w:snapToGrid w:val="0"/>
        <w:spacing w:beforeLines="0" w:afterLines="0" w:line="560" w:lineRule="exact"/>
        <w:ind w:firstLine="1600" w:firstLineChars="500"/>
        <w:rPr>
          <w:rFonts w:hint="default"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rPr>
        <w:t>终止做市业务申请表（基准/一般）</w:t>
      </w:r>
    </w:p>
    <w:p>
      <w:pPr>
        <w:widowControl/>
        <w:spacing w:line="560" w:lineRule="exact"/>
        <w:ind w:firstLine="0" w:firstLineChars="0"/>
        <w:jc w:val="left"/>
        <w:rPr>
          <w:rFonts w:ascii="仿宋" w:hAnsi="仿宋" w:eastAsia="仿宋" w:cs="华文仿宋"/>
          <w:sz w:val="32"/>
          <w:szCs w:val="32"/>
        </w:rPr>
      </w:pPr>
      <w:r>
        <w:rPr>
          <w:rFonts w:ascii="仿宋" w:hAnsi="仿宋" w:eastAsia="仿宋" w:cs="华文仿宋"/>
          <w:sz w:val="32"/>
          <w:szCs w:val="32"/>
        </w:rPr>
        <w:br w:type="page"/>
      </w:r>
    </w:p>
    <w:p>
      <w:pPr>
        <w:pStyle w:val="3"/>
        <w:ind w:firstLine="0" w:firstLineChars="0"/>
      </w:pPr>
      <w:bookmarkStart w:id="43" w:name="_Toc123811086"/>
      <w:r>
        <w:rPr>
          <w:rFonts w:hint="eastAsia"/>
        </w:rPr>
        <w:t>附件</w:t>
      </w:r>
      <w:r>
        <w:t>1</w:t>
      </w:r>
      <w:bookmarkEnd w:id="43"/>
    </w:p>
    <w:p>
      <w:pPr>
        <w:widowControl/>
        <w:adjustRightInd w:val="0"/>
        <w:snapToGrid w:val="0"/>
        <w:ind w:firstLine="880"/>
        <w:jc w:val="center"/>
        <w:rPr>
          <w:rFonts w:ascii="方正小标宋简体" w:hAnsi="Times New Roman" w:eastAsia="方正小标宋简体"/>
          <w:sz w:val="44"/>
          <w:szCs w:val="44"/>
        </w:rPr>
      </w:pPr>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XX公司基准做市实施方案</w:t>
      </w:r>
    </w:p>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569"/>
        <w:gridCol w:w="285"/>
        <w:gridCol w:w="289"/>
        <w:gridCol w:w="42"/>
        <w:gridCol w:w="1086"/>
        <w:gridCol w:w="116"/>
        <w:gridCol w:w="1160"/>
        <w:gridCol w:w="376"/>
        <w:gridCol w:w="758"/>
        <w:gridCol w:w="525"/>
        <w:gridCol w:w="95"/>
        <w:gridCol w:w="372"/>
        <w:gridCol w:w="14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37" w:type="dxa"/>
            <w:gridSpan w:val="15"/>
            <w:shd w:val="clear" w:color="auto" w:fill="F1F1F1"/>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cs="宋体"/>
                <w:color w:val="000000"/>
                <w:kern w:val="0"/>
                <w:sz w:val="24"/>
                <w:szCs w:val="24"/>
              </w:rPr>
              <w:t>机构名称</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注册地</w:t>
            </w:r>
          </w:p>
        </w:tc>
        <w:tc>
          <w:tcPr>
            <w:tcW w:w="2404" w:type="dxa"/>
            <w:gridSpan w:val="4"/>
            <w:vAlign w:val="center"/>
          </w:tcPr>
          <w:p>
            <w:pPr>
              <w:snapToGrid w:val="0"/>
              <w:ind w:firstLine="0" w:firstLineChars="0"/>
              <w:rPr>
                <w:sz w:val="24"/>
                <w:szCs w:val="24"/>
              </w:rPr>
            </w:pPr>
          </w:p>
        </w:tc>
        <w:tc>
          <w:tcPr>
            <w:tcW w:w="1754" w:type="dxa"/>
            <w:gridSpan w:val="4"/>
            <w:vAlign w:val="center"/>
          </w:tcPr>
          <w:p>
            <w:pPr>
              <w:snapToGrid w:val="0"/>
              <w:ind w:firstLine="0" w:firstLineChars="0"/>
              <w:rPr>
                <w:sz w:val="24"/>
                <w:szCs w:val="24"/>
              </w:rPr>
            </w:pPr>
            <w:r>
              <w:rPr>
                <w:rFonts w:hint="eastAsia" w:ascii="仿宋" w:hAnsi="仿宋" w:eastAsia="仿宋"/>
                <w:sz w:val="24"/>
                <w:szCs w:val="24"/>
              </w:rPr>
              <w:t>注册资本</w:t>
            </w:r>
          </w:p>
        </w:tc>
        <w:tc>
          <w:tcPr>
            <w:tcW w:w="1797"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成立时间</w:t>
            </w:r>
          </w:p>
        </w:tc>
        <w:tc>
          <w:tcPr>
            <w:tcW w:w="2404" w:type="dxa"/>
            <w:gridSpan w:val="4"/>
            <w:vAlign w:val="center"/>
          </w:tcPr>
          <w:p>
            <w:pPr>
              <w:snapToGrid w:val="0"/>
              <w:ind w:firstLine="0" w:firstLineChars="0"/>
              <w:rPr>
                <w:sz w:val="24"/>
                <w:szCs w:val="24"/>
              </w:rPr>
            </w:pPr>
          </w:p>
        </w:tc>
        <w:tc>
          <w:tcPr>
            <w:tcW w:w="1754" w:type="dxa"/>
            <w:gridSpan w:val="4"/>
            <w:vAlign w:val="center"/>
          </w:tcPr>
          <w:p>
            <w:pPr>
              <w:snapToGrid w:val="0"/>
              <w:ind w:firstLine="0" w:firstLineChars="0"/>
              <w:rPr>
                <w:sz w:val="24"/>
                <w:szCs w:val="24"/>
              </w:rPr>
            </w:pPr>
            <w:r>
              <w:rPr>
                <w:rFonts w:hint="eastAsia" w:ascii="仿宋" w:hAnsi="仿宋" w:eastAsia="仿宋"/>
                <w:sz w:val="24"/>
                <w:szCs w:val="24"/>
              </w:rPr>
              <w:t>法定代表人</w:t>
            </w:r>
          </w:p>
        </w:tc>
        <w:tc>
          <w:tcPr>
            <w:tcW w:w="1797"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主要股东及其持股情况</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通讯地址</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482" w:type="dxa"/>
            <w:gridSpan w:val="4"/>
            <w:vAlign w:val="center"/>
          </w:tcPr>
          <w:p>
            <w:pPr>
              <w:snapToGrid w:val="0"/>
              <w:ind w:firstLine="0" w:firstLineChars="0"/>
              <w:rPr>
                <w:sz w:val="24"/>
                <w:szCs w:val="24"/>
              </w:rPr>
            </w:pPr>
            <w:r>
              <w:rPr>
                <w:rFonts w:hint="eastAsia" w:ascii="仿宋" w:hAnsi="仿宋" w:eastAsia="仿宋"/>
                <w:sz w:val="24"/>
                <w:szCs w:val="24"/>
              </w:rPr>
              <w:t>机构类型</w:t>
            </w:r>
          </w:p>
        </w:tc>
        <w:tc>
          <w:tcPr>
            <w:tcW w:w="5955" w:type="dxa"/>
            <w:gridSpan w:val="11"/>
            <w:vAlign w:val="center"/>
          </w:tcPr>
          <w:p>
            <w:pPr>
              <w:snapToGrid w:val="0"/>
              <w:ind w:firstLine="0" w:firstLineChars="0"/>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snapToGrid w:val="0"/>
              <w:ind w:firstLine="0" w:firstLineChars="0"/>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snapToGrid w:val="0"/>
              <w:ind w:firstLine="0" w:firstLineChars="0"/>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snapToGrid w:val="0"/>
              <w:ind w:firstLine="0" w:firstLineChars="0"/>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snapToGrid w:val="0"/>
              <w:ind w:firstLine="0" w:firstLineChars="0"/>
              <w:rPr>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w:t>
            </w:r>
            <w:r>
              <w:rPr>
                <w:sz w:val="24"/>
                <w:szCs w:val="24"/>
              </w:rPr>
              <w:t xml:space="preserve"> </w:t>
            </w:r>
            <w:r>
              <w:rPr>
                <w:rFonts w:hint="eastAsia"/>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82" w:type="dxa"/>
            <w:gridSpan w:val="4"/>
            <w:vAlign w:val="center"/>
          </w:tcPr>
          <w:p>
            <w:pPr>
              <w:snapToGrid w:val="0"/>
              <w:ind w:firstLine="0" w:firstLineChars="0"/>
              <w:rPr>
                <w:rFonts w:ascii="仿宋" w:hAnsi="仿宋" w:eastAsia="仿宋"/>
                <w:sz w:val="24"/>
                <w:szCs w:val="24"/>
              </w:rPr>
            </w:pPr>
            <w:r>
              <w:rPr>
                <w:rFonts w:hint="eastAsia" w:ascii="仿宋" w:hAnsi="仿宋" w:eastAsia="仿宋"/>
                <w:sz w:val="24"/>
                <w:szCs w:val="24"/>
              </w:rPr>
              <w:t>是否已为债券交易</w:t>
            </w:r>
          </w:p>
          <w:p>
            <w:pPr>
              <w:snapToGrid w:val="0"/>
              <w:ind w:firstLine="0" w:firstLineChars="0"/>
              <w:rPr>
                <w:rFonts w:ascii="仿宋" w:hAnsi="仿宋" w:eastAsia="仿宋"/>
                <w:sz w:val="24"/>
                <w:szCs w:val="24"/>
              </w:rPr>
            </w:pPr>
            <w:r>
              <w:rPr>
                <w:rFonts w:hint="eastAsia" w:ascii="仿宋" w:hAnsi="仿宋" w:eastAsia="仿宋"/>
                <w:sz w:val="24"/>
                <w:szCs w:val="24"/>
              </w:rPr>
              <w:t>参与人</w:t>
            </w:r>
          </w:p>
        </w:tc>
        <w:tc>
          <w:tcPr>
            <w:tcW w:w="5955" w:type="dxa"/>
            <w:gridSpan w:val="11"/>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82" w:type="dxa"/>
            <w:gridSpan w:val="4"/>
            <w:tcBorders>
              <w:bottom w:val="single" w:color="auto" w:sz="4" w:space="0"/>
            </w:tcBorders>
            <w:vAlign w:val="center"/>
          </w:tcPr>
          <w:p>
            <w:pPr>
              <w:snapToGrid w:val="0"/>
              <w:ind w:firstLine="0" w:firstLineChars="0"/>
              <w:rPr>
                <w:sz w:val="24"/>
                <w:szCs w:val="24"/>
              </w:rPr>
            </w:pPr>
            <w:r>
              <w:rPr>
                <w:rFonts w:hint="eastAsia"/>
                <w:sz w:val="24"/>
                <w:szCs w:val="24"/>
              </w:rPr>
              <w:t>最近一个会计年度注册资本（万元）</w:t>
            </w:r>
          </w:p>
        </w:tc>
        <w:tc>
          <w:tcPr>
            <w:tcW w:w="2404" w:type="dxa"/>
            <w:gridSpan w:val="4"/>
            <w:tcBorders>
              <w:bottom w:val="single" w:color="auto" w:sz="4" w:space="0"/>
            </w:tcBorders>
            <w:vAlign w:val="center"/>
          </w:tcPr>
          <w:p>
            <w:pPr>
              <w:snapToGrid w:val="0"/>
              <w:ind w:firstLine="0" w:firstLineChars="0"/>
              <w:rPr>
                <w:sz w:val="24"/>
                <w:szCs w:val="24"/>
              </w:rPr>
            </w:pPr>
          </w:p>
        </w:tc>
        <w:tc>
          <w:tcPr>
            <w:tcW w:w="2126" w:type="dxa"/>
            <w:gridSpan w:val="5"/>
            <w:tcBorders>
              <w:bottom w:val="single" w:color="auto" w:sz="4" w:space="0"/>
            </w:tcBorders>
            <w:vAlign w:val="center"/>
          </w:tcPr>
          <w:p>
            <w:pPr>
              <w:snapToGrid w:val="0"/>
              <w:ind w:firstLine="0" w:firstLineChars="0"/>
              <w:rPr>
                <w:sz w:val="24"/>
                <w:szCs w:val="24"/>
              </w:rPr>
            </w:pPr>
            <w:r>
              <w:rPr>
                <w:rFonts w:hint="eastAsia"/>
                <w:sz w:val="24"/>
                <w:szCs w:val="24"/>
              </w:rPr>
              <w:t>最近一个会计年度净资本（万元）</w:t>
            </w:r>
          </w:p>
        </w:tc>
        <w:tc>
          <w:tcPr>
            <w:tcW w:w="1425" w:type="dxa"/>
            <w:gridSpan w:val="2"/>
            <w:tcBorders>
              <w:bottom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82" w:type="dxa"/>
            <w:gridSpan w:val="4"/>
            <w:vMerge w:val="restart"/>
            <w:vAlign w:val="center"/>
          </w:tcPr>
          <w:p>
            <w:pPr>
              <w:snapToGrid w:val="0"/>
              <w:ind w:firstLine="0" w:firstLineChars="0"/>
              <w:rPr>
                <w:sz w:val="24"/>
                <w:szCs w:val="24"/>
              </w:rPr>
            </w:pPr>
            <w:r>
              <w:rPr>
                <w:rFonts w:hint="eastAsia"/>
                <w:sz w:val="24"/>
                <w:szCs w:val="24"/>
              </w:rPr>
              <w:t>最近2年交易所市场债券现券年交易量（亿元）</w:t>
            </w: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restart"/>
            <w:vAlign w:val="center"/>
          </w:tcPr>
          <w:p>
            <w:pPr>
              <w:snapToGrid w:val="0"/>
              <w:ind w:firstLine="0" w:firstLineChars="0"/>
              <w:rPr>
                <w:sz w:val="24"/>
                <w:szCs w:val="24"/>
              </w:rPr>
            </w:pPr>
            <w:r>
              <w:rPr>
                <w:rFonts w:hint="eastAsia"/>
                <w:sz w:val="24"/>
                <w:szCs w:val="24"/>
              </w:rPr>
              <w:t>最近2年交易所市场债券现券年日均持仓量（亿元）</w:t>
            </w:r>
          </w:p>
        </w:tc>
        <w:tc>
          <w:tcPr>
            <w:tcW w:w="1425" w:type="dxa"/>
            <w:gridSpan w:val="2"/>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82" w:type="dxa"/>
            <w:gridSpan w:val="4"/>
            <w:vMerge w:val="continue"/>
            <w:tcBorders>
              <w:bottom w:val="single" w:color="auto" w:sz="4" w:space="0"/>
            </w:tcBorders>
            <w:vAlign w:val="center"/>
          </w:tcPr>
          <w:p>
            <w:pPr>
              <w:snapToGrid w:val="0"/>
              <w:ind w:firstLine="0" w:firstLineChars="0"/>
              <w:rPr>
                <w:sz w:val="24"/>
                <w:szCs w:val="24"/>
              </w:rPr>
            </w:pP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continue"/>
            <w:tcBorders>
              <w:bottom w:val="single" w:color="auto" w:sz="4" w:space="0"/>
            </w:tcBorders>
            <w:vAlign w:val="center"/>
          </w:tcPr>
          <w:p>
            <w:pPr>
              <w:snapToGrid w:val="0"/>
              <w:ind w:firstLine="0" w:firstLineChars="0"/>
              <w:rPr>
                <w:sz w:val="24"/>
                <w:szCs w:val="24"/>
              </w:rPr>
            </w:pPr>
          </w:p>
        </w:tc>
        <w:tc>
          <w:tcPr>
            <w:tcW w:w="1425" w:type="dxa"/>
            <w:gridSpan w:val="2"/>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482" w:type="dxa"/>
            <w:gridSpan w:val="4"/>
            <w:vMerge w:val="restart"/>
            <w:vAlign w:val="center"/>
          </w:tcPr>
          <w:p>
            <w:pPr>
              <w:snapToGrid w:val="0"/>
              <w:ind w:firstLine="0" w:firstLineChars="0"/>
              <w:rPr>
                <w:sz w:val="24"/>
                <w:szCs w:val="24"/>
              </w:rPr>
            </w:pPr>
            <w:r>
              <w:rPr>
                <w:rFonts w:hint="eastAsia"/>
                <w:sz w:val="24"/>
                <w:szCs w:val="24"/>
              </w:rPr>
              <w:t>最近2年银行间市场债券现券年交易量（亿元）</w:t>
            </w: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restart"/>
            <w:vAlign w:val="center"/>
          </w:tcPr>
          <w:p>
            <w:pPr>
              <w:snapToGrid w:val="0"/>
              <w:ind w:firstLine="0" w:firstLineChars="0"/>
              <w:rPr>
                <w:sz w:val="24"/>
                <w:szCs w:val="24"/>
              </w:rPr>
            </w:pPr>
            <w:r>
              <w:rPr>
                <w:rFonts w:hint="eastAsia"/>
                <w:sz w:val="24"/>
                <w:szCs w:val="24"/>
              </w:rPr>
              <w:t>最近2年银行间市场债券现券年日均持仓量（亿元）</w:t>
            </w:r>
          </w:p>
        </w:tc>
        <w:tc>
          <w:tcPr>
            <w:tcW w:w="1425" w:type="dxa"/>
            <w:gridSpan w:val="2"/>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482" w:type="dxa"/>
            <w:gridSpan w:val="4"/>
            <w:vMerge w:val="continue"/>
            <w:tcBorders>
              <w:bottom w:val="single" w:color="auto" w:sz="4" w:space="0"/>
            </w:tcBorders>
            <w:vAlign w:val="center"/>
          </w:tcPr>
          <w:p>
            <w:pPr>
              <w:snapToGrid w:val="0"/>
              <w:ind w:firstLine="0" w:firstLineChars="0"/>
              <w:rPr>
                <w:sz w:val="24"/>
                <w:szCs w:val="24"/>
              </w:rPr>
            </w:pPr>
          </w:p>
        </w:tc>
        <w:tc>
          <w:tcPr>
            <w:tcW w:w="2404" w:type="dxa"/>
            <w:gridSpan w:val="4"/>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c>
          <w:tcPr>
            <w:tcW w:w="2126" w:type="dxa"/>
            <w:gridSpan w:val="5"/>
            <w:vMerge w:val="continue"/>
            <w:tcBorders>
              <w:bottom w:val="single" w:color="auto" w:sz="4" w:space="0"/>
            </w:tcBorders>
            <w:vAlign w:val="center"/>
          </w:tcPr>
          <w:p>
            <w:pPr>
              <w:snapToGrid w:val="0"/>
              <w:ind w:firstLine="0" w:firstLineChars="0"/>
              <w:rPr>
                <w:sz w:val="24"/>
                <w:szCs w:val="24"/>
              </w:rPr>
            </w:pPr>
          </w:p>
        </w:tc>
        <w:tc>
          <w:tcPr>
            <w:tcW w:w="1425" w:type="dxa"/>
            <w:gridSpan w:val="2"/>
            <w:tcBorders>
              <w:bottom w:val="single" w:color="auto" w:sz="4" w:space="0"/>
            </w:tcBorders>
            <w:vAlign w:val="center"/>
          </w:tcPr>
          <w:p>
            <w:pPr>
              <w:snapToGrid w:val="0"/>
              <w:ind w:firstLine="0" w:firstLineChars="0"/>
              <w:rPr>
                <w:sz w:val="24"/>
                <w:szCs w:val="24"/>
              </w:rPr>
            </w:pPr>
            <w:r>
              <w:rPr>
                <w:rFonts w:ascii="仿宋" w:hAnsi="仿宋" w:eastAsia="仿宋"/>
                <w:color w:val="000000"/>
                <w:sz w:val="24"/>
                <w:szCs w:val="24"/>
              </w:rPr>
              <w:t>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08" w:type="dxa"/>
            <w:gridSpan w:val="2"/>
            <w:tcBorders>
              <w:bottom w:val="single" w:color="auto" w:sz="4" w:space="0"/>
            </w:tcBorders>
            <w:vAlign w:val="center"/>
          </w:tcPr>
          <w:p>
            <w:pPr>
              <w:snapToGrid w:val="0"/>
              <w:ind w:firstLine="0" w:firstLineChars="0"/>
              <w:rPr>
                <w:sz w:val="24"/>
                <w:szCs w:val="24"/>
              </w:rPr>
            </w:pPr>
            <w:r>
              <w:rPr>
                <w:rFonts w:hint="eastAsia"/>
                <w:sz w:val="24"/>
                <w:szCs w:val="24"/>
              </w:rPr>
              <w:t>证券或资金违约情况说明</w:t>
            </w:r>
          </w:p>
        </w:tc>
        <w:tc>
          <w:tcPr>
            <w:tcW w:w="6529" w:type="dxa"/>
            <w:gridSpan w:val="13"/>
            <w:tcBorders>
              <w:bottom w:val="single" w:color="auto" w:sz="4" w:space="0"/>
            </w:tcBorders>
            <w:vAlign w:val="center"/>
          </w:tcPr>
          <w:p>
            <w:pPr>
              <w:snapToGrid w:val="0"/>
              <w:ind w:firstLine="0" w:firstLineChars="0"/>
              <w:rPr>
                <w:sz w:val="24"/>
                <w:szCs w:val="24"/>
              </w:rPr>
            </w:pPr>
            <w:r>
              <w:rPr>
                <w:rFonts w:hint="eastAsia"/>
                <w:sz w:val="24"/>
                <w:szCs w:val="24"/>
              </w:rPr>
              <w:t>近两年是否发生过监管机构关注的证券或资金交收违约事件（包括交易所及银行间债券市场）。如有，请说明相关情况。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08" w:type="dxa"/>
            <w:gridSpan w:val="2"/>
            <w:tcBorders>
              <w:bottom w:val="single" w:color="auto" w:sz="4" w:space="0"/>
            </w:tcBorders>
            <w:vAlign w:val="center"/>
          </w:tcPr>
          <w:p>
            <w:pPr>
              <w:snapToGrid w:val="0"/>
              <w:ind w:firstLine="0" w:firstLineChars="0"/>
              <w:rPr>
                <w:sz w:val="24"/>
                <w:szCs w:val="24"/>
              </w:rPr>
            </w:pPr>
            <w:r>
              <w:rPr>
                <w:rFonts w:hint="eastAsia"/>
                <w:sz w:val="24"/>
                <w:szCs w:val="24"/>
              </w:rPr>
              <w:t>合规情况说明</w:t>
            </w:r>
          </w:p>
        </w:tc>
        <w:tc>
          <w:tcPr>
            <w:tcW w:w="6529" w:type="dxa"/>
            <w:gridSpan w:val="13"/>
            <w:tcBorders>
              <w:bottom w:val="single" w:color="auto" w:sz="4" w:space="0"/>
            </w:tcBorders>
            <w:vAlign w:val="center"/>
          </w:tcPr>
          <w:p>
            <w:pPr>
              <w:snapToGrid w:val="0"/>
              <w:ind w:firstLine="0" w:firstLineChars="0"/>
              <w:rPr>
                <w:sz w:val="24"/>
                <w:szCs w:val="24"/>
              </w:rPr>
            </w:pPr>
            <w:r>
              <w:rPr>
                <w:rFonts w:hint="eastAsia"/>
                <w:sz w:val="24"/>
                <w:szCs w:val="24"/>
              </w:rPr>
              <w:t>近两年是否因为违法或重大违规受到处罚（包括交易所及银行间债券市场）。如有，请说明相关情况。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08" w:type="dxa"/>
            <w:gridSpan w:val="2"/>
            <w:vAlign w:val="center"/>
          </w:tcPr>
          <w:p>
            <w:pPr>
              <w:snapToGrid w:val="0"/>
              <w:ind w:firstLine="0" w:firstLineChars="0"/>
              <w:jc w:val="center"/>
              <w:rPr>
                <w:sz w:val="24"/>
                <w:szCs w:val="24"/>
              </w:rPr>
            </w:pPr>
            <w:r>
              <w:rPr>
                <w:rFonts w:hint="eastAsia"/>
                <w:sz w:val="24"/>
                <w:szCs w:val="24"/>
              </w:rPr>
              <w:t>做市业务负责人</w:t>
            </w:r>
          </w:p>
        </w:tc>
        <w:tc>
          <w:tcPr>
            <w:tcW w:w="1702" w:type="dxa"/>
            <w:gridSpan w:val="4"/>
            <w:vAlign w:val="center"/>
          </w:tcPr>
          <w:p>
            <w:pPr>
              <w:snapToGrid w:val="0"/>
              <w:ind w:firstLine="0" w:firstLineChars="0"/>
              <w:jc w:val="center"/>
              <w:rPr>
                <w:sz w:val="24"/>
                <w:szCs w:val="24"/>
              </w:rPr>
            </w:pPr>
            <w:r>
              <w:rPr>
                <w:rFonts w:hint="eastAsia"/>
                <w:sz w:val="24"/>
                <w:szCs w:val="24"/>
              </w:rPr>
              <w:t>部门及职务</w:t>
            </w:r>
          </w:p>
        </w:tc>
        <w:tc>
          <w:tcPr>
            <w:tcW w:w="1276" w:type="dxa"/>
            <w:gridSpan w:val="2"/>
            <w:vAlign w:val="center"/>
          </w:tcPr>
          <w:p>
            <w:pPr>
              <w:snapToGrid w:val="0"/>
              <w:ind w:firstLine="0" w:firstLineChars="0"/>
              <w:jc w:val="center"/>
              <w:rPr>
                <w:sz w:val="24"/>
                <w:szCs w:val="24"/>
              </w:rPr>
            </w:pPr>
            <w:r>
              <w:rPr>
                <w:rFonts w:hint="eastAsia"/>
                <w:sz w:val="24"/>
                <w:szCs w:val="24"/>
              </w:rPr>
              <w:t>座机号码</w:t>
            </w:r>
          </w:p>
        </w:tc>
        <w:tc>
          <w:tcPr>
            <w:tcW w:w="1134" w:type="dxa"/>
            <w:gridSpan w:val="2"/>
            <w:vAlign w:val="center"/>
          </w:tcPr>
          <w:p>
            <w:pPr>
              <w:snapToGrid w:val="0"/>
              <w:ind w:firstLine="26" w:firstLineChars="11"/>
              <w:jc w:val="center"/>
              <w:rPr>
                <w:sz w:val="24"/>
                <w:szCs w:val="24"/>
              </w:rPr>
            </w:pPr>
            <w:r>
              <w:rPr>
                <w:rFonts w:hint="eastAsia"/>
                <w:sz w:val="24"/>
                <w:szCs w:val="24"/>
              </w:rPr>
              <w:t>手机号码</w:t>
            </w:r>
          </w:p>
        </w:tc>
        <w:tc>
          <w:tcPr>
            <w:tcW w:w="1135" w:type="dxa"/>
            <w:gridSpan w:val="4"/>
            <w:vAlign w:val="center"/>
          </w:tcPr>
          <w:p>
            <w:pPr>
              <w:snapToGrid w:val="0"/>
              <w:ind w:firstLine="26" w:firstLineChars="11"/>
              <w:jc w:val="center"/>
              <w:rPr>
                <w:sz w:val="24"/>
                <w:szCs w:val="24"/>
              </w:rPr>
            </w:pPr>
            <w:r>
              <w:rPr>
                <w:rFonts w:hint="eastAsia"/>
                <w:sz w:val="24"/>
                <w:szCs w:val="24"/>
              </w:rPr>
              <w:t>传真</w:t>
            </w:r>
          </w:p>
        </w:tc>
        <w:tc>
          <w:tcPr>
            <w:tcW w:w="1282" w:type="dxa"/>
            <w:vAlign w:val="center"/>
          </w:tcPr>
          <w:p>
            <w:pPr>
              <w:snapToGrid w:val="0"/>
              <w:spacing w:before="120" w:after="120"/>
              <w:ind w:firstLine="0" w:firstLineChars="0"/>
              <w:jc w:val="center"/>
              <w:rPr>
                <w:rFonts w:ascii="仿宋" w:hAnsi="仿宋" w:eastAsia="仿宋"/>
                <w:sz w:val="24"/>
                <w:szCs w:val="24"/>
              </w:rPr>
            </w:pPr>
            <w:r>
              <w:rPr>
                <w:rFonts w:hint="eastAsia" w:ascii="仿宋" w:hAnsi="仿宋" w:eastAsia="仿宋"/>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8" w:type="dxa"/>
            <w:gridSpan w:val="2"/>
            <w:vAlign w:val="center"/>
          </w:tcPr>
          <w:p>
            <w:pPr>
              <w:snapToGrid w:val="0"/>
              <w:ind w:firstLine="0" w:firstLineChars="0"/>
              <w:jc w:val="center"/>
              <w:rPr>
                <w:sz w:val="24"/>
                <w:szCs w:val="24"/>
              </w:rPr>
            </w:pPr>
          </w:p>
        </w:tc>
        <w:tc>
          <w:tcPr>
            <w:tcW w:w="1702" w:type="dxa"/>
            <w:gridSpan w:val="4"/>
            <w:vAlign w:val="center"/>
          </w:tcPr>
          <w:p>
            <w:pPr>
              <w:snapToGrid w:val="0"/>
              <w:ind w:firstLine="0" w:firstLineChars="0"/>
              <w:jc w:val="center"/>
              <w:rPr>
                <w:sz w:val="24"/>
                <w:szCs w:val="24"/>
              </w:rPr>
            </w:pPr>
          </w:p>
        </w:tc>
        <w:tc>
          <w:tcPr>
            <w:tcW w:w="1276" w:type="dxa"/>
            <w:gridSpan w:val="2"/>
            <w:vAlign w:val="center"/>
          </w:tcPr>
          <w:p>
            <w:pPr>
              <w:snapToGrid w:val="0"/>
              <w:ind w:firstLine="0" w:firstLineChars="0"/>
              <w:jc w:val="center"/>
              <w:rPr>
                <w:sz w:val="24"/>
                <w:szCs w:val="24"/>
              </w:rPr>
            </w:pPr>
          </w:p>
        </w:tc>
        <w:tc>
          <w:tcPr>
            <w:tcW w:w="1134" w:type="dxa"/>
            <w:gridSpan w:val="2"/>
            <w:vAlign w:val="center"/>
          </w:tcPr>
          <w:p>
            <w:pPr>
              <w:snapToGrid w:val="0"/>
              <w:ind w:firstLine="0" w:firstLineChars="0"/>
              <w:jc w:val="center"/>
              <w:rPr>
                <w:sz w:val="24"/>
                <w:szCs w:val="24"/>
              </w:rPr>
            </w:pPr>
          </w:p>
        </w:tc>
        <w:tc>
          <w:tcPr>
            <w:tcW w:w="1135" w:type="dxa"/>
            <w:gridSpan w:val="4"/>
            <w:vAlign w:val="center"/>
          </w:tcPr>
          <w:p>
            <w:pPr>
              <w:snapToGrid w:val="0"/>
              <w:ind w:firstLine="0" w:firstLineChars="0"/>
              <w:jc w:val="center"/>
              <w:rPr>
                <w:sz w:val="24"/>
                <w:szCs w:val="24"/>
              </w:rPr>
            </w:pPr>
          </w:p>
        </w:tc>
        <w:tc>
          <w:tcPr>
            <w:tcW w:w="1282" w:type="dxa"/>
            <w:vAlign w:val="center"/>
          </w:tcPr>
          <w:p>
            <w:pPr>
              <w:snapToGrid w:val="0"/>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8" w:type="dxa"/>
            <w:gridSpan w:val="2"/>
            <w:vAlign w:val="center"/>
          </w:tcPr>
          <w:p>
            <w:pPr>
              <w:snapToGrid w:val="0"/>
              <w:ind w:firstLine="0" w:firstLineChars="0"/>
              <w:jc w:val="center"/>
              <w:rPr>
                <w:sz w:val="24"/>
                <w:szCs w:val="24"/>
              </w:rPr>
            </w:pPr>
            <w:r>
              <w:rPr>
                <w:rFonts w:hint="eastAsia"/>
                <w:sz w:val="24"/>
                <w:szCs w:val="24"/>
              </w:rPr>
              <w:t>业务申请联络人</w:t>
            </w:r>
          </w:p>
        </w:tc>
        <w:tc>
          <w:tcPr>
            <w:tcW w:w="1702" w:type="dxa"/>
            <w:gridSpan w:val="4"/>
            <w:vAlign w:val="center"/>
          </w:tcPr>
          <w:p>
            <w:pPr>
              <w:snapToGrid w:val="0"/>
              <w:ind w:firstLine="0" w:firstLineChars="0"/>
              <w:jc w:val="center"/>
              <w:rPr>
                <w:sz w:val="24"/>
                <w:szCs w:val="24"/>
              </w:rPr>
            </w:pPr>
            <w:r>
              <w:rPr>
                <w:rFonts w:hint="eastAsia"/>
                <w:sz w:val="24"/>
                <w:szCs w:val="24"/>
              </w:rPr>
              <w:t>部门及职务</w:t>
            </w:r>
          </w:p>
        </w:tc>
        <w:tc>
          <w:tcPr>
            <w:tcW w:w="1276" w:type="dxa"/>
            <w:gridSpan w:val="2"/>
            <w:vAlign w:val="center"/>
          </w:tcPr>
          <w:p>
            <w:pPr>
              <w:snapToGrid w:val="0"/>
              <w:ind w:firstLine="0" w:firstLineChars="0"/>
              <w:jc w:val="center"/>
              <w:rPr>
                <w:sz w:val="24"/>
                <w:szCs w:val="24"/>
              </w:rPr>
            </w:pPr>
            <w:r>
              <w:rPr>
                <w:rFonts w:hint="eastAsia"/>
                <w:sz w:val="24"/>
                <w:szCs w:val="24"/>
              </w:rPr>
              <w:t>座机号码</w:t>
            </w:r>
          </w:p>
        </w:tc>
        <w:tc>
          <w:tcPr>
            <w:tcW w:w="1134" w:type="dxa"/>
            <w:gridSpan w:val="2"/>
            <w:vAlign w:val="center"/>
          </w:tcPr>
          <w:p>
            <w:pPr>
              <w:snapToGrid w:val="0"/>
              <w:ind w:firstLine="26" w:firstLineChars="11"/>
              <w:jc w:val="center"/>
              <w:rPr>
                <w:sz w:val="24"/>
                <w:szCs w:val="24"/>
              </w:rPr>
            </w:pPr>
            <w:r>
              <w:rPr>
                <w:rFonts w:hint="eastAsia"/>
                <w:sz w:val="24"/>
                <w:szCs w:val="24"/>
              </w:rPr>
              <w:t>手机号码</w:t>
            </w:r>
          </w:p>
        </w:tc>
        <w:tc>
          <w:tcPr>
            <w:tcW w:w="1135" w:type="dxa"/>
            <w:gridSpan w:val="4"/>
            <w:vAlign w:val="center"/>
          </w:tcPr>
          <w:p>
            <w:pPr>
              <w:snapToGrid w:val="0"/>
              <w:ind w:firstLine="0" w:firstLineChars="0"/>
              <w:jc w:val="center"/>
              <w:rPr>
                <w:sz w:val="24"/>
                <w:szCs w:val="24"/>
              </w:rPr>
            </w:pPr>
            <w:r>
              <w:rPr>
                <w:rFonts w:hint="eastAsia"/>
                <w:sz w:val="24"/>
                <w:szCs w:val="24"/>
              </w:rPr>
              <w:t>传真</w:t>
            </w:r>
          </w:p>
        </w:tc>
        <w:tc>
          <w:tcPr>
            <w:tcW w:w="1282" w:type="dxa"/>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08" w:type="dxa"/>
            <w:gridSpan w:val="2"/>
            <w:vAlign w:val="center"/>
          </w:tcPr>
          <w:p>
            <w:pPr>
              <w:snapToGrid w:val="0"/>
              <w:ind w:firstLine="480" w:firstLineChars="0"/>
              <w:rPr>
                <w:sz w:val="24"/>
                <w:szCs w:val="24"/>
              </w:rPr>
            </w:pPr>
          </w:p>
        </w:tc>
        <w:tc>
          <w:tcPr>
            <w:tcW w:w="1702" w:type="dxa"/>
            <w:gridSpan w:val="4"/>
            <w:vAlign w:val="center"/>
          </w:tcPr>
          <w:p>
            <w:pPr>
              <w:snapToGrid w:val="0"/>
              <w:ind w:firstLine="480" w:firstLineChars="0"/>
              <w:rPr>
                <w:sz w:val="24"/>
                <w:szCs w:val="24"/>
              </w:rPr>
            </w:pPr>
          </w:p>
        </w:tc>
        <w:tc>
          <w:tcPr>
            <w:tcW w:w="1276" w:type="dxa"/>
            <w:gridSpan w:val="2"/>
            <w:vAlign w:val="center"/>
          </w:tcPr>
          <w:p>
            <w:pPr>
              <w:snapToGrid w:val="0"/>
              <w:ind w:firstLine="480" w:firstLineChars="0"/>
              <w:rPr>
                <w:sz w:val="24"/>
                <w:szCs w:val="24"/>
              </w:rPr>
            </w:pPr>
          </w:p>
        </w:tc>
        <w:tc>
          <w:tcPr>
            <w:tcW w:w="1134" w:type="dxa"/>
            <w:gridSpan w:val="2"/>
            <w:vAlign w:val="center"/>
          </w:tcPr>
          <w:p>
            <w:pPr>
              <w:snapToGrid w:val="0"/>
              <w:ind w:firstLine="480" w:firstLineChars="0"/>
              <w:rPr>
                <w:sz w:val="24"/>
                <w:szCs w:val="24"/>
              </w:rPr>
            </w:pPr>
          </w:p>
        </w:tc>
        <w:tc>
          <w:tcPr>
            <w:tcW w:w="1135" w:type="dxa"/>
            <w:gridSpan w:val="4"/>
            <w:vAlign w:val="center"/>
          </w:tcPr>
          <w:p>
            <w:pPr>
              <w:snapToGrid w:val="0"/>
              <w:ind w:firstLine="480" w:firstLineChars="0"/>
              <w:rPr>
                <w:sz w:val="24"/>
                <w:szCs w:val="24"/>
              </w:rPr>
            </w:pPr>
          </w:p>
        </w:tc>
        <w:tc>
          <w:tcPr>
            <w:tcW w:w="1282" w:type="dxa"/>
            <w:vAlign w:val="center"/>
          </w:tcPr>
          <w:p>
            <w:pPr>
              <w:snapToGrid w:val="0"/>
              <w:ind w:firstLine="48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二、做市债券及账户信息</w:t>
            </w:r>
          </w:p>
          <w:p>
            <w:pPr>
              <w:tabs>
                <w:tab w:val="left" w:pos="7020"/>
              </w:tabs>
              <w:ind w:firstLine="0" w:firstLineChars="0"/>
              <w:jc w:val="left"/>
              <w:rPr>
                <w:sz w:val="21"/>
                <w:szCs w:val="24"/>
              </w:rPr>
            </w:pPr>
            <w:r>
              <w:rPr>
                <w:rFonts w:hint="eastAsia"/>
                <w:sz w:val="24"/>
                <w:szCs w:val="24"/>
              </w:rPr>
              <w:t>自选做市品种暂不纳入可交换公司债券和上市公司公开发行的可转换公司债券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1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证券代码</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证券简称</w:t>
            </w: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开始做市时间</w:t>
            </w: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r>
              <w:rPr>
                <w:rFonts w:hint="eastAsia" w:ascii="仿宋" w:hAnsi="仿宋" w:eastAsia="仿宋"/>
                <w:sz w:val="24"/>
                <w:szCs w:val="24"/>
              </w:rPr>
              <w:t>结束做市时间（选填）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93" w:type="dxa"/>
            <w:gridSpan w:val="3"/>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基准做市品种</w:t>
            </w:r>
          </w:p>
          <w:p>
            <w:pPr>
              <w:snapToGrid w:val="0"/>
              <w:ind w:firstLine="0" w:firstLineChars="0"/>
              <w:rPr>
                <w:sz w:val="24"/>
                <w:szCs w:val="24"/>
              </w:rPr>
            </w:pPr>
            <w:r>
              <w:rPr>
                <w:rFonts w:hint="eastAsia" w:ascii="仿宋" w:hAnsi="仿宋" w:eastAsia="仿宋"/>
                <w:sz w:val="24"/>
                <w:szCs w:val="24"/>
              </w:rPr>
              <w:t>（可增添行）</w:t>
            </w: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93" w:type="dxa"/>
            <w:gridSpan w:val="3"/>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一般做市品种</w:t>
            </w:r>
          </w:p>
          <w:p>
            <w:pPr>
              <w:snapToGrid w:val="0"/>
              <w:ind w:firstLine="0" w:firstLineChars="0"/>
              <w:rPr>
                <w:sz w:val="24"/>
                <w:szCs w:val="24"/>
              </w:rPr>
            </w:pPr>
            <w:r>
              <w:rPr>
                <w:rFonts w:hint="eastAsia" w:ascii="仿宋" w:hAnsi="仿宋" w:eastAsia="仿宋"/>
                <w:sz w:val="24"/>
                <w:szCs w:val="24"/>
              </w:rPr>
              <w:t>（选填，可增添行）</w:t>
            </w: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6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ascii="仿宋" w:hAnsi="仿宋" w:eastAsia="仿宋"/>
                <w:sz w:val="24"/>
                <w:szCs w:val="24"/>
              </w:rPr>
              <w:t>做市专用证券账户</w:t>
            </w:r>
          </w:p>
        </w:tc>
        <w:tc>
          <w:tcPr>
            <w:tcW w:w="6244"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三、做市业务部门与岗位设置</w:t>
            </w:r>
          </w:p>
          <w:p>
            <w:pPr>
              <w:snapToGrid w:val="0"/>
              <w:ind w:firstLine="0" w:firstLineChars="0"/>
              <w:rPr>
                <w:sz w:val="24"/>
                <w:szCs w:val="24"/>
              </w:rPr>
            </w:pPr>
            <w:r>
              <w:rPr>
                <w:rFonts w:hint="eastAsia"/>
                <w:sz w:val="24"/>
                <w:szCs w:val="24"/>
              </w:rPr>
              <w:t>说明包括但不限于做市业务团队整体情况，说明部门相关设置及分工职责，前、中、后台业务人员的个人岗位、职责描述、联系方式及工作履历等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（部门名称1）工作职责包括：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（部门负责人）</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（座机）</w:t>
            </w:r>
          </w:p>
          <w:p>
            <w:pPr>
              <w:snapToGrid w:val="0"/>
              <w:ind w:firstLine="0" w:firstLineChars="0"/>
              <w:rPr>
                <w:sz w:val="24"/>
                <w:szCs w:val="24"/>
              </w:rPr>
            </w:pPr>
            <w:r>
              <w:rPr>
                <w:rFonts w:hint="eastAsia"/>
                <w:sz w:val="24"/>
                <w:szCs w:val="24"/>
              </w:rPr>
              <w:t>（手机）</w:t>
            </w:r>
          </w:p>
          <w:p>
            <w:pPr>
              <w:snapToGrid w:val="0"/>
              <w:ind w:firstLine="0" w:firstLineChars="0"/>
              <w:rPr>
                <w:sz w:val="24"/>
                <w:szCs w:val="24"/>
              </w:rPr>
            </w:pPr>
            <w:r>
              <w:rPr>
                <w:rFonts w:hint="eastAsia"/>
                <w:sz w:val="24"/>
                <w:szCs w:val="24"/>
              </w:rPr>
              <w:t>（邮件）</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（年份-单位-职责）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（部门名称2）工作职责包括：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（部门名称3）工作职责包括：</w:t>
            </w:r>
          </w:p>
          <w:p>
            <w:pPr>
              <w:snapToGrid w:val="0"/>
              <w:ind w:firstLine="0" w:firstLineChars="0"/>
              <w:rPr>
                <w:sz w:val="24"/>
                <w:szCs w:val="24"/>
              </w:rPr>
            </w:pPr>
            <w:r>
              <w:rPr>
                <w:rFonts w:hint="eastAsia"/>
                <w:sz w:val="24"/>
                <w:szCs w:val="24"/>
              </w:rPr>
              <w:t>（1）</w:t>
            </w:r>
          </w:p>
          <w:p>
            <w:pPr>
              <w:snapToGrid w:val="0"/>
              <w:ind w:firstLine="0" w:firstLineChars="0"/>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岗位</w:t>
            </w: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人员姓名</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职责描述</w:t>
            </w: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联系方式</w:t>
            </w: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r>
              <w:rPr>
                <w:rFonts w:hint="eastAsia"/>
                <w:sz w:val="24"/>
                <w:szCs w:val="24"/>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widowControl/>
              <w:snapToGrid w:val="0"/>
              <w:ind w:firstLine="480" w:firstLineChars="0"/>
              <w:rPr>
                <w:rFonts w:hAnsi="仿宋"/>
                <w:sz w:val="24"/>
                <w:szCs w:val="24"/>
              </w:rPr>
            </w:pPr>
          </w:p>
        </w:tc>
        <w:tc>
          <w:tcPr>
            <w:tcW w:w="118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120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153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c>
          <w:tcPr>
            <w:tcW w:w="3175"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480" w:firstLineChars="0"/>
              <w:rPr>
                <w:rFonts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四、债券做市业务评估说明</w:t>
            </w:r>
          </w:p>
          <w:p>
            <w:pPr>
              <w:snapToGrid w:val="0"/>
              <w:ind w:firstLine="0" w:firstLineChars="0"/>
              <w:rPr>
                <w:rFonts w:ascii="黑体" w:hAnsi="黑体" w:eastAsia="黑体"/>
                <w:sz w:val="24"/>
                <w:szCs w:val="24"/>
              </w:rPr>
            </w:pPr>
            <w:r>
              <w:rPr>
                <w:rFonts w:hint="eastAsia"/>
                <w:sz w:val="24"/>
                <w:szCs w:val="24"/>
              </w:rPr>
              <w:t>若涉及内容较多，可将相关情况作为本实施方案材料的附件提交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sz w:val="24"/>
                <w:szCs w:val="24"/>
              </w:rPr>
              <w:t>（一）本机构基本情况</w:t>
            </w:r>
          </w:p>
          <w:p>
            <w:pPr>
              <w:snapToGrid w:val="0"/>
              <w:ind w:firstLine="0" w:firstLineChars="0"/>
              <w:rPr>
                <w:sz w:val="24"/>
                <w:szCs w:val="24"/>
              </w:rPr>
            </w:pPr>
            <w:r>
              <w:rPr>
                <w:rFonts w:hint="eastAsia"/>
                <w:sz w:val="24"/>
                <w:szCs w:val="24"/>
              </w:rPr>
              <w:t>包括但不限于公司及做市相关部门基本情况、公司治理机制、金融市场投资交易经验，近两个会计年度及最近一期主要财务指标和风险监管指标情况。</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（二）业务开展情况及规划</w:t>
            </w:r>
          </w:p>
          <w:p>
            <w:pPr>
              <w:snapToGrid w:val="0"/>
              <w:ind w:firstLine="0" w:firstLineChars="0"/>
              <w:rPr>
                <w:sz w:val="24"/>
                <w:szCs w:val="24"/>
              </w:rPr>
            </w:pPr>
            <w:r>
              <w:rPr>
                <w:rFonts w:hint="eastAsia"/>
                <w:sz w:val="24"/>
                <w:szCs w:val="24"/>
              </w:rPr>
              <w:t>包括但不限于近两年全市场债券业务开展情况，近两年在各市场开展债券做市业务的情况。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（三）内部管理制度</w:t>
            </w:r>
          </w:p>
          <w:p>
            <w:pPr>
              <w:snapToGrid w:val="0"/>
              <w:ind w:firstLine="0" w:firstLineChars="0"/>
              <w:rPr>
                <w:sz w:val="24"/>
                <w:szCs w:val="24"/>
              </w:rPr>
            </w:pPr>
            <w:r>
              <w:rPr>
                <w:rFonts w:hint="eastAsia"/>
                <w:sz w:val="24"/>
                <w:szCs w:val="24"/>
              </w:rPr>
              <w:t>包括但不限于做市内部管理制度、合规及内部控制制度、员工行为规范等业务管理制度列表及内容说明。</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（四）信息技术情况</w:t>
            </w:r>
          </w:p>
          <w:p>
            <w:pPr>
              <w:snapToGrid w:val="0"/>
              <w:ind w:firstLine="0" w:firstLineChars="0"/>
              <w:rPr>
                <w:sz w:val="24"/>
                <w:szCs w:val="24"/>
              </w:rPr>
            </w:pPr>
            <w:r>
              <w:rPr>
                <w:rFonts w:hint="eastAsia"/>
                <w:sz w:val="24"/>
                <w:szCs w:val="24"/>
              </w:rPr>
              <w:t>包括但不限于做市业务相关的信息技术设施、支持人员信息、系统管理制度等情况说明。拟通过自动化定价、报价系统开展做市业务的，应就系统自动报价策略、交易前后风险控制措施、业务持续性保障措施、系统应急预案做出说明。</w:t>
            </w:r>
          </w:p>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（五）风险控制制度</w:t>
            </w:r>
          </w:p>
          <w:p>
            <w:pPr>
              <w:snapToGrid w:val="0"/>
              <w:ind w:firstLine="0" w:firstLineChars="0"/>
              <w:rPr>
                <w:sz w:val="24"/>
                <w:szCs w:val="24"/>
              </w:rPr>
            </w:pPr>
            <w:r>
              <w:rPr>
                <w:rFonts w:hint="eastAsia"/>
                <w:sz w:val="24"/>
                <w:szCs w:val="24"/>
              </w:rPr>
              <w:t>包括但不限于风险体系架构，操作风险、市场风险、流动性风险等风险管理安排、异常交易的监控及应对措施，以及相关制度列表及内容说明。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1F1F1"/>
          </w:tcPr>
          <w:p>
            <w:pPr>
              <w:snapToGrid w:val="0"/>
              <w:ind w:firstLine="0" w:firstLineChars="0"/>
              <w:rPr>
                <w:rFonts w:ascii="黑体" w:hAnsi="黑体" w:eastAsia="黑体"/>
                <w:sz w:val="24"/>
                <w:szCs w:val="24"/>
              </w:rPr>
            </w:pPr>
            <w:r>
              <w:rPr>
                <w:rFonts w:hint="eastAsia" w:ascii="黑体" w:hAnsi="黑体" w:eastAsia="黑体"/>
                <w:sz w:val="24"/>
                <w:szCs w:val="24"/>
              </w:rPr>
              <w:t>五、承诺事项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437" w:type="dxa"/>
            <w:gridSpan w:val="15"/>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rPr>
                <w:sz w:val="24"/>
                <w:szCs w:val="24"/>
              </w:rPr>
            </w:pPr>
            <w:r>
              <w:rPr>
                <w:rFonts w:hint="eastAsia"/>
                <w:sz w:val="24"/>
                <w:szCs w:val="24"/>
              </w:rPr>
              <w:t>本机构承诺提交的报送材料内容真实、准确、完整，如存在虚假记载、误导性陈述和重大遗漏，将承担相关法律责任。本公司保证所提供的书面和电子材料一致，且真实、准确、完整、合法。</w:t>
            </w:r>
          </w:p>
        </w:tc>
      </w:tr>
    </w:tbl>
    <w:p>
      <w:pPr>
        <w:tabs>
          <w:tab w:val="left" w:pos="7020"/>
        </w:tabs>
        <w:spacing w:line="600" w:lineRule="exact"/>
        <w:ind w:firstLine="3600" w:firstLineChars="1500"/>
        <w:jc w:val="left"/>
        <w:rPr>
          <w:sz w:val="24"/>
          <w:szCs w:val="24"/>
        </w:rPr>
      </w:pPr>
    </w:p>
    <w:p>
      <w:pPr>
        <w:tabs>
          <w:tab w:val="left" w:pos="7020"/>
        </w:tabs>
        <w:spacing w:line="600" w:lineRule="exact"/>
        <w:ind w:firstLine="3600" w:firstLineChars="1500"/>
        <w:jc w:val="left"/>
        <w:rPr>
          <w:sz w:val="24"/>
          <w:szCs w:val="24"/>
        </w:rPr>
      </w:pPr>
      <w:r>
        <w:rPr>
          <w:rFonts w:hint="eastAsia"/>
          <w:sz w:val="24"/>
          <w:szCs w:val="24"/>
        </w:rPr>
        <w:t>拟做市机构名称：____________（加盖公章）</w:t>
      </w:r>
    </w:p>
    <w:p>
      <w:pPr>
        <w:tabs>
          <w:tab w:val="left" w:pos="7020"/>
        </w:tabs>
        <w:wordWrap w:val="0"/>
        <w:spacing w:line="600" w:lineRule="exact"/>
        <w:ind w:firstLine="480"/>
        <w:jc w:val="left"/>
        <w:rPr>
          <w:sz w:val="24"/>
          <w:szCs w:val="24"/>
        </w:rPr>
      </w:pPr>
      <w:r>
        <w:rPr>
          <w:rFonts w:hint="eastAsia"/>
          <w:sz w:val="24"/>
          <w:szCs w:val="24"/>
        </w:rPr>
        <w:t xml:space="preserve">                          法定代表人或授权代表（签字）：        </w:t>
      </w:r>
    </w:p>
    <w:p>
      <w:pPr>
        <w:tabs>
          <w:tab w:val="left" w:pos="7020"/>
        </w:tabs>
        <w:spacing w:line="600" w:lineRule="exact"/>
        <w:ind w:firstLine="480"/>
        <w:jc w:val="left"/>
        <w:rPr>
          <w:sz w:val="24"/>
          <w:szCs w:val="24"/>
        </w:rPr>
      </w:pPr>
      <w:r>
        <w:rPr>
          <w:rFonts w:hint="eastAsia"/>
          <w:sz w:val="24"/>
          <w:szCs w:val="24"/>
        </w:rPr>
        <w:t xml:space="preserve">                          申请日期：</w:t>
      </w:r>
    </w:p>
    <w:p>
      <w:pPr>
        <w:widowControl/>
        <w:ind w:firstLine="0" w:firstLineChars="0"/>
        <w:jc w:val="left"/>
        <w:rPr>
          <w:rFonts w:ascii="黑体" w:hAnsi="黑体" w:eastAsia="黑体"/>
          <w:sz w:val="32"/>
          <w:szCs w:val="32"/>
        </w:rPr>
      </w:pPr>
      <w:r>
        <w:rPr>
          <w:rFonts w:ascii="黑体" w:hAnsi="黑体" w:eastAsia="黑体"/>
          <w:b/>
          <w:sz w:val="32"/>
          <w:szCs w:val="32"/>
        </w:rPr>
        <w:br w:type="page"/>
      </w:r>
    </w:p>
    <w:p>
      <w:pPr>
        <w:pStyle w:val="3"/>
        <w:ind w:firstLine="0" w:firstLineChars="0"/>
      </w:pPr>
      <w:bookmarkStart w:id="44" w:name="_Toc123811087"/>
      <w:r>
        <w:rPr>
          <w:rFonts w:hint="eastAsia"/>
        </w:rPr>
        <w:t>附件</w:t>
      </w:r>
      <w:r>
        <w:t>2</w:t>
      </w:r>
      <w:bookmarkEnd w:id="44"/>
    </w:p>
    <w:p>
      <w:pPr>
        <w:snapToGrid w:val="0"/>
        <w:spacing w:line="560" w:lineRule="exact"/>
        <w:ind w:firstLine="880"/>
        <w:jc w:val="center"/>
        <w:rPr>
          <w:rFonts w:ascii="方正小标宋简体" w:eastAsia="方正小标宋简体"/>
          <w:sz w:val="44"/>
          <w:szCs w:val="44"/>
        </w:rPr>
      </w:pPr>
    </w:p>
    <w:p>
      <w:pPr>
        <w:snapToGrid w:val="0"/>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关于债券做市业务准备情况的</w:t>
      </w:r>
    </w:p>
    <w:p>
      <w:pPr>
        <w:snapToGrid w:val="0"/>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专项说明（参考模板）</w:t>
      </w:r>
    </w:p>
    <w:p>
      <w:pPr>
        <w:spacing w:line="560" w:lineRule="exact"/>
        <w:ind w:firstLine="567" w:firstLineChars="189"/>
        <w:rPr>
          <w:rFonts w:eastAsia="方正仿宋简体"/>
        </w:rPr>
      </w:pPr>
    </w:p>
    <w:p>
      <w:pPr>
        <w:spacing w:line="560" w:lineRule="exact"/>
        <w:ind w:firstLine="567" w:firstLineChars="189"/>
        <w:rPr>
          <w:rFonts w:hint="eastAsia" w:ascii="黑体" w:hAnsi="黑体" w:eastAsia="黑体" w:cs="黑体"/>
        </w:rPr>
      </w:pPr>
      <w:r>
        <w:rPr>
          <w:rFonts w:hint="eastAsia" w:ascii="黑体" w:hAnsi="黑体" w:eastAsia="黑体" w:cs="黑体"/>
        </w:rPr>
        <w:t>一、拟做市机构概况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本部分内容应包括但不限于拟做市机构基本情况、取得经营证券业务许可情况、近两年全市场债券交易情况。</w:t>
      </w:r>
    </w:p>
    <w:p>
      <w:pPr>
        <w:spacing w:line="560" w:lineRule="exact"/>
        <w:ind w:firstLine="567" w:firstLineChars="189"/>
        <w:rPr>
          <w:rFonts w:hint="eastAsia" w:ascii="黑体" w:hAnsi="黑体" w:eastAsia="黑体" w:cs="黑体"/>
        </w:rPr>
      </w:pPr>
      <w:r>
        <w:rPr>
          <w:rFonts w:hint="eastAsia" w:ascii="黑体" w:hAnsi="黑体" w:eastAsia="黑体" w:cs="黑体"/>
        </w:rPr>
        <w:t>二、债券做市业务实施方案</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本部分内容应包括债券做市业务实施方案制定情况、业务开展计划及发展规划、做市策略及压力测试情况、系统功能实现情况及应急处置措施。</w:t>
      </w:r>
    </w:p>
    <w:p>
      <w:pPr>
        <w:spacing w:line="560" w:lineRule="exact"/>
        <w:ind w:firstLine="567" w:firstLineChars="189"/>
        <w:rPr>
          <w:rFonts w:hint="eastAsia" w:ascii="黑体" w:hAnsi="黑体" w:eastAsia="黑体" w:cs="黑体"/>
        </w:rPr>
      </w:pPr>
      <w:r>
        <w:rPr>
          <w:rFonts w:hint="eastAsia" w:ascii="黑体" w:hAnsi="黑体" w:eastAsia="黑体" w:cs="黑体"/>
        </w:rPr>
        <w:t>三、团队和人员配备情况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本部分内容应包括但不限于拟做市机构公司组织架构说明、债券做市业务涉及部门职责与岗位设置情况、是否具有专业的做市团队以及团队人员配备情况、是否具有较强的做市及风险控制能力的说明。</w:t>
      </w:r>
    </w:p>
    <w:p>
      <w:pPr>
        <w:spacing w:line="560" w:lineRule="exact"/>
        <w:ind w:firstLine="567" w:firstLineChars="189"/>
        <w:rPr>
          <w:rFonts w:hint="eastAsia" w:ascii="黑体" w:hAnsi="黑体" w:eastAsia="黑体" w:cs="黑体"/>
        </w:rPr>
      </w:pPr>
      <w:r>
        <w:rPr>
          <w:rFonts w:hint="eastAsia" w:ascii="黑体" w:hAnsi="黑体" w:eastAsia="黑体" w:cs="黑体"/>
        </w:rPr>
        <w:t>四、制度准备情况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本部分内容应包括但不限于拟做市机构管理制度和内部操作规程制定情况、风险控制制度制定情况、风险管理措施、相关人员配备情况、相关系统准备情况、异常交易的监控与应对安排、突发事件应对安排。</w:t>
      </w:r>
    </w:p>
    <w:p>
      <w:pPr>
        <w:spacing w:line="560" w:lineRule="exact"/>
        <w:ind w:firstLine="567" w:firstLineChars="189"/>
        <w:rPr>
          <w:rFonts w:hint="eastAsia" w:ascii="黑体" w:hAnsi="黑体" w:eastAsia="黑体" w:cs="黑体"/>
        </w:rPr>
      </w:pPr>
      <w:r>
        <w:rPr>
          <w:rFonts w:hint="eastAsia" w:ascii="黑体" w:hAnsi="黑体" w:eastAsia="黑体" w:cs="黑体"/>
        </w:rPr>
        <w:t>五、技术系统准备情况</w:t>
      </w:r>
    </w:p>
    <w:p>
      <w:pPr>
        <w:spacing w:line="560" w:lineRule="exact"/>
        <w:ind w:firstLine="567" w:firstLineChars="189"/>
        <w:rPr>
          <w:rFonts w:hint="eastAsia" w:ascii="仿宋" w:hAnsi="仿宋" w:eastAsia="仿宋" w:cs="仿宋"/>
        </w:rPr>
      </w:pPr>
      <w:r>
        <w:rPr>
          <w:rFonts w:hint="eastAsia" w:ascii="仿宋" w:hAnsi="仿宋" w:eastAsia="仿宋" w:cs="仿宋"/>
        </w:rPr>
        <w:t>本部分内容应包括但不限于拟做市机构债券做市业务系统准备情况、是否支持做市相关交易设置的说明、技术系统配置及部署情况、系统运维及团队情况、系统管理规范。</w:t>
      </w:r>
    </w:p>
    <w:p>
      <w:pPr>
        <w:spacing w:line="560" w:lineRule="exact"/>
        <w:ind w:firstLine="567" w:firstLineChars="189"/>
        <w:rPr>
          <w:rFonts w:hint="eastAsia" w:ascii="黑体" w:hAnsi="黑体" w:eastAsia="黑体" w:cs="黑体"/>
        </w:rPr>
      </w:pPr>
      <w:r>
        <w:rPr>
          <w:rFonts w:hint="eastAsia" w:ascii="黑体" w:hAnsi="黑体" w:eastAsia="黑体" w:cs="黑体"/>
        </w:rPr>
        <w:t>六、其他补充说明</w:t>
      </w:r>
    </w:p>
    <w:p>
      <w:pPr>
        <w:spacing w:line="560" w:lineRule="exact"/>
        <w:ind w:firstLine="567" w:firstLineChars="189"/>
        <w:rPr>
          <w:rFonts w:hint="eastAsia" w:ascii="仿宋" w:hAnsi="仿宋" w:eastAsia="仿宋" w:cs="仿宋"/>
        </w:rPr>
      </w:pPr>
      <w:r>
        <w:rPr>
          <w:rFonts w:hint="eastAsia" w:ascii="仿宋" w:hAnsi="仿宋" w:eastAsia="仿宋" w:cs="仿宋"/>
        </w:rPr>
        <w:t>其他拟做市机构认为需予以说明的债券做市业务准备情况。</w:t>
      </w:r>
    </w:p>
    <w:p>
      <w:pPr>
        <w:widowControl/>
        <w:spacing w:line="560" w:lineRule="exact"/>
        <w:jc w:val="left"/>
        <w:rPr>
          <w:rFonts w:hint="eastAsia" w:ascii="仿宋" w:hAnsi="仿宋" w:eastAsia="仿宋" w:cs="仿宋"/>
        </w:rPr>
      </w:pPr>
    </w:p>
    <w:p>
      <w:pPr>
        <w:widowControl/>
        <w:spacing w:line="560" w:lineRule="exact"/>
        <w:jc w:val="left"/>
        <w:rPr>
          <w:rFonts w:hint="eastAsia" w:ascii="仿宋" w:hAnsi="仿宋" w:eastAsia="仿宋" w:cs="仿宋"/>
        </w:rPr>
      </w:pPr>
      <w:r>
        <w:rPr>
          <w:rFonts w:hint="eastAsia" w:ascii="仿宋" w:hAnsi="仿宋" w:eastAsia="仿宋" w:cs="仿宋"/>
        </w:rPr>
        <w:t>附件2-1：制度文件扫描件及支持性材料（包含汇总清单）</w:t>
      </w:r>
    </w:p>
    <w:p>
      <w:pPr>
        <w:widowControl/>
        <w:spacing w:line="560" w:lineRule="exact"/>
        <w:jc w:val="left"/>
        <w:rPr>
          <w:rStyle w:val="35"/>
          <w:rFonts w:hint="eastAsia" w:ascii="仿宋" w:hAnsi="仿宋" w:eastAsia="仿宋" w:cs="仿宋"/>
          <w:color w:val="auto"/>
          <w:u w:val="none"/>
        </w:rPr>
      </w:pPr>
      <w:r>
        <w:rPr>
          <w:rFonts w:hint="eastAsia" w:ascii="仿宋" w:hAnsi="仿宋" w:eastAsia="仿宋" w:cs="仿宋"/>
        </w:rPr>
        <w:t>附件2-2：</w:t>
      </w:r>
      <w:r>
        <w:rPr>
          <w:rFonts w:hint="eastAsia" w:ascii="仿宋" w:hAnsi="仿宋" w:eastAsia="仿宋" w:cs="仿宋"/>
        </w:rPr>
        <w:fldChar w:fldCharType="begin"/>
      </w:r>
      <w:r>
        <w:rPr>
          <w:rFonts w:hint="eastAsia" w:ascii="仿宋" w:hAnsi="仿宋" w:eastAsia="仿宋" w:cs="仿宋"/>
        </w:rPr>
        <w:instrText xml:space="preserve"> HYPERLINK "file:///C:\\Users\\xding\\AppData\\Local\\Microsoft\\Windows\\Temporary%20Internet%20Files\\Content.Outlook\\WKYFDI61\\债券做市业务准备情况自查表.xlsx" </w:instrText>
      </w:r>
      <w:r>
        <w:rPr>
          <w:rFonts w:hint="eastAsia" w:ascii="仿宋" w:hAnsi="仿宋" w:eastAsia="仿宋" w:cs="仿宋"/>
        </w:rPr>
        <w:fldChar w:fldCharType="separate"/>
      </w:r>
      <w:r>
        <w:rPr>
          <w:rStyle w:val="35"/>
          <w:rFonts w:hint="eastAsia" w:ascii="仿宋" w:hAnsi="仿宋" w:eastAsia="仿宋" w:cs="仿宋"/>
          <w:color w:val="auto"/>
          <w:u w:val="none"/>
        </w:rPr>
        <w:t>债券做市业务准备情况自查表</w:t>
      </w:r>
      <w:r>
        <w:rPr>
          <w:rStyle w:val="35"/>
          <w:rFonts w:hint="eastAsia" w:ascii="仿宋" w:hAnsi="仿宋" w:eastAsia="仿宋" w:cs="仿宋"/>
          <w:color w:val="auto"/>
          <w:u w:val="none"/>
        </w:rPr>
        <w:fldChar w:fldCharType="end"/>
      </w:r>
    </w:p>
    <w:p>
      <w:pPr>
        <w:widowControl/>
        <w:spacing w:line="560" w:lineRule="exact"/>
        <w:jc w:val="left"/>
        <w:rPr>
          <w:rFonts w:eastAsia="方正仿宋简体"/>
        </w:rPr>
      </w:pPr>
    </w:p>
    <w:p>
      <w:pPr>
        <w:widowControl/>
        <w:spacing w:line="560" w:lineRule="exact"/>
        <w:jc w:val="left"/>
        <w:rPr>
          <w:rFonts w:eastAsia="方正仿宋简体"/>
        </w:rPr>
      </w:pPr>
      <w:r>
        <w:rPr>
          <w:rFonts w:eastAsia="方正仿宋简体"/>
        </w:rPr>
        <w:pict>
          <v:shape id="_x0000_s1028" o:spid="_x0000_s1028" o:spt="75" type="#_x0000_t75" style="position:absolute;left:0pt;margin-left:30.05pt;margin-top:2.2pt;height:60.35pt;width:96.7pt;z-index:251660288;mso-width-relative:page;mso-height-relative:page;" o:ole="t" filled="f" o:preferrelative="t" stroked="f" coordsize="21600,21600">
            <v:path/>
            <v:fill on="f" focussize="0,0"/>
            <v:stroke on="f" joinstyle="miter"/>
            <v:imagedata r:id="rId14" o:title=""/>
            <o:lock v:ext="edit" aspectratio="t"/>
          </v:shape>
          <o:OLEObject Type="Embed" ProgID="Excel.Sheet.12" ShapeID="_x0000_s1028" DrawAspect="Icon" ObjectID="_1468075725" r:id="rId13">
            <o:LockedField>false</o:LockedField>
          </o:OLEObject>
        </w:pict>
      </w:r>
    </w:p>
    <w:p>
      <w:pPr>
        <w:widowControl/>
        <w:spacing w:line="560" w:lineRule="exact"/>
        <w:jc w:val="left"/>
        <w:rPr>
          <w:rFonts w:eastAsia="方正仿宋简体"/>
        </w:rPr>
      </w:pPr>
    </w:p>
    <w:p>
      <w:pPr>
        <w:widowControl/>
        <w:spacing w:line="560" w:lineRule="exact"/>
        <w:jc w:val="right"/>
        <w:rPr>
          <w:rFonts w:eastAsia="方正仿宋简体"/>
        </w:rPr>
      </w:pPr>
    </w:p>
    <w:p>
      <w:pPr>
        <w:widowControl/>
        <w:spacing w:line="560" w:lineRule="exact"/>
        <w:jc w:val="right"/>
        <w:rPr>
          <w:rFonts w:eastAsia="方正仿宋简体"/>
        </w:rPr>
      </w:pPr>
      <w:r>
        <w:rPr>
          <w:rFonts w:hint="eastAsia" w:eastAsia="方正仿宋简体"/>
        </w:rPr>
        <w:t xml:space="preserve"> </w:t>
      </w:r>
      <w:r>
        <w:rPr>
          <w:rFonts w:hint="eastAsia" w:eastAsia="仿宋_GB2312"/>
          <w:sz w:val="24"/>
          <w:szCs w:val="24"/>
        </w:rPr>
        <w:t>拟做市机构：____________ （加盖公章）</w:t>
      </w:r>
    </w:p>
    <w:p>
      <w:pPr>
        <w:spacing w:line="560" w:lineRule="exact"/>
        <w:ind w:firstLine="4440" w:firstLineChars="1850"/>
        <w:rPr>
          <w:rFonts w:eastAsia="方正仿宋简体"/>
        </w:rPr>
      </w:pPr>
      <w:r>
        <w:rPr>
          <w:rFonts w:hint="eastAsia" w:eastAsia="仿宋_GB2312"/>
          <w:sz w:val="24"/>
          <w:szCs w:val="24"/>
        </w:rPr>
        <w:t>日期：</w:t>
      </w:r>
    </w:p>
    <w:p>
      <w:pPr>
        <w:spacing w:line="560" w:lineRule="exact"/>
        <w:jc w:val="right"/>
      </w:pPr>
    </w:p>
    <w:p>
      <w:pPr>
        <w:ind w:firstLine="420"/>
        <w:rPr>
          <w:rFonts w:ascii="Times New Roman" w:hAnsi="Times New Roman" w:eastAsia="仿宋"/>
          <w:sz w:val="21"/>
          <w:szCs w:val="21"/>
        </w:rPr>
      </w:pPr>
      <w:r>
        <w:rPr>
          <w:rFonts w:ascii="Times New Roman" w:hAnsi="Times New Roman" w:eastAsia="仿宋"/>
          <w:sz w:val="21"/>
          <w:szCs w:val="21"/>
        </w:rPr>
        <w:br w:type="page"/>
      </w:r>
    </w:p>
    <w:p>
      <w:pPr>
        <w:pStyle w:val="3"/>
        <w:ind w:firstLine="0" w:firstLineChars="0"/>
      </w:pPr>
      <w:bookmarkStart w:id="45" w:name="_Toc123811088"/>
      <w:r>
        <w:rPr>
          <w:rFonts w:hint="eastAsia"/>
        </w:rPr>
        <w:t>附件</w:t>
      </w:r>
      <w:r>
        <w:t>3</w:t>
      </w:r>
      <w:bookmarkEnd w:id="45"/>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XX公司一般做市业务报备表</w:t>
      </w:r>
    </w:p>
    <w:tbl>
      <w:tblPr>
        <w:tblStyle w:val="30"/>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253"/>
        <w:gridCol w:w="1240"/>
        <w:gridCol w:w="1220"/>
        <w:gridCol w:w="254"/>
        <w:gridCol w:w="1156"/>
        <w:gridCol w:w="105"/>
        <w:gridCol w:w="73"/>
        <w:gridCol w:w="59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874" w:type="dxa"/>
            <w:gridSpan w:val="10"/>
            <w:shd w:val="clear" w:color="auto" w:fill="F1F1F1"/>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cs="宋体"/>
                <w:color w:val="000000"/>
                <w:kern w:val="0"/>
                <w:sz w:val="24"/>
                <w:szCs w:val="24"/>
              </w:rPr>
              <w:t>机构名称</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注册地</w:t>
            </w:r>
          </w:p>
        </w:tc>
        <w:tc>
          <w:tcPr>
            <w:tcW w:w="2460" w:type="dxa"/>
            <w:gridSpan w:val="2"/>
            <w:vAlign w:val="center"/>
          </w:tcPr>
          <w:p>
            <w:pPr>
              <w:snapToGrid w:val="0"/>
              <w:ind w:firstLine="0" w:firstLineChars="0"/>
              <w:rPr>
                <w:sz w:val="24"/>
                <w:szCs w:val="24"/>
              </w:rPr>
            </w:pPr>
          </w:p>
        </w:tc>
        <w:tc>
          <w:tcPr>
            <w:tcW w:w="1515" w:type="dxa"/>
            <w:gridSpan w:val="3"/>
            <w:vAlign w:val="center"/>
          </w:tcPr>
          <w:p>
            <w:pPr>
              <w:snapToGrid w:val="0"/>
              <w:ind w:firstLine="0" w:firstLineChars="0"/>
              <w:rPr>
                <w:sz w:val="24"/>
                <w:szCs w:val="24"/>
              </w:rPr>
            </w:pPr>
            <w:r>
              <w:rPr>
                <w:rFonts w:hint="eastAsia" w:ascii="仿宋" w:hAnsi="仿宋" w:eastAsia="仿宋"/>
                <w:sz w:val="24"/>
                <w:szCs w:val="24"/>
              </w:rPr>
              <w:t>注册资本</w:t>
            </w:r>
          </w:p>
        </w:tc>
        <w:tc>
          <w:tcPr>
            <w:tcW w:w="1928"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成立时间</w:t>
            </w:r>
          </w:p>
        </w:tc>
        <w:tc>
          <w:tcPr>
            <w:tcW w:w="2460" w:type="dxa"/>
            <w:gridSpan w:val="2"/>
            <w:vAlign w:val="center"/>
          </w:tcPr>
          <w:p>
            <w:pPr>
              <w:snapToGrid w:val="0"/>
              <w:ind w:firstLine="0" w:firstLineChars="0"/>
              <w:rPr>
                <w:sz w:val="24"/>
                <w:szCs w:val="24"/>
              </w:rPr>
            </w:pPr>
          </w:p>
        </w:tc>
        <w:tc>
          <w:tcPr>
            <w:tcW w:w="1515" w:type="dxa"/>
            <w:gridSpan w:val="3"/>
            <w:vAlign w:val="center"/>
          </w:tcPr>
          <w:p>
            <w:pPr>
              <w:snapToGrid w:val="0"/>
              <w:ind w:firstLine="0" w:firstLineChars="0"/>
              <w:rPr>
                <w:sz w:val="24"/>
                <w:szCs w:val="24"/>
              </w:rPr>
            </w:pPr>
            <w:r>
              <w:rPr>
                <w:rFonts w:hint="eastAsia" w:ascii="仿宋" w:hAnsi="仿宋" w:eastAsia="仿宋"/>
                <w:sz w:val="24"/>
                <w:szCs w:val="24"/>
              </w:rPr>
              <w:t>法定代表人</w:t>
            </w:r>
          </w:p>
        </w:tc>
        <w:tc>
          <w:tcPr>
            <w:tcW w:w="1928" w:type="dxa"/>
            <w:gridSpan w:val="3"/>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主要股东及其持股情况</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通讯地址</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71" w:type="dxa"/>
            <w:gridSpan w:val="2"/>
            <w:vAlign w:val="center"/>
          </w:tcPr>
          <w:p>
            <w:pPr>
              <w:snapToGrid w:val="0"/>
              <w:ind w:firstLine="0" w:firstLineChars="0"/>
              <w:rPr>
                <w:sz w:val="24"/>
                <w:szCs w:val="24"/>
              </w:rPr>
            </w:pPr>
            <w:r>
              <w:rPr>
                <w:rFonts w:hint="eastAsia" w:ascii="仿宋" w:hAnsi="仿宋" w:eastAsia="仿宋"/>
                <w:sz w:val="24"/>
                <w:szCs w:val="24"/>
              </w:rPr>
              <w:t>机构类型</w:t>
            </w:r>
          </w:p>
        </w:tc>
        <w:tc>
          <w:tcPr>
            <w:tcW w:w="5903" w:type="dxa"/>
            <w:gridSpan w:val="8"/>
            <w:vAlign w:val="center"/>
          </w:tcPr>
          <w:p>
            <w:pPr>
              <w:snapToGrid w:val="0"/>
              <w:ind w:firstLine="0" w:firstLineChars="0"/>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snapToGrid w:val="0"/>
              <w:ind w:firstLine="0" w:firstLineChars="0"/>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snapToGrid w:val="0"/>
              <w:ind w:firstLine="0" w:firstLineChars="0"/>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snapToGrid w:val="0"/>
              <w:ind w:firstLine="0" w:firstLineChars="0"/>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snapToGrid w:val="0"/>
              <w:ind w:firstLine="0" w:firstLineChars="0"/>
              <w:rPr>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w:t>
            </w:r>
            <w:r>
              <w:rPr>
                <w:sz w:val="24"/>
                <w:szCs w:val="24"/>
              </w:rPr>
              <w:t xml:space="preserve"> </w:t>
            </w:r>
            <w:r>
              <w:rPr>
                <w:rFonts w:hint="eastAsia"/>
                <w:sz w:val="24"/>
                <w:szCs w:val="24"/>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971" w:type="dxa"/>
            <w:gridSpan w:val="2"/>
            <w:vAlign w:val="center"/>
          </w:tcPr>
          <w:p>
            <w:pPr>
              <w:snapToGrid w:val="0"/>
              <w:ind w:firstLine="0" w:firstLineChars="0"/>
              <w:rPr>
                <w:rFonts w:ascii="仿宋" w:hAnsi="仿宋" w:eastAsia="仿宋"/>
                <w:sz w:val="24"/>
                <w:szCs w:val="24"/>
              </w:rPr>
            </w:pPr>
            <w:r>
              <w:rPr>
                <w:rFonts w:hint="eastAsia" w:ascii="仿宋" w:hAnsi="仿宋" w:eastAsia="仿宋"/>
                <w:sz w:val="24"/>
                <w:szCs w:val="24"/>
              </w:rPr>
              <w:t>是否已为债券交易参与人</w:t>
            </w:r>
          </w:p>
        </w:tc>
        <w:tc>
          <w:tcPr>
            <w:tcW w:w="5903" w:type="dxa"/>
            <w:gridSpan w:val="8"/>
            <w:vAlign w:val="center"/>
          </w:tcPr>
          <w:p>
            <w:pPr>
              <w:snapToGrid w:val="0"/>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74"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二、做市债券及账户信息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7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证券代码</w:t>
            </w: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证券简称</w:t>
            </w: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开始做市时间</w:t>
            </w: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r>
              <w:rPr>
                <w:rFonts w:hint="eastAsia" w:ascii="仿宋" w:hAnsi="仿宋" w:eastAsia="仿宋"/>
                <w:sz w:val="24"/>
                <w:szCs w:val="24"/>
              </w:rPr>
              <w:t>结束做市时间（选填）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718" w:type="dxa"/>
            <w:vMerge w:val="restart"/>
            <w:tcBorders>
              <w:top w:val="single" w:color="auto" w:sz="4" w:space="0"/>
              <w:left w:val="single" w:color="auto" w:sz="4" w:space="0"/>
              <w:right w:val="single" w:color="auto" w:sz="4" w:space="0"/>
            </w:tcBorders>
            <w:shd w:val="clear" w:color="auto" w:fill="FFFFFF"/>
            <w:vAlign w:val="center"/>
          </w:tcPr>
          <w:p>
            <w:pPr>
              <w:snapToGrid w:val="0"/>
              <w:ind w:firstLine="0" w:firstLineChars="0"/>
              <w:rPr>
                <w:rFonts w:ascii="仿宋" w:hAnsi="仿宋" w:eastAsia="仿宋"/>
                <w:sz w:val="24"/>
                <w:szCs w:val="24"/>
              </w:rPr>
            </w:pPr>
            <w:r>
              <w:rPr>
                <w:rFonts w:hint="eastAsia" w:ascii="仿宋" w:hAnsi="仿宋" w:eastAsia="仿宋"/>
                <w:sz w:val="24"/>
                <w:szCs w:val="24"/>
              </w:rPr>
              <w:t>一般做市品种</w:t>
            </w:r>
          </w:p>
          <w:p>
            <w:pPr>
              <w:snapToGrid w:val="0"/>
              <w:ind w:firstLine="0" w:firstLineChars="0"/>
              <w:rPr>
                <w:sz w:val="24"/>
                <w:szCs w:val="24"/>
              </w:rPr>
            </w:pPr>
            <w:r>
              <w:rPr>
                <w:rFonts w:hint="eastAsia" w:ascii="仿宋" w:hAnsi="仿宋" w:eastAsia="仿宋"/>
                <w:sz w:val="24"/>
                <w:szCs w:val="24"/>
              </w:rPr>
              <w:t>（可增添行）</w:t>
            </w: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718" w:type="dxa"/>
            <w:vMerge w:val="continue"/>
            <w:tcBorders>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47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3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7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rPr>
                <w:sz w:val="24"/>
                <w:szCs w:val="24"/>
              </w:rPr>
            </w:pPr>
            <w:r>
              <w:rPr>
                <w:rFonts w:hint="eastAsia" w:ascii="仿宋" w:hAnsi="仿宋" w:eastAsia="仿宋"/>
                <w:sz w:val="24"/>
                <w:szCs w:val="24"/>
              </w:rPr>
              <w:t>做市专用证券账户</w:t>
            </w:r>
          </w:p>
        </w:tc>
        <w:tc>
          <w:tcPr>
            <w:tcW w:w="615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firstLine="0" w:firstLineChars="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74"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snapToGrid w:val="0"/>
              <w:ind w:firstLine="0" w:firstLineChars="0"/>
              <w:rPr>
                <w:rFonts w:ascii="黑体" w:hAnsi="黑体" w:eastAsia="黑体"/>
                <w:sz w:val="24"/>
                <w:szCs w:val="24"/>
              </w:rPr>
            </w:pPr>
            <w:r>
              <w:rPr>
                <w:rFonts w:hint="eastAsia" w:ascii="黑体" w:hAnsi="黑体" w:eastAsia="黑体"/>
                <w:sz w:val="24"/>
                <w:szCs w:val="24"/>
              </w:rPr>
              <w:t>三、做市业务人员信息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718" w:type="dxa"/>
            <w:vMerge w:val="restart"/>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做市业务负责部门</w:t>
            </w:r>
          </w:p>
        </w:tc>
        <w:tc>
          <w:tcPr>
            <w:tcW w:w="1493"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部门名称</w:t>
            </w:r>
          </w:p>
        </w:tc>
        <w:tc>
          <w:tcPr>
            <w:tcW w:w="1220" w:type="dxa"/>
            <w:vAlign w:val="center"/>
          </w:tcPr>
          <w:p>
            <w:pPr>
              <w:snapToGrid w:val="0"/>
              <w:ind w:firstLine="0" w:firstLineChars="0"/>
              <w:jc w:val="center"/>
              <w:rPr>
                <w:rFonts w:ascii="仿宋" w:hAnsi="仿宋" w:eastAsia="仿宋"/>
                <w:sz w:val="24"/>
                <w:szCs w:val="24"/>
              </w:rPr>
            </w:pPr>
          </w:p>
        </w:tc>
        <w:tc>
          <w:tcPr>
            <w:tcW w:w="1410"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所在地</w:t>
            </w:r>
          </w:p>
        </w:tc>
        <w:tc>
          <w:tcPr>
            <w:tcW w:w="2033" w:type="dxa"/>
            <w:gridSpan w:val="4"/>
            <w:vAlign w:val="center"/>
          </w:tcPr>
          <w:p>
            <w:pPr>
              <w:snapToGrid w:val="0"/>
              <w:ind w:firstLine="0" w:firstLineChars="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18" w:type="dxa"/>
            <w:vMerge w:val="continue"/>
            <w:vAlign w:val="center"/>
          </w:tcPr>
          <w:p>
            <w:pPr>
              <w:snapToGrid w:val="0"/>
              <w:ind w:firstLine="0" w:firstLineChars="0"/>
              <w:jc w:val="left"/>
              <w:rPr>
                <w:rFonts w:ascii="仿宋" w:hAnsi="仿宋" w:eastAsia="仿宋"/>
                <w:sz w:val="24"/>
                <w:szCs w:val="24"/>
              </w:rPr>
            </w:pPr>
          </w:p>
        </w:tc>
        <w:tc>
          <w:tcPr>
            <w:tcW w:w="1493" w:type="dxa"/>
            <w:gridSpan w:val="2"/>
            <w:vAlign w:val="center"/>
          </w:tcPr>
          <w:p>
            <w:pPr>
              <w:snapToGrid w:val="0"/>
              <w:ind w:firstLine="0" w:firstLineChars="0"/>
              <w:jc w:val="center"/>
              <w:rPr>
                <w:rFonts w:ascii="仿宋" w:hAnsi="仿宋" w:eastAsia="仿宋"/>
                <w:sz w:val="24"/>
                <w:szCs w:val="24"/>
              </w:rPr>
            </w:pPr>
            <w:r>
              <w:rPr>
                <w:rFonts w:hint="eastAsia" w:ascii="仿宋" w:hAnsi="仿宋" w:eastAsia="仿宋"/>
                <w:sz w:val="24"/>
                <w:szCs w:val="24"/>
              </w:rPr>
              <w:t>部门职能</w:t>
            </w:r>
          </w:p>
        </w:tc>
        <w:tc>
          <w:tcPr>
            <w:tcW w:w="4663" w:type="dxa"/>
            <w:gridSpan w:val="7"/>
            <w:vAlign w:val="center"/>
          </w:tcPr>
          <w:p>
            <w:pPr>
              <w:snapToGrid w:val="0"/>
              <w:ind w:firstLine="0" w:firstLineChars="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718" w:type="dxa"/>
            <w:vMerge w:val="restart"/>
            <w:vAlign w:val="center"/>
          </w:tcPr>
          <w:p>
            <w:pPr>
              <w:snapToGrid w:val="0"/>
              <w:ind w:firstLine="0" w:firstLineChars="0"/>
              <w:jc w:val="center"/>
              <w:rPr>
                <w:sz w:val="24"/>
                <w:szCs w:val="24"/>
              </w:rPr>
            </w:pPr>
            <w:r>
              <w:rPr>
                <w:rFonts w:hint="eastAsia"/>
                <w:sz w:val="24"/>
                <w:szCs w:val="24"/>
              </w:rPr>
              <w:t>做市业务负责人</w:t>
            </w:r>
          </w:p>
        </w:tc>
        <w:tc>
          <w:tcPr>
            <w:tcW w:w="1493" w:type="dxa"/>
            <w:gridSpan w:val="2"/>
            <w:vAlign w:val="center"/>
          </w:tcPr>
          <w:p>
            <w:pPr>
              <w:snapToGrid w:val="0"/>
              <w:ind w:firstLine="0" w:firstLineChars="0"/>
              <w:jc w:val="center"/>
              <w:rPr>
                <w:sz w:val="24"/>
                <w:szCs w:val="24"/>
              </w:rPr>
            </w:pPr>
            <w:r>
              <w:rPr>
                <w:rFonts w:hint="eastAsia"/>
                <w:sz w:val="24"/>
                <w:szCs w:val="24"/>
              </w:rPr>
              <w:t>部门及职务</w:t>
            </w:r>
          </w:p>
        </w:tc>
        <w:tc>
          <w:tcPr>
            <w:tcW w:w="1220" w:type="dxa"/>
            <w:vAlign w:val="center"/>
          </w:tcPr>
          <w:p>
            <w:pPr>
              <w:snapToGrid w:val="0"/>
              <w:ind w:firstLine="0" w:firstLineChars="0"/>
              <w:jc w:val="center"/>
              <w:rPr>
                <w:sz w:val="24"/>
                <w:szCs w:val="24"/>
              </w:rPr>
            </w:pPr>
            <w:r>
              <w:rPr>
                <w:rFonts w:hint="eastAsia"/>
                <w:sz w:val="24"/>
                <w:szCs w:val="24"/>
              </w:rPr>
              <w:t>座机号码</w:t>
            </w:r>
          </w:p>
        </w:tc>
        <w:tc>
          <w:tcPr>
            <w:tcW w:w="1410" w:type="dxa"/>
            <w:gridSpan w:val="2"/>
            <w:vAlign w:val="center"/>
          </w:tcPr>
          <w:p>
            <w:pPr>
              <w:snapToGrid w:val="0"/>
              <w:ind w:firstLine="26" w:firstLineChars="11"/>
              <w:jc w:val="center"/>
              <w:rPr>
                <w:sz w:val="24"/>
                <w:szCs w:val="24"/>
              </w:rPr>
            </w:pPr>
            <w:r>
              <w:rPr>
                <w:rFonts w:hint="eastAsia"/>
                <w:sz w:val="24"/>
                <w:szCs w:val="24"/>
              </w:rPr>
              <w:t>手机号码</w:t>
            </w:r>
          </w:p>
        </w:tc>
        <w:tc>
          <w:tcPr>
            <w:tcW w:w="772" w:type="dxa"/>
            <w:gridSpan w:val="3"/>
            <w:vAlign w:val="center"/>
          </w:tcPr>
          <w:p>
            <w:pPr>
              <w:snapToGrid w:val="0"/>
              <w:ind w:firstLine="0" w:firstLineChars="0"/>
              <w:jc w:val="center"/>
              <w:rPr>
                <w:sz w:val="24"/>
                <w:szCs w:val="24"/>
              </w:rPr>
            </w:pPr>
            <w:r>
              <w:rPr>
                <w:rFonts w:hint="eastAsia"/>
                <w:sz w:val="24"/>
                <w:szCs w:val="24"/>
              </w:rPr>
              <w:t>传真</w:t>
            </w:r>
          </w:p>
        </w:tc>
        <w:tc>
          <w:tcPr>
            <w:tcW w:w="1261" w:type="dxa"/>
            <w:vAlign w:val="center"/>
          </w:tcPr>
          <w:p>
            <w:pPr>
              <w:snapToGrid w:val="0"/>
              <w:ind w:firstLine="0" w:firstLineChars="0"/>
              <w:jc w:val="center"/>
              <w:rPr>
                <w:sz w:val="24"/>
                <w:szCs w:val="24"/>
              </w:rPr>
            </w:pPr>
            <w:r>
              <w:rPr>
                <w:rFonts w:hint="eastAsia"/>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718" w:type="dxa"/>
            <w:vMerge w:val="continue"/>
            <w:vAlign w:val="center"/>
          </w:tcPr>
          <w:p>
            <w:pPr>
              <w:snapToGrid w:val="0"/>
              <w:ind w:firstLine="0" w:firstLineChars="0"/>
              <w:jc w:val="center"/>
              <w:rPr>
                <w:sz w:val="24"/>
                <w:szCs w:val="24"/>
              </w:rPr>
            </w:pPr>
          </w:p>
        </w:tc>
        <w:tc>
          <w:tcPr>
            <w:tcW w:w="1493" w:type="dxa"/>
            <w:gridSpan w:val="2"/>
            <w:vAlign w:val="center"/>
          </w:tcPr>
          <w:p>
            <w:pPr>
              <w:snapToGrid w:val="0"/>
              <w:ind w:firstLine="0" w:firstLineChars="0"/>
              <w:jc w:val="center"/>
              <w:rPr>
                <w:sz w:val="24"/>
                <w:szCs w:val="24"/>
              </w:rPr>
            </w:pPr>
          </w:p>
        </w:tc>
        <w:tc>
          <w:tcPr>
            <w:tcW w:w="1220" w:type="dxa"/>
            <w:vAlign w:val="center"/>
          </w:tcPr>
          <w:p>
            <w:pPr>
              <w:snapToGrid w:val="0"/>
              <w:ind w:firstLine="0" w:firstLineChars="0"/>
              <w:jc w:val="center"/>
              <w:rPr>
                <w:sz w:val="24"/>
                <w:szCs w:val="24"/>
              </w:rPr>
            </w:pPr>
          </w:p>
        </w:tc>
        <w:tc>
          <w:tcPr>
            <w:tcW w:w="1410" w:type="dxa"/>
            <w:gridSpan w:val="2"/>
            <w:vAlign w:val="center"/>
          </w:tcPr>
          <w:p>
            <w:pPr>
              <w:snapToGrid w:val="0"/>
              <w:ind w:firstLine="0" w:firstLineChars="0"/>
              <w:jc w:val="center"/>
              <w:rPr>
                <w:sz w:val="24"/>
                <w:szCs w:val="24"/>
              </w:rPr>
            </w:pPr>
          </w:p>
        </w:tc>
        <w:tc>
          <w:tcPr>
            <w:tcW w:w="772" w:type="dxa"/>
            <w:gridSpan w:val="3"/>
            <w:vAlign w:val="center"/>
          </w:tcPr>
          <w:p>
            <w:pPr>
              <w:snapToGrid w:val="0"/>
              <w:ind w:firstLine="0" w:firstLineChars="0"/>
              <w:jc w:val="center"/>
              <w:rPr>
                <w:sz w:val="24"/>
                <w:szCs w:val="24"/>
              </w:rPr>
            </w:pPr>
          </w:p>
        </w:tc>
        <w:tc>
          <w:tcPr>
            <w:tcW w:w="1261" w:type="dxa"/>
            <w:vAlign w:val="center"/>
          </w:tcPr>
          <w:p>
            <w:pPr>
              <w:snapToGrid w:val="0"/>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718" w:type="dxa"/>
            <w:vMerge w:val="restart"/>
            <w:vAlign w:val="center"/>
          </w:tcPr>
          <w:p>
            <w:pPr>
              <w:snapToGrid w:val="0"/>
              <w:ind w:firstLine="0" w:firstLineChars="0"/>
              <w:jc w:val="center"/>
              <w:rPr>
                <w:sz w:val="24"/>
                <w:szCs w:val="24"/>
              </w:rPr>
            </w:pPr>
            <w:r>
              <w:rPr>
                <w:rFonts w:hint="eastAsia"/>
                <w:sz w:val="24"/>
                <w:szCs w:val="24"/>
              </w:rPr>
              <w:t>业务申请联络人</w:t>
            </w:r>
          </w:p>
        </w:tc>
        <w:tc>
          <w:tcPr>
            <w:tcW w:w="1493" w:type="dxa"/>
            <w:gridSpan w:val="2"/>
            <w:vAlign w:val="center"/>
          </w:tcPr>
          <w:p>
            <w:pPr>
              <w:snapToGrid w:val="0"/>
              <w:ind w:firstLine="0" w:firstLineChars="0"/>
              <w:jc w:val="center"/>
              <w:rPr>
                <w:sz w:val="24"/>
                <w:szCs w:val="24"/>
              </w:rPr>
            </w:pPr>
            <w:r>
              <w:rPr>
                <w:rFonts w:hint="eastAsia"/>
                <w:sz w:val="24"/>
                <w:szCs w:val="24"/>
              </w:rPr>
              <w:t>部门及职务</w:t>
            </w:r>
          </w:p>
        </w:tc>
        <w:tc>
          <w:tcPr>
            <w:tcW w:w="1220" w:type="dxa"/>
            <w:vAlign w:val="center"/>
          </w:tcPr>
          <w:p>
            <w:pPr>
              <w:snapToGrid w:val="0"/>
              <w:ind w:firstLine="0" w:firstLineChars="0"/>
              <w:jc w:val="center"/>
              <w:rPr>
                <w:sz w:val="24"/>
                <w:szCs w:val="24"/>
              </w:rPr>
            </w:pPr>
            <w:r>
              <w:rPr>
                <w:rFonts w:hint="eastAsia"/>
                <w:sz w:val="24"/>
                <w:szCs w:val="24"/>
              </w:rPr>
              <w:t>座机号码</w:t>
            </w:r>
          </w:p>
        </w:tc>
        <w:tc>
          <w:tcPr>
            <w:tcW w:w="1410" w:type="dxa"/>
            <w:gridSpan w:val="2"/>
            <w:vAlign w:val="center"/>
          </w:tcPr>
          <w:p>
            <w:pPr>
              <w:snapToGrid w:val="0"/>
              <w:ind w:firstLine="26" w:firstLineChars="11"/>
              <w:jc w:val="center"/>
              <w:rPr>
                <w:sz w:val="24"/>
                <w:szCs w:val="24"/>
              </w:rPr>
            </w:pPr>
            <w:r>
              <w:rPr>
                <w:rFonts w:hint="eastAsia"/>
                <w:sz w:val="24"/>
                <w:szCs w:val="24"/>
              </w:rPr>
              <w:t>手机号码</w:t>
            </w:r>
          </w:p>
        </w:tc>
        <w:tc>
          <w:tcPr>
            <w:tcW w:w="772" w:type="dxa"/>
            <w:gridSpan w:val="3"/>
            <w:vAlign w:val="center"/>
          </w:tcPr>
          <w:p>
            <w:pPr>
              <w:snapToGrid w:val="0"/>
              <w:ind w:firstLine="0" w:firstLineChars="0"/>
              <w:jc w:val="center"/>
              <w:rPr>
                <w:sz w:val="24"/>
                <w:szCs w:val="24"/>
              </w:rPr>
            </w:pPr>
            <w:r>
              <w:rPr>
                <w:rFonts w:hint="eastAsia"/>
                <w:sz w:val="24"/>
                <w:szCs w:val="24"/>
              </w:rPr>
              <w:t>传真</w:t>
            </w:r>
          </w:p>
        </w:tc>
        <w:tc>
          <w:tcPr>
            <w:tcW w:w="1261" w:type="dxa"/>
            <w:vAlign w:val="center"/>
          </w:tcPr>
          <w:p>
            <w:pPr>
              <w:snapToGrid w:val="0"/>
              <w:ind w:firstLine="0" w:firstLineChars="0"/>
              <w:jc w:val="center"/>
              <w:rPr>
                <w:sz w:val="24"/>
                <w:szCs w:val="24"/>
              </w:rPr>
            </w:pPr>
            <w:r>
              <w:rPr>
                <w:rFonts w:hint="eastAsia"/>
                <w:sz w:val="24"/>
                <w:szCs w:val="24"/>
              </w:rPr>
              <w:t>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718" w:type="dxa"/>
            <w:vMerge w:val="continue"/>
            <w:vAlign w:val="center"/>
          </w:tcPr>
          <w:p>
            <w:pPr>
              <w:snapToGrid w:val="0"/>
              <w:ind w:firstLine="480" w:firstLineChars="0"/>
              <w:rPr>
                <w:sz w:val="24"/>
                <w:szCs w:val="24"/>
              </w:rPr>
            </w:pPr>
          </w:p>
        </w:tc>
        <w:tc>
          <w:tcPr>
            <w:tcW w:w="1493" w:type="dxa"/>
            <w:gridSpan w:val="2"/>
            <w:vAlign w:val="center"/>
          </w:tcPr>
          <w:p>
            <w:pPr>
              <w:snapToGrid w:val="0"/>
              <w:ind w:firstLine="480" w:firstLineChars="0"/>
              <w:rPr>
                <w:sz w:val="24"/>
                <w:szCs w:val="24"/>
              </w:rPr>
            </w:pPr>
          </w:p>
        </w:tc>
        <w:tc>
          <w:tcPr>
            <w:tcW w:w="1220" w:type="dxa"/>
            <w:vAlign w:val="center"/>
          </w:tcPr>
          <w:p>
            <w:pPr>
              <w:snapToGrid w:val="0"/>
              <w:ind w:firstLine="480" w:firstLineChars="0"/>
              <w:rPr>
                <w:sz w:val="24"/>
                <w:szCs w:val="24"/>
              </w:rPr>
            </w:pPr>
          </w:p>
        </w:tc>
        <w:tc>
          <w:tcPr>
            <w:tcW w:w="1410" w:type="dxa"/>
            <w:gridSpan w:val="2"/>
            <w:vAlign w:val="center"/>
          </w:tcPr>
          <w:p>
            <w:pPr>
              <w:snapToGrid w:val="0"/>
              <w:ind w:firstLine="480" w:firstLineChars="0"/>
              <w:rPr>
                <w:sz w:val="24"/>
                <w:szCs w:val="24"/>
              </w:rPr>
            </w:pPr>
          </w:p>
        </w:tc>
        <w:tc>
          <w:tcPr>
            <w:tcW w:w="772" w:type="dxa"/>
            <w:gridSpan w:val="3"/>
            <w:vAlign w:val="center"/>
          </w:tcPr>
          <w:p>
            <w:pPr>
              <w:snapToGrid w:val="0"/>
              <w:ind w:firstLine="480" w:firstLineChars="0"/>
              <w:rPr>
                <w:sz w:val="24"/>
                <w:szCs w:val="24"/>
              </w:rPr>
            </w:pPr>
          </w:p>
        </w:tc>
        <w:tc>
          <w:tcPr>
            <w:tcW w:w="1261" w:type="dxa"/>
            <w:vAlign w:val="center"/>
          </w:tcPr>
          <w:p>
            <w:pPr>
              <w:snapToGrid w:val="0"/>
              <w:ind w:firstLine="480" w:firstLineChars="0"/>
              <w:jc w:val="center"/>
              <w:rPr>
                <w:sz w:val="24"/>
                <w:szCs w:val="24"/>
              </w:rPr>
            </w:pPr>
          </w:p>
        </w:tc>
      </w:tr>
    </w:tbl>
    <w:p>
      <w:pPr>
        <w:tabs>
          <w:tab w:val="left" w:pos="7020"/>
        </w:tabs>
        <w:ind w:firstLine="0" w:firstLineChars="0"/>
        <w:jc w:val="left"/>
        <w:rPr>
          <w:sz w:val="21"/>
          <w:szCs w:val="24"/>
        </w:rPr>
      </w:pPr>
      <w:r>
        <w:rPr>
          <w:rFonts w:hint="eastAsia"/>
          <w:sz w:val="21"/>
          <w:szCs w:val="24"/>
        </w:rPr>
        <w:t>注：可交换公司债券和上市公司公开发行的可转换公司债券暂不纳入自选做市品种。</w:t>
      </w:r>
    </w:p>
    <w:p>
      <w:pPr>
        <w:tabs>
          <w:tab w:val="left" w:pos="7020"/>
        </w:tabs>
        <w:wordWrap w:val="0"/>
        <w:spacing w:line="600" w:lineRule="exact"/>
        <w:ind w:firstLine="3600" w:firstLineChars="1500"/>
        <w:jc w:val="left"/>
        <w:rPr>
          <w:sz w:val="24"/>
          <w:szCs w:val="24"/>
        </w:rPr>
      </w:pPr>
      <w:r>
        <w:rPr>
          <w:rFonts w:hint="eastAsia"/>
          <w:sz w:val="24"/>
          <w:szCs w:val="24"/>
        </w:rPr>
        <w:t>拟做市机构名称：____________（加盖公章）</w:t>
      </w:r>
    </w:p>
    <w:p>
      <w:pPr>
        <w:tabs>
          <w:tab w:val="left" w:pos="7020"/>
        </w:tabs>
        <w:wordWrap w:val="0"/>
        <w:spacing w:line="600" w:lineRule="exact"/>
        <w:ind w:firstLine="480"/>
        <w:jc w:val="left"/>
        <w:rPr>
          <w:sz w:val="24"/>
          <w:szCs w:val="24"/>
        </w:rPr>
      </w:pPr>
      <w:r>
        <w:rPr>
          <w:rFonts w:hint="eastAsia"/>
          <w:sz w:val="24"/>
          <w:szCs w:val="24"/>
        </w:rPr>
        <w:t xml:space="preserve">                          经办人（签字）：        </w:t>
      </w:r>
    </w:p>
    <w:p>
      <w:pPr>
        <w:tabs>
          <w:tab w:val="left" w:pos="7020"/>
        </w:tabs>
        <w:wordWrap w:val="0"/>
        <w:spacing w:line="600" w:lineRule="exact"/>
        <w:ind w:firstLine="480"/>
        <w:jc w:val="left"/>
        <w:rPr>
          <w:sz w:val="24"/>
          <w:szCs w:val="24"/>
        </w:rPr>
      </w:pPr>
      <w:r>
        <w:rPr>
          <w:rFonts w:hint="eastAsia"/>
          <w:sz w:val="24"/>
          <w:szCs w:val="24"/>
        </w:rPr>
        <w:t xml:space="preserve">                          申请日期：</w:t>
      </w:r>
    </w:p>
    <w:p>
      <w:pPr>
        <w:pStyle w:val="3"/>
        <w:ind w:firstLine="0" w:firstLineChars="0"/>
      </w:pPr>
      <w:bookmarkStart w:id="46" w:name="_Toc123811089"/>
      <w:r>
        <w:rPr>
          <w:rFonts w:hint="eastAsia"/>
        </w:rPr>
        <w:t>附件4</w:t>
      </w:r>
      <w:bookmarkEnd w:id="46"/>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暂停做市业务申请表</w:t>
      </w:r>
    </w:p>
    <w:p>
      <w:pPr>
        <w:ind w:firstLine="0" w:firstLineChars="0"/>
        <w:rPr>
          <w:rFonts w:ascii="Calibri" w:eastAsia="宋体"/>
          <w:sz w:val="21"/>
          <w:szCs w:val="22"/>
        </w:rPr>
      </w:pPr>
    </w:p>
    <w:tbl>
      <w:tblPr>
        <w:tblStyle w:val="30"/>
        <w:tblW w:w="8503" w:type="dxa"/>
        <w:tblInd w:w="108" w:type="dxa"/>
        <w:tblLayout w:type="fixed"/>
        <w:tblCellMar>
          <w:top w:w="0" w:type="dxa"/>
          <w:left w:w="108" w:type="dxa"/>
          <w:bottom w:w="0" w:type="dxa"/>
          <w:right w:w="108" w:type="dxa"/>
        </w:tblCellMar>
      </w:tblPr>
      <w:tblGrid>
        <w:gridCol w:w="1701"/>
        <w:gridCol w:w="2126"/>
        <w:gridCol w:w="1415"/>
        <w:gridCol w:w="1559"/>
        <w:gridCol w:w="1702"/>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业务申请联络人</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姓名</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部门及职务</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right w:val="single" w:color="auto" w:sz="4" w:space="0"/>
            </w:tcBorders>
            <w:shd w:val="clear" w:color="auto" w:fill="auto"/>
            <w:vAlign w:val="center"/>
          </w:tcPr>
          <w:p>
            <w:pPr>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邮件地址</w:t>
            </w:r>
          </w:p>
        </w:tc>
        <w:tc>
          <w:tcPr>
            <w:tcW w:w="4676" w:type="dxa"/>
            <w:gridSpan w:val="3"/>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暂停特定品种做市业务</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（可选填）</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证券信息</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证券代码</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37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ind w:firstLine="0" w:firstLineChars="0"/>
              <w:jc w:val="center"/>
              <w:rPr>
                <w:rFonts w:ascii="仿宋" w:hAnsi="仿宋" w:eastAsia="仿宋" w:cs="宋体"/>
                <w:color w:val="000000"/>
                <w:kern w:val="0"/>
                <w:sz w:val="24"/>
                <w:szCs w:val="24"/>
              </w:rPr>
            </w:pPr>
          </w:p>
        </w:tc>
        <w:tc>
          <w:tcPr>
            <w:tcW w:w="1415"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证券简称</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88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（暂停生效时间可选范围为申请提交日的前1交易日至后5个交易日）</w:t>
            </w:r>
          </w:p>
        </w:tc>
      </w:tr>
      <w:tr>
        <w:trPr>
          <w:trHeight w:val="77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rPr>
          <w:trHeight w:val="810"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暂停做市业务（可选填）</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tc>
      </w:tr>
      <w:tr>
        <w:trPr>
          <w:trHeight w:val="58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暂停原因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bl>
    <w:p>
      <w:pPr>
        <w:tabs>
          <w:tab w:val="left" w:pos="7020"/>
        </w:tabs>
        <w:spacing w:line="480" w:lineRule="exact"/>
        <w:ind w:firstLine="3720" w:firstLineChars="1550"/>
        <w:jc w:val="left"/>
        <w:rPr>
          <w:sz w:val="24"/>
          <w:szCs w:val="24"/>
        </w:rPr>
      </w:pPr>
    </w:p>
    <w:p>
      <w:pPr>
        <w:tabs>
          <w:tab w:val="left" w:pos="7020"/>
        </w:tabs>
        <w:spacing w:line="480" w:lineRule="exact"/>
        <w:ind w:firstLine="3720" w:firstLineChars="1550"/>
        <w:jc w:val="left"/>
        <w:rPr>
          <w:sz w:val="24"/>
          <w:szCs w:val="24"/>
        </w:rPr>
      </w:pPr>
      <w:r>
        <w:rPr>
          <w:rFonts w:hint="eastAsia"/>
          <w:sz w:val="24"/>
          <w:szCs w:val="24"/>
        </w:rPr>
        <w:t>做市商名称：____________（加盖部门章）</w:t>
      </w:r>
    </w:p>
    <w:p>
      <w:pPr>
        <w:tabs>
          <w:tab w:val="left" w:pos="7020"/>
        </w:tabs>
        <w:spacing w:line="600" w:lineRule="exact"/>
        <w:ind w:left="3720" w:leftChars="200" w:hanging="3120" w:hangingChars="1300"/>
        <w:jc w:val="left"/>
        <w:rPr>
          <w:sz w:val="24"/>
          <w:szCs w:val="24"/>
        </w:rPr>
      </w:pPr>
      <w:r>
        <w:rPr>
          <w:rFonts w:hint="eastAsia"/>
          <w:sz w:val="24"/>
          <w:szCs w:val="24"/>
        </w:rPr>
        <w:t xml:space="preserve">                          经办人（签字）：                                  申请日期：</w:t>
      </w:r>
    </w:p>
    <w:p>
      <w:pPr>
        <w:widowControl/>
        <w:ind w:firstLine="0" w:firstLineChars="0"/>
        <w:jc w:val="left"/>
        <w:rPr>
          <w:sz w:val="24"/>
          <w:szCs w:val="24"/>
        </w:rPr>
      </w:pPr>
      <w:r>
        <w:rPr>
          <w:sz w:val="24"/>
          <w:szCs w:val="24"/>
        </w:rPr>
        <w:br w:type="page"/>
      </w:r>
    </w:p>
    <w:p>
      <w:pPr>
        <w:pStyle w:val="3"/>
        <w:ind w:firstLine="0" w:firstLineChars="0"/>
      </w:pPr>
      <w:bookmarkStart w:id="47" w:name="_Toc123811090"/>
      <w:r>
        <w:rPr>
          <w:rFonts w:hint="eastAsia"/>
        </w:rPr>
        <w:t>附件5</w:t>
      </w:r>
      <w:bookmarkEnd w:id="47"/>
    </w:p>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恢复做市业务申请表</w:t>
      </w:r>
    </w:p>
    <w:p>
      <w:pPr>
        <w:ind w:firstLine="0" w:firstLineChars="0"/>
        <w:rPr>
          <w:rFonts w:ascii="Calibri" w:eastAsia="宋体"/>
          <w:sz w:val="21"/>
          <w:szCs w:val="22"/>
        </w:rPr>
      </w:pPr>
    </w:p>
    <w:tbl>
      <w:tblPr>
        <w:tblStyle w:val="30"/>
        <w:tblW w:w="8503" w:type="dxa"/>
        <w:tblInd w:w="108" w:type="dxa"/>
        <w:tblLayout w:type="fixed"/>
        <w:tblCellMar>
          <w:top w:w="0" w:type="dxa"/>
          <w:left w:w="108" w:type="dxa"/>
          <w:bottom w:w="0" w:type="dxa"/>
          <w:right w:w="108" w:type="dxa"/>
        </w:tblCellMar>
      </w:tblPr>
      <w:tblGrid>
        <w:gridCol w:w="1701"/>
        <w:gridCol w:w="2126"/>
        <w:gridCol w:w="1415"/>
        <w:gridCol w:w="1559"/>
        <w:gridCol w:w="1702"/>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802"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业务申请联络人</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姓名</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sz w:val="24"/>
                <w:szCs w:val="24"/>
              </w:rPr>
              <w:t>部门及职务</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right w:val="single" w:color="auto" w:sz="4" w:space="0"/>
            </w:tcBorders>
            <w:shd w:val="clear" w:color="auto" w:fill="auto"/>
            <w:vAlign w:val="center"/>
          </w:tcPr>
          <w:p>
            <w:pPr>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702"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邮件地址</w:t>
            </w:r>
          </w:p>
        </w:tc>
        <w:tc>
          <w:tcPr>
            <w:tcW w:w="4676" w:type="dxa"/>
            <w:gridSpan w:val="3"/>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特定品种做市业务</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（可选填）</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证券信息</w:t>
            </w:r>
          </w:p>
        </w:tc>
        <w:tc>
          <w:tcPr>
            <w:tcW w:w="1415"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证券代码</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37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ind w:firstLine="0" w:firstLineChars="0"/>
              <w:jc w:val="center"/>
              <w:rPr>
                <w:rFonts w:ascii="仿宋" w:hAnsi="仿宋" w:eastAsia="仿宋" w:cs="宋体"/>
                <w:color w:val="000000"/>
                <w:kern w:val="0"/>
                <w:sz w:val="24"/>
                <w:szCs w:val="24"/>
              </w:rPr>
            </w:pPr>
          </w:p>
        </w:tc>
        <w:tc>
          <w:tcPr>
            <w:tcW w:w="1415"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证券简称</w:t>
            </w:r>
          </w:p>
        </w:tc>
        <w:tc>
          <w:tcPr>
            <w:tcW w:w="3261" w:type="dxa"/>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ascii="仿宋" w:hAnsi="仿宋" w:eastAsia="仿宋" w:cs="宋体"/>
                <w:color w:val="000000"/>
                <w:kern w:val="0"/>
                <w:sz w:val="24"/>
                <w:szCs w:val="24"/>
              </w:rPr>
            </w:pPr>
          </w:p>
        </w:tc>
      </w:tr>
      <w:tr>
        <w:trPr>
          <w:trHeight w:val="885"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p>
            <w:pPr>
              <w:widowControl/>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（恢复生效时间可选范围为申请提交日当日至后4个交易日）</w:t>
            </w:r>
          </w:p>
        </w:tc>
      </w:tr>
      <w:tr>
        <w:trPr>
          <w:trHeight w:val="77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rPr>
          <w:trHeight w:val="810" w:hRule="atLeast"/>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恢复做市业务（可选填）</w:t>
            </w: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生效时间</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YYYY-MM-DD</w:t>
            </w:r>
          </w:p>
        </w:tc>
      </w:tr>
      <w:tr>
        <w:trPr>
          <w:trHeight w:val="584" w:hRule="atLeast"/>
        </w:trPr>
        <w:tc>
          <w:tcPr>
            <w:tcW w:w="1701"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ascii="仿宋" w:hAnsi="仿宋" w:eastAsia="仿宋" w:cs="宋体"/>
                <w:color w:val="000000"/>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恢复</w:t>
            </w:r>
            <w:r>
              <w:rPr>
                <w:rFonts w:hint="eastAsia" w:ascii="仿宋" w:hAnsi="仿宋" w:eastAsia="仿宋" w:cs="宋体"/>
                <w:color w:val="000000"/>
                <w:kern w:val="0"/>
                <w:sz w:val="24"/>
                <w:szCs w:val="24"/>
              </w:rPr>
              <w:t>原因</w:t>
            </w:r>
          </w:p>
        </w:tc>
        <w:tc>
          <w:tcPr>
            <w:tcW w:w="4676" w:type="dxa"/>
            <w:gridSpan w:val="3"/>
            <w:tcBorders>
              <w:top w:val="single" w:color="auto" w:sz="4" w:space="0"/>
              <w:left w:val="nil"/>
              <w:bottom w:val="single" w:color="auto" w:sz="4" w:space="0"/>
              <w:right w:val="single" w:color="000000"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bl>
    <w:p>
      <w:pPr>
        <w:tabs>
          <w:tab w:val="left" w:pos="7020"/>
        </w:tabs>
        <w:spacing w:line="600" w:lineRule="exact"/>
        <w:ind w:firstLine="3600" w:firstLineChars="1500"/>
        <w:jc w:val="left"/>
        <w:rPr>
          <w:sz w:val="24"/>
          <w:szCs w:val="24"/>
        </w:rPr>
      </w:pPr>
    </w:p>
    <w:p>
      <w:pPr>
        <w:tabs>
          <w:tab w:val="left" w:pos="7020"/>
        </w:tabs>
        <w:spacing w:line="480" w:lineRule="exact"/>
        <w:ind w:firstLine="3720" w:firstLineChars="1550"/>
        <w:jc w:val="left"/>
        <w:rPr>
          <w:sz w:val="24"/>
          <w:szCs w:val="24"/>
        </w:rPr>
      </w:pPr>
      <w:r>
        <w:rPr>
          <w:rFonts w:hint="eastAsia"/>
          <w:sz w:val="24"/>
          <w:szCs w:val="24"/>
        </w:rPr>
        <w:t>做市商名称：____________（加盖部门章）</w:t>
      </w:r>
    </w:p>
    <w:p>
      <w:pPr>
        <w:tabs>
          <w:tab w:val="left" w:pos="7020"/>
        </w:tabs>
        <w:spacing w:line="600" w:lineRule="exact"/>
        <w:ind w:left="3720" w:leftChars="200" w:hanging="3120" w:hangingChars="1300"/>
        <w:jc w:val="left"/>
        <w:rPr>
          <w:sz w:val="24"/>
          <w:szCs w:val="24"/>
        </w:rPr>
      </w:pPr>
      <w:r>
        <w:rPr>
          <w:rFonts w:hint="eastAsia"/>
          <w:sz w:val="24"/>
          <w:szCs w:val="24"/>
        </w:rPr>
        <w:t xml:space="preserve">                          经办人（签字）：                                  申请日期：</w:t>
      </w:r>
    </w:p>
    <w:p>
      <w:pPr>
        <w:widowControl/>
        <w:ind w:firstLine="0" w:firstLineChars="0"/>
        <w:jc w:val="left"/>
        <w:rPr>
          <w:rFonts w:ascii="黑体" w:hAnsi="黑体" w:eastAsia="黑体"/>
          <w:sz w:val="32"/>
          <w:szCs w:val="32"/>
        </w:rPr>
      </w:pPr>
      <w:r>
        <w:br w:type="page"/>
      </w:r>
    </w:p>
    <w:p>
      <w:pPr>
        <w:pStyle w:val="3"/>
        <w:ind w:firstLine="0" w:firstLineChars="0"/>
      </w:pPr>
      <w:bookmarkStart w:id="48" w:name="_Toc123811091"/>
      <w:r>
        <w:rPr>
          <w:rFonts w:hint="eastAsia"/>
        </w:rPr>
        <w:t>附件</w:t>
      </w:r>
      <w:r>
        <w:t>6</w:t>
      </w:r>
      <w:bookmarkEnd w:id="48"/>
    </w:p>
    <w:p>
      <w:pPr>
        <w:widowControl/>
        <w:adjustRightInd w:val="0"/>
        <w:snapToGrid w:val="0"/>
        <w:ind w:firstLine="880"/>
        <w:jc w:val="center"/>
        <w:rPr>
          <w:rFonts w:ascii="方正小标宋简体" w:hAnsi="Times New Roman" w:eastAsia="方正小标宋简体"/>
          <w:sz w:val="44"/>
          <w:szCs w:val="44"/>
        </w:rPr>
      </w:pPr>
    </w:p>
    <w:p>
      <w:pPr>
        <w:widowControl/>
        <w:adjustRightInd w:val="0"/>
        <w:snapToGrid w:val="0"/>
        <w:ind w:firstLine="0" w:firstLineChars="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终止做市业务申请表（基准/一般）</w:t>
      </w:r>
    </w:p>
    <w:p>
      <w:pPr>
        <w:widowControl/>
        <w:ind w:firstLine="0" w:firstLineChars="0"/>
        <w:jc w:val="left"/>
        <w:rPr>
          <w:rFonts w:ascii="仿宋" w:hAnsi="仿宋" w:eastAsia="宋体"/>
          <w:sz w:val="24"/>
          <w:szCs w:val="24"/>
        </w:rPr>
      </w:pPr>
    </w:p>
    <w:tbl>
      <w:tblPr>
        <w:tblStyle w:val="30"/>
        <w:tblW w:w="8311" w:type="dxa"/>
        <w:tblInd w:w="108" w:type="dxa"/>
        <w:tblLayout w:type="fixed"/>
        <w:tblCellMar>
          <w:top w:w="0" w:type="dxa"/>
          <w:left w:w="108" w:type="dxa"/>
          <w:bottom w:w="0" w:type="dxa"/>
          <w:right w:w="108" w:type="dxa"/>
        </w:tblCellMar>
      </w:tblPr>
      <w:tblGrid>
        <w:gridCol w:w="1701"/>
        <w:gridCol w:w="1728"/>
        <w:gridCol w:w="1377"/>
        <w:gridCol w:w="1569"/>
        <w:gridCol w:w="1936"/>
      </w:tblGrid>
      <w:tr>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机构名称</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通讯地址</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机构类型</w:t>
            </w:r>
          </w:p>
        </w:tc>
        <w:tc>
          <w:tcPr>
            <w:tcW w:w="6610"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jc w:val="left"/>
              <w:rPr>
                <w:sz w:val="24"/>
                <w:szCs w:val="24"/>
              </w:rPr>
            </w:pPr>
            <w:r>
              <w:rPr>
                <w:rFonts w:hint="eastAsia"/>
                <w:sz w:val="24"/>
                <w:szCs w:val="24"/>
              </w:rPr>
              <w:t>□证券公司</w:t>
            </w:r>
            <w:r>
              <w:rPr>
                <w:sz w:val="24"/>
                <w:szCs w:val="24"/>
              </w:rPr>
              <w:t xml:space="preserve">  </w:t>
            </w:r>
            <w:r>
              <w:rPr>
                <w:rFonts w:hint="eastAsia"/>
                <w:sz w:val="24"/>
                <w:szCs w:val="24"/>
              </w:rPr>
              <w:t>□银行</w:t>
            </w:r>
            <w:r>
              <w:rPr>
                <w:sz w:val="24"/>
                <w:szCs w:val="24"/>
              </w:rPr>
              <w:t xml:space="preserve">  </w:t>
            </w:r>
            <w:r>
              <w:rPr>
                <w:rFonts w:hint="eastAsia"/>
                <w:sz w:val="24"/>
                <w:szCs w:val="24"/>
              </w:rPr>
              <w:t>□证券公司资产管理子公司</w:t>
            </w:r>
            <w:r>
              <w:rPr>
                <w:sz w:val="24"/>
                <w:szCs w:val="24"/>
              </w:rPr>
              <w:t xml:space="preserve">  </w:t>
            </w:r>
          </w:p>
          <w:p>
            <w:pPr>
              <w:ind w:firstLine="0" w:firstLineChars="0"/>
              <w:jc w:val="left"/>
              <w:rPr>
                <w:sz w:val="24"/>
                <w:szCs w:val="24"/>
              </w:rPr>
            </w:pPr>
            <w:r>
              <w:rPr>
                <w:rFonts w:hint="eastAsia"/>
                <w:sz w:val="24"/>
                <w:szCs w:val="24"/>
              </w:rPr>
              <w:t>□银行理财子公司</w:t>
            </w:r>
            <w:r>
              <w:rPr>
                <w:sz w:val="24"/>
                <w:szCs w:val="24"/>
              </w:rPr>
              <w:t xml:space="preserve">  </w:t>
            </w:r>
            <w:r>
              <w:rPr>
                <w:rFonts w:hint="eastAsia"/>
                <w:sz w:val="24"/>
                <w:szCs w:val="24"/>
              </w:rPr>
              <w:t>□证券投资基金管理公司</w:t>
            </w:r>
            <w:r>
              <w:rPr>
                <w:sz w:val="24"/>
                <w:szCs w:val="24"/>
              </w:rPr>
              <w:t xml:space="preserve">  </w:t>
            </w:r>
          </w:p>
          <w:p>
            <w:pPr>
              <w:ind w:firstLine="0" w:firstLineChars="0"/>
              <w:jc w:val="left"/>
              <w:rPr>
                <w:sz w:val="24"/>
                <w:szCs w:val="24"/>
              </w:rPr>
            </w:pPr>
            <w:r>
              <w:rPr>
                <w:rFonts w:hint="eastAsia"/>
                <w:sz w:val="24"/>
                <w:szCs w:val="24"/>
              </w:rPr>
              <w:t>□保险公司</w:t>
            </w:r>
            <w:r>
              <w:rPr>
                <w:sz w:val="24"/>
                <w:szCs w:val="24"/>
              </w:rPr>
              <w:t xml:space="preserve"> </w:t>
            </w:r>
            <w:r>
              <w:rPr>
                <w:rFonts w:hint="eastAsia"/>
                <w:sz w:val="24"/>
                <w:szCs w:val="24"/>
              </w:rPr>
              <w:t>□保险资产管理公司</w:t>
            </w:r>
            <w:r>
              <w:rPr>
                <w:sz w:val="24"/>
                <w:szCs w:val="24"/>
              </w:rPr>
              <w:t xml:space="preserve">  </w:t>
            </w:r>
            <w:r>
              <w:rPr>
                <w:rFonts w:hint="eastAsia"/>
                <w:sz w:val="24"/>
                <w:szCs w:val="24"/>
              </w:rPr>
              <w:t>□信托公司</w:t>
            </w:r>
            <w:r>
              <w:rPr>
                <w:sz w:val="24"/>
                <w:szCs w:val="24"/>
              </w:rPr>
              <w:t xml:space="preserve">  </w:t>
            </w:r>
          </w:p>
          <w:p>
            <w:pPr>
              <w:ind w:firstLine="0" w:firstLineChars="0"/>
              <w:jc w:val="left"/>
              <w:rPr>
                <w:rFonts w:ascii="仿宋" w:hAnsi="仿宋" w:eastAsia="仿宋"/>
                <w:sz w:val="24"/>
                <w:szCs w:val="24"/>
              </w:rPr>
            </w:pPr>
            <w:r>
              <w:rPr>
                <w:rFonts w:hint="eastAsia"/>
                <w:sz w:val="24"/>
                <w:szCs w:val="24"/>
              </w:rPr>
              <w:t>□财务公司</w:t>
            </w:r>
            <w:r>
              <w:rPr>
                <w:sz w:val="24"/>
                <w:szCs w:val="24"/>
              </w:rPr>
              <w:t xml:space="preserve">  </w:t>
            </w:r>
            <w:r>
              <w:rPr>
                <w:rFonts w:hint="eastAsia"/>
                <w:sz w:val="24"/>
                <w:szCs w:val="24"/>
              </w:rPr>
              <w:t>□期货公司</w:t>
            </w:r>
            <w:r>
              <w:rPr>
                <w:sz w:val="24"/>
                <w:szCs w:val="24"/>
              </w:rPr>
              <w:t xml:space="preserve">  </w:t>
            </w:r>
            <w:r>
              <w:rPr>
                <w:rFonts w:hint="eastAsia" w:ascii="仿宋" w:hAnsi="仿宋" w:eastAsia="仿宋"/>
                <w:sz w:val="24"/>
                <w:szCs w:val="24"/>
              </w:rPr>
              <w:t>□金融资产管理公司</w:t>
            </w:r>
          </w:p>
          <w:p>
            <w:pPr>
              <w:widowControl/>
              <w:ind w:firstLine="0" w:firstLineChars="0"/>
              <w:jc w:val="left"/>
              <w:rPr>
                <w:rFonts w:ascii="仿宋" w:hAnsi="仿宋" w:eastAsia="仿宋" w:cs="宋体"/>
                <w:color w:val="000000"/>
                <w:kern w:val="0"/>
                <w:sz w:val="24"/>
                <w:szCs w:val="24"/>
              </w:rPr>
            </w:pPr>
            <w:r>
              <w:rPr>
                <w:rFonts w:hint="eastAsia" w:ascii="仿宋" w:hAnsi="仿宋" w:eastAsia="仿宋"/>
                <w:sz w:val="24"/>
                <w:szCs w:val="24"/>
              </w:rPr>
              <w:t>□私募基金管理人</w:t>
            </w:r>
            <w:r>
              <w:rPr>
                <w:rFonts w:ascii="仿宋" w:hAnsi="仿宋" w:eastAsia="仿宋"/>
                <w:sz w:val="24"/>
                <w:szCs w:val="24"/>
              </w:rPr>
              <w:t xml:space="preserve"> </w:t>
            </w:r>
            <w:r>
              <w:rPr>
                <w:rFonts w:hint="eastAsia"/>
                <w:sz w:val="24"/>
                <w:szCs w:val="24"/>
              </w:rPr>
              <w:t>□其他机构（注明）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restart"/>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业务申请联络人</w:t>
            </w: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姓名</w:t>
            </w:r>
          </w:p>
        </w:tc>
        <w:tc>
          <w:tcPr>
            <w:tcW w:w="1377" w:type="dxa"/>
            <w:vAlign w:val="center"/>
          </w:tcPr>
          <w:p>
            <w:pPr>
              <w:tabs>
                <w:tab w:val="left" w:pos="4545"/>
              </w:tabs>
              <w:spacing w:before="120" w:after="120"/>
              <w:ind w:firstLine="0" w:firstLineChars="0"/>
              <w:rPr>
                <w:rFonts w:ascii="仿宋" w:hAnsi="仿宋" w:eastAsia="仿宋"/>
                <w:sz w:val="24"/>
                <w:szCs w:val="24"/>
              </w:rPr>
            </w:pPr>
          </w:p>
        </w:tc>
        <w:tc>
          <w:tcPr>
            <w:tcW w:w="1569"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部门及职务</w:t>
            </w:r>
          </w:p>
        </w:tc>
        <w:tc>
          <w:tcPr>
            <w:tcW w:w="1936" w:type="dxa"/>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continue"/>
            <w:vAlign w:val="center"/>
          </w:tcPr>
          <w:p>
            <w:pPr>
              <w:tabs>
                <w:tab w:val="left" w:pos="4545"/>
              </w:tabs>
              <w:spacing w:before="120" w:after="120"/>
              <w:ind w:firstLine="0" w:firstLineChars="0"/>
              <w:rPr>
                <w:rFonts w:ascii="仿宋" w:hAnsi="仿宋" w:eastAsia="仿宋"/>
                <w:sz w:val="24"/>
                <w:szCs w:val="24"/>
              </w:rPr>
            </w:pP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座机</w:t>
            </w:r>
            <w:r>
              <w:rPr>
                <w:rFonts w:hint="eastAsia"/>
                <w:sz w:val="24"/>
                <w:szCs w:val="24"/>
              </w:rPr>
              <w:t>号码</w:t>
            </w:r>
          </w:p>
        </w:tc>
        <w:tc>
          <w:tcPr>
            <w:tcW w:w="1377" w:type="dxa"/>
            <w:vAlign w:val="center"/>
          </w:tcPr>
          <w:p>
            <w:pPr>
              <w:tabs>
                <w:tab w:val="left" w:pos="4545"/>
              </w:tabs>
              <w:spacing w:before="120" w:after="120"/>
              <w:ind w:firstLine="0" w:firstLineChars="0"/>
              <w:rPr>
                <w:rFonts w:ascii="仿宋" w:hAnsi="仿宋" w:eastAsia="仿宋"/>
                <w:sz w:val="24"/>
                <w:szCs w:val="24"/>
              </w:rPr>
            </w:pPr>
          </w:p>
        </w:tc>
        <w:tc>
          <w:tcPr>
            <w:tcW w:w="1569"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手机</w:t>
            </w:r>
            <w:r>
              <w:rPr>
                <w:rFonts w:hint="eastAsia"/>
                <w:sz w:val="24"/>
                <w:szCs w:val="24"/>
              </w:rPr>
              <w:t>号码</w:t>
            </w:r>
          </w:p>
        </w:tc>
        <w:tc>
          <w:tcPr>
            <w:tcW w:w="1936" w:type="dxa"/>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Merge w:val="continue"/>
            <w:vAlign w:val="center"/>
          </w:tcPr>
          <w:p>
            <w:pPr>
              <w:tabs>
                <w:tab w:val="left" w:pos="4545"/>
              </w:tabs>
              <w:spacing w:before="120" w:after="120"/>
              <w:ind w:firstLine="0" w:firstLineChars="0"/>
              <w:rPr>
                <w:rFonts w:ascii="仿宋" w:hAnsi="仿宋" w:eastAsia="仿宋"/>
                <w:sz w:val="24"/>
                <w:szCs w:val="24"/>
              </w:rPr>
            </w:pPr>
          </w:p>
        </w:tc>
        <w:tc>
          <w:tcPr>
            <w:tcW w:w="1728"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邮件地址</w:t>
            </w:r>
          </w:p>
        </w:tc>
        <w:tc>
          <w:tcPr>
            <w:tcW w:w="4882" w:type="dxa"/>
            <w:gridSpan w:val="3"/>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终止业务类型</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一般做市业务</w:t>
            </w:r>
            <w:r>
              <w:rPr>
                <w:rFonts w:ascii="仿宋" w:hAnsi="仿宋" w:eastAsia="仿宋"/>
                <w:sz w:val="24"/>
                <w:szCs w:val="24"/>
              </w:rPr>
              <w:t>/基准做</w:t>
            </w:r>
            <w:r>
              <w:rPr>
                <w:rFonts w:hint="eastAsia" w:ascii="仿宋" w:hAnsi="仿宋" w:eastAsia="仿宋"/>
                <w:sz w:val="24"/>
                <w:szCs w:val="24"/>
              </w:rPr>
              <w:t>市业务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01" w:type="dxa"/>
            <w:vAlign w:val="center"/>
          </w:tcPr>
          <w:p>
            <w:pPr>
              <w:tabs>
                <w:tab w:val="left" w:pos="4545"/>
              </w:tabs>
              <w:spacing w:before="120" w:after="120"/>
              <w:ind w:firstLine="0" w:firstLineChars="0"/>
              <w:rPr>
                <w:rFonts w:ascii="仿宋" w:hAnsi="仿宋" w:eastAsia="仿宋"/>
                <w:sz w:val="24"/>
                <w:szCs w:val="24"/>
              </w:rPr>
            </w:pPr>
            <w:r>
              <w:rPr>
                <w:rFonts w:hint="eastAsia" w:ascii="仿宋" w:hAnsi="仿宋" w:eastAsia="仿宋"/>
                <w:sz w:val="24"/>
                <w:szCs w:val="24"/>
              </w:rPr>
              <w:t>终止时间</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01" w:type="dxa"/>
            <w:vAlign w:val="center"/>
          </w:tcPr>
          <w:p>
            <w:pPr>
              <w:ind w:firstLine="0" w:firstLineChars="0"/>
              <w:rPr>
                <w:rFonts w:ascii="仿宋" w:hAnsi="仿宋" w:eastAsia="仿宋"/>
                <w:sz w:val="24"/>
                <w:szCs w:val="24"/>
              </w:rPr>
            </w:pPr>
            <w:r>
              <w:rPr>
                <w:rFonts w:hint="eastAsia" w:ascii="仿宋" w:hAnsi="仿宋" w:eastAsia="仿宋"/>
                <w:sz w:val="24"/>
                <w:szCs w:val="24"/>
              </w:rPr>
              <w:t>终止原因</w:t>
            </w:r>
          </w:p>
        </w:tc>
        <w:tc>
          <w:tcPr>
            <w:tcW w:w="6610" w:type="dxa"/>
            <w:gridSpan w:val="4"/>
            <w:vAlign w:val="center"/>
          </w:tcPr>
          <w:p>
            <w:pPr>
              <w:tabs>
                <w:tab w:val="left" w:pos="4545"/>
              </w:tabs>
              <w:spacing w:before="120" w:after="120"/>
              <w:ind w:firstLine="0" w:firstLineChars="0"/>
              <w:rPr>
                <w:rFonts w:ascii="仿宋" w:hAnsi="仿宋" w:eastAsia="仿宋"/>
                <w:sz w:val="24"/>
                <w:szCs w:val="24"/>
              </w:rPr>
            </w:pPr>
          </w:p>
        </w:tc>
      </w:tr>
    </w:tbl>
    <w:p>
      <w:pPr>
        <w:ind w:firstLine="0" w:firstLineChars="0"/>
        <w:jc w:val="left"/>
        <w:rPr>
          <w:sz w:val="24"/>
          <w:szCs w:val="24"/>
        </w:rPr>
      </w:pPr>
    </w:p>
    <w:p>
      <w:pPr>
        <w:tabs>
          <w:tab w:val="left" w:pos="7020"/>
        </w:tabs>
        <w:wordWrap w:val="0"/>
        <w:spacing w:line="600" w:lineRule="exact"/>
        <w:ind w:firstLine="4080" w:firstLineChars="1700"/>
        <w:jc w:val="left"/>
        <w:rPr>
          <w:sz w:val="24"/>
          <w:szCs w:val="24"/>
        </w:rPr>
      </w:pPr>
      <w:r>
        <w:rPr>
          <w:rFonts w:hint="eastAsia"/>
          <w:sz w:val="24"/>
          <w:szCs w:val="24"/>
        </w:rPr>
        <w:t>做市商名称：____________（加盖部门章）</w:t>
      </w:r>
    </w:p>
    <w:p>
      <w:pPr>
        <w:tabs>
          <w:tab w:val="left" w:pos="7020"/>
        </w:tabs>
        <w:wordWrap w:val="0"/>
        <w:spacing w:line="600" w:lineRule="exact"/>
        <w:ind w:firstLine="480"/>
        <w:jc w:val="left"/>
        <w:rPr>
          <w:sz w:val="24"/>
          <w:szCs w:val="24"/>
        </w:rPr>
      </w:pPr>
      <w:r>
        <w:rPr>
          <w:rFonts w:hint="eastAsia"/>
          <w:sz w:val="24"/>
          <w:szCs w:val="24"/>
        </w:rPr>
        <w:t xml:space="preserve">                              经办人（签字）：        </w:t>
      </w:r>
    </w:p>
    <w:p>
      <w:pPr>
        <w:tabs>
          <w:tab w:val="left" w:pos="7020"/>
        </w:tabs>
        <w:spacing w:line="600" w:lineRule="exact"/>
        <w:ind w:firstLine="480"/>
        <w:jc w:val="left"/>
        <w:rPr>
          <w:sz w:val="24"/>
          <w:szCs w:val="24"/>
        </w:rPr>
      </w:pPr>
      <w:r>
        <w:rPr>
          <w:rFonts w:hint="eastAsia"/>
          <w:sz w:val="24"/>
          <w:szCs w:val="24"/>
        </w:rPr>
        <w:t xml:space="preserve">                              申请日期：</w:t>
      </w:r>
    </w:p>
    <w:p>
      <w:pPr>
        <w:widowControl/>
        <w:ind w:firstLine="0" w:firstLineChars="0"/>
        <w:jc w:val="left"/>
        <w:rPr>
          <w:rFonts w:ascii="Times New Roman" w:hAnsi="Times New Roman" w:eastAsia="仿宋"/>
          <w:sz w:val="21"/>
          <w:szCs w:val="21"/>
        </w:rPr>
      </w:pPr>
    </w:p>
    <w:sectPr>
      <w:footerReference r:id="rId11" w:type="first"/>
      <w:pgSz w:w="11906" w:h="16838"/>
      <w:pgMar w:top="2098" w:right="1474" w:bottom="1984" w:left="1587" w:header="851" w:footer="992" w:gutter="0"/>
      <w:pgNumType w:fmt="decimal"/>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0"/>
      <w:jc w:val="center"/>
      <w:rPr>
        <w:rFonts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149225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0" w:firstLine="0" w:firstLineChars="0"/>
                            <w:jc w:val="lef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75pt;height:144pt;width:144pt;mso-position-horizontal:outside;mso-position-horizontal-relative:margin;mso-wrap-style:none;z-index:251659264;mso-width-relative:page;mso-height-relative:page;" filled="f" stroked="f" coordsize="21600,21600" o:gfxdata="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8uXvN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ind w:left="0" w:firstLine="0" w:firstLineChars="0"/>
                      <w:jc w:val="lef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1774"/>
        <w:tab w:val="clear" w:pos="4153"/>
        <w:tab w:val="clear" w:pos="8306"/>
      </w:tabs>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149225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left="0" w:firstLine="0" w:firstLineChars="0"/>
                            <w:jc w:val="lef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75pt;height:144pt;width:144pt;mso-position-horizontal:outside;mso-position-horizontal-relative:margin;mso-wrap-style:none;z-index:251660288;mso-width-relative:page;mso-height-relative:page;" filled="f" stroked="f" coordsize="21600,21600" o:gfxdata="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8uXvN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ind w:left="0" w:firstLine="0" w:firstLineChars="0"/>
                      <w:jc w:val="lef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sz w:val="21"/>
      </w:rPr>
    </w:sdtEndPr>
    <w:sdtContent>
      <w:p>
        <w:pPr>
          <w:pStyle w:val="19"/>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rPr>
          <w:t>1</w:t>
        </w:r>
        <w:r>
          <w:rPr>
            <w:rFonts w:ascii="Times New Roman" w:hAnsi="Times New Roman"/>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sz w:val="21"/>
      </w:rPr>
    </w:sdtEndPr>
    <w:sdtContent>
      <w:p>
        <w:pPr>
          <w:pStyle w:val="19"/>
          <w:spacing w:before="24"/>
          <w:ind w:firstLine="0" w:firstLineChars="0"/>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rPr>
          <w:t>2</w:t>
        </w:r>
        <w:r>
          <w:rPr>
            <w:rFonts w:ascii="Times New Roman" w:hAnsi="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0"/>
  <w:drawingGridVerticalSpacing w:val="20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E"/>
    <w:rsid w:val="000005E1"/>
    <w:rsid w:val="0000109E"/>
    <w:rsid w:val="000011D3"/>
    <w:rsid w:val="00001366"/>
    <w:rsid w:val="000014FC"/>
    <w:rsid w:val="00001579"/>
    <w:rsid w:val="0000174D"/>
    <w:rsid w:val="00001DFE"/>
    <w:rsid w:val="00002FD2"/>
    <w:rsid w:val="00003139"/>
    <w:rsid w:val="00003D3E"/>
    <w:rsid w:val="00003FAD"/>
    <w:rsid w:val="00004B00"/>
    <w:rsid w:val="000055CE"/>
    <w:rsid w:val="00005712"/>
    <w:rsid w:val="00005782"/>
    <w:rsid w:val="00005880"/>
    <w:rsid w:val="000073A5"/>
    <w:rsid w:val="0000799E"/>
    <w:rsid w:val="00007E1D"/>
    <w:rsid w:val="00010465"/>
    <w:rsid w:val="00010470"/>
    <w:rsid w:val="00010497"/>
    <w:rsid w:val="00010B5C"/>
    <w:rsid w:val="000119F3"/>
    <w:rsid w:val="00011B3C"/>
    <w:rsid w:val="00011BF4"/>
    <w:rsid w:val="00012267"/>
    <w:rsid w:val="00015048"/>
    <w:rsid w:val="00015802"/>
    <w:rsid w:val="00016A43"/>
    <w:rsid w:val="00016F17"/>
    <w:rsid w:val="000175D0"/>
    <w:rsid w:val="00017D3A"/>
    <w:rsid w:val="00020000"/>
    <w:rsid w:val="00020075"/>
    <w:rsid w:val="00020086"/>
    <w:rsid w:val="00021268"/>
    <w:rsid w:val="000214CC"/>
    <w:rsid w:val="00021621"/>
    <w:rsid w:val="00021929"/>
    <w:rsid w:val="00021D4A"/>
    <w:rsid w:val="00021E7F"/>
    <w:rsid w:val="000225F5"/>
    <w:rsid w:val="00022EB2"/>
    <w:rsid w:val="0002315E"/>
    <w:rsid w:val="00023185"/>
    <w:rsid w:val="0002327B"/>
    <w:rsid w:val="00023744"/>
    <w:rsid w:val="00023E33"/>
    <w:rsid w:val="00023F15"/>
    <w:rsid w:val="00024389"/>
    <w:rsid w:val="00024A7A"/>
    <w:rsid w:val="00025AF1"/>
    <w:rsid w:val="00026E11"/>
    <w:rsid w:val="000319DE"/>
    <w:rsid w:val="00031EE5"/>
    <w:rsid w:val="00033462"/>
    <w:rsid w:val="00035113"/>
    <w:rsid w:val="00035136"/>
    <w:rsid w:val="0003563A"/>
    <w:rsid w:val="00035B2F"/>
    <w:rsid w:val="00035D19"/>
    <w:rsid w:val="00035D56"/>
    <w:rsid w:val="000360F3"/>
    <w:rsid w:val="00036A53"/>
    <w:rsid w:val="00037049"/>
    <w:rsid w:val="0004020C"/>
    <w:rsid w:val="00040FE7"/>
    <w:rsid w:val="00041046"/>
    <w:rsid w:val="000416A6"/>
    <w:rsid w:val="000423C2"/>
    <w:rsid w:val="0004273B"/>
    <w:rsid w:val="00043036"/>
    <w:rsid w:val="000436F2"/>
    <w:rsid w:val="000442BC"/>
    <w:rsid w:val="0004439C"/>
    <w:rsid w:val="00044456"/>
    <w:rsid w:val="00044902"/>
    <w:rsid w:val="00044A4A"/>
    <w:rsid w:val="00044ADA"/>
    <w:rsid w:val="000461C7"/>
    <w:rsid w:val="00046C31"/>
    <w:rsid w:val="00046CBA"/>
    <w:rsid w:val="00046E62"/>
    <w:rsid w:val="00047457"/>
    <w:rsid w:val="0004760D"/>
    <w:rsid w:val="000509E7"/>
    <w:rsid w:val="00050DB7"/>
    <w:rsid w:val="00050DC6"/>
    <w:rsid w:val="000518F7"/>
    <w:rsid w:val="000519D6"/>
    <w:rsid w:val="000531F5"/>
    <w:rsid w:val="00053CD1"/>
    <w:rsid w:val="00053D09"/>
    <w:rsid w:val="0005456C"/>
    <w:rsid w:val="00054972"/>
    <w:rsid w:val="00054BD8"/>
    <w:rsid w:val="00054D2B"/>
    <w:rsid w:val="00055E52"/>
    <w:rsid w:val="00056AA6"/>
    <w:rsid w:val="00057AA2"/>
    <w:rsid w:val="00060160"/>
    <w:rsid w:val="00060221"/>
    <w:rsid w:val="00060B42"/>
    <w:rsid w:val="00060C23"/>
    <w:rsid w:val="000613E6"/>
    <w:rsid w:val="0006182F"/>
    <w:rsid w:val="00062938"/>
    <w:rsid w:val="000629AA"/>
    <w:rsid w:val="00062BB9"/>
    <w:rsid w:val="00062F90"/>
    <w:rsid w:val="00063C2C"/>
    <w:rsid w:val="00065895"/>
    <w:rsid w:val="00065EA3"/>
    <w:rsid w:val="00066080"/>
    <w:rsid w:val="00066300"/>
    <w:rsid w:val="00066C12"/>
    <w:rsid w:val="00066F9E"/>
    <w:rsid w:val="0006759B"/>
    <w:rsid w:val="000678FA"/>
    <w:rsid w:val="00067DD3"/>
    <w:rsid w:val="000705E2"/>
    <w:rsid w:val="00071435"/>
    <w:rsid w:val="00071F99"/>
    <w:rsid w:val="00072DCB"/>
    <w:rsid w:val="00073AD9"/>
    <w:rsid w:val="00074C5D"/>
    <w:rsid w:val="00075F69"/>
    <w:rsid w:val="00076827"/>
    <w:rsid w:val="000770BE"/>
    <w:rsid w:val="00077BF6"/>
    <w:rsid w:val="00077CA3"/>
    <w:rsid w:val="000800F6"/>
    <w:rsid w:val="0008085C"/>
    <w:rsid w:val="00080E67"/>
    <w:rsid w:val="00080F04"/>
    <w:rsid w:val="000813CD"/>
    <w:rsid w:val="00081763"/>
    <w:rsid w:val="00081D9A"/>
    <w:rsid w:val="00081DF2"/>
    <w:rsid w:val="0008201A"/>
    <w:rsid w:val="00082289"/>
    <w:rsid w:val="000822E9"/>
    <w:rsid w:val="000827A6"/>
    <w:rsid w:val="0008291F"/>
    <w:rsid w:val="00082D84"/>
    <w:rsid w:val="000838E7"/>
    <w:rsid w:val="000840D6"/>
    <w:rsid w:val="00084C0D"/>
    <w:rsid w:val="0008515F"/>
    <w:rsid w:val="00085484"/>
    <w:rsid w:val="00085C7D"/>
    <w:rsid w:val="00086651"/>
    <w:rsid w:val="000869F0"/>
    <w:rsid w:val="00086F4E"/>
    <w:rsid w:val="00087490"/>
    <w:rsid w:val="000877DE"/>
    <w:rsid w:val="00087948"/>
    <w:rsid w:val="000901A1"/>
    <w:rsid w:val="0009103C"/>
    <w:rsid w:val="0009150B"/>
    <w:rsid w:val="00091FD3"/>
    <w:rsid w:val="00092BA8"/>
    <w:rsid w:val="00093178"/>
    <w:rsid w:val="00095AF4"/>
    <w:rsid w:val="00095C84"/>
    <w:rsid w:val="00096C13"/>
    <w:rsid w:val="00097366"/>
    <w:rsid w:val="00097A6A"/>
    <w:rsid w:val="00097AD9"/>
    <w:rsid w:val="00097F34"/>
    <w:rsid w:val="000A06C3"/>
    <w:rsid w:val="000A0EFE"/>
    <w:rsid w:val="000A1983"/>
    <w:rsid w:val="000A2237"/>
    <w:rsid w:val="000A2530"/>
    <w:rsid w:val="000A29D3"/>
    <w:rsid w:val="000A2AAC"/>
    <w:rsid w:val="000A2B09"/>
    <w:rsid w:val="000A2B1D"/>
    <w:rsid w:val="000A2B82"/>
    <w:rsid w:val="000A40BA"/>
    <w:rsid w:val="000A4437"/>
    <w:rsid w:val="000A4482"/>
    <w:rsid w:val="000A45FF"/>
    <w:rsid w:val="000A584A"/>
    <w:rsid w:val="000A5921"/>
    <w:rsid w:val="000A5B74"/>
    <w:rsid w:val="000A6641"/>
    <w:rsid w:val="000A6AEF"/>
    <w:rsid w:val="000A6CB3"/>
    <w:rsid w:val="000A6CD8"/>
    <w:rsid w:val="000A709F"/>
    <w:rsid w:val="000A7388"/>
    <w:rsid w:val="000A73A4"/>
    <w:rsid w:val="000A7798"/>
    <w:rsid w:val="000A7993"/>
    <w:rsid w:val="000A7B6B"/>
    <w:rsid w:val="000B04DF"/>
    <w:rsid w:val="000B3578"/>
    <w:rsid w:val="000B3F97"/>
    <w:rsid w:val="000B4110"/>
    <w:rsid w:val="000B42F9"/>
    <w:rsid w:val="000B46D2"/>
    <w:rsid w:val="000B501D"/>
    <w:rsid w:val="000B5158"/>
    <w:rsid w:val="000B51A0"/>
    <w:rsid w:val="000B5DCD"/>
    <w:rsid w:val="000B648A"/>
    <w:rsid w:val="000B6928"/>
    <w:rsid w:val="000B6B4F"/>
    <w:rsid w:val="000B6D22"/>
    <w:rsid w:val="000C09D1"/>
    <w:rsid w:val="000C0C72"/>
    <w:rsid w:val="000C0F52"/>
    <w:rsid w:val="000C12ED"/>
    <w:rsid w:val="000C3179"/>
    <w:rsid w:val="000C3A8F"/>
    <w:rsid w:val="000C3B2D"/>
    <w:rsid w:val="000C3CB9"/>
    <w:rsid w:val="000C4385"/>
    <w:rsid w:val="000C4531"/>
    <w:rsid w:val="000C5B6D"/>
    <w:rsid w:val="000C64D7"/>
    <w:rsid w:val="000C6565"/>
    <w:rsid w:val="000C69A6"/>
    <w:rsid w:val="000C6D2E"/>
    <w:rsid w:val="000C7563"/>
    <w:rsid w:val="000C7B4C"/>
    <w:rsid w:val="000D074B"/>
    <w:rsid w:val="000D1B6D"/>
    <w:rsid w:val="000D2AA5"/>
    <w:rsid w:val="000D2AC5"/>
    <w:rsid w:val="000D39A3"/>
    <w:rsid w:val="000D3B4F"/>
    <w:rsid w:val="000D3F24"/>
    <w:rsid w:val="000D423C"/>
    <w:rsid w:val="000D4A01"/>
    <w:rsid w:val="000D4E30"/>
    <w:rsid w:val="000D4E99"/>
    <w:rsid w:val="000D58CD"/>
    <w:rsid w:val="000D5F78"/>
    <w:rsid w:val="000D6EB8"/>
    <w:rsid w:val="000D7A19"/>
    <w:rsid w:val="000E0C10"/>
    <w:rsid w:val="000E103F"/>
    <w:rsid w:val="000E12E5"/>
    <w:rsid w:val="000E1E56"/>
    <w:rsid w:val="000E1E7E"/>
    <w:rsid w:val="000E2142"/>
    <w:rsid w:val="000E3119"/>
    <w:rsid w:val="000E3D99"/>
    <w:rsid w:val="000E4360"/>
    <w:rsid w:val="000E47C3"/>
    <w:rsid w:val="000E50AB"/>
    <w:rsid w:val="000E547B"/>
    <w:rsid w:val="000E5936"/>
    <w:rsid w:val="000E5984"/>
    <w:rsid w:val="000E6A92"/>
    <w:rsid w:val="000E6F65"/>
    <w:rsid w:val="000E72AA"/>
    <w:rsid w:val="000E78EA"/>
    <w:rsid w:val="000E7D2A"/>
    <w:rsid w:val="000F0BF7"/>
    <w:rsid w:val="000F19CB"/>
    <w:rsid w:val="000F20D6"/>
    <w:rsid w:val="000F2616"/>
    <w:rsid w:val="000F2E6C"/>
    <w:rsid w:val="000F3343"/>
    <w:rsid w:val="000F43C0"/>
    <w:rsid w:val="000F43D6"/>
    <w:rsid w:val="000F4AAE"/>
    <w:rsid w:val="000F4D14"/>
    <w:rsid w:val="000F5C5A"/>
    <w:rsid w:val="000F603D"/>
    <w:rsid w:val="000F68EE"/>
    <w:rsid w:val="000F6DBC"/>
    <w:rsid w:val="000F7608"/>
    <w:rsid w:val="001000DB"/>
    <w:rsid w:val="00100261"/>
    <w:rsid w:val="0010055C"/>
    <w:rsid w:val="001005F5"/>
    <w:rsid w:val="00100EDF"/>
    <w:rsid w:val="00100F0D"/>
    <w:rsid w:val="00101793"/>
    <w:rsid w:val="00101DA8"/>
    <w:rsid w:val="001025D0"/>
    <w:rsid w:val="00102D66"/>
    <w:rsid w:val="00103204"/>
    <w:rsid w:val="001033F7"/>
    <w:rsid w:val="00103D37"/>
    <w:rsid w:val="00104F0B"/>
    <w:rsid w:val="00105238"/>
    <w:rsid w:val="001054AF"/>
    <w:rsid w:val="0010587B"/>
    <w:rsid w:val="00105F99"/>
    <w:rsid w:val="001065FA"/>
    <w:rsid w:val="00106675"/>
    <w:rsid w:val="00106910"/>
    <w:rsid w:val="00106C64"/>
    <w:rsid w:val="0010704A"/>
    <w:rsid w:val="001075D5"/>
    <w:rsid w:val="00107FB0"/>
    <w:rsid w:val="0011018F"/>
    <w:rsid w:val="00110AE0"/>
    <w:rsid w:val="00112043"/>
    <w:rsid w:val="001122FF"/>
    <w:rsid w:val="00112464"/>
    <w:rsid w:val="001127DA"/>
    <w:rsid w:val="0011290B"/>
    <w:rsid w:val="00112E8E"/>
    <w:rsid w:val="001131FD"/>
    <w:rsid w:val="00113820"/>
    <w:rsid w:val="0011393A"/>
    <w:rsid w:val="00114118"/>
    <w:rsid w:val="00114256"/>
    <w:rsid w:val="00114822"/>
    <w:rsid w:val="00115E75"/>
    <w:rsid w:val="0011781C"/>
    <w:rsid w:val="00117876"/>
    <w:rsid w:val="00120DD1"/>
    <w:rsid w:val="001211F2"/>
    <w:rsid w:val="00121442"/>
    <w:rsid w:val="0012281F"/>
    <w:rsid w:val="001232CD"/>
    <w:rsid w:val="00123500"/>
    <w:rsid w:val="001240EA"/>
    <w:rsid w:val="001257B7"/>
    <w:rsid w:val="00126A85"/>
    <w:rsid w:val="001271AD"/>
    <w:rsid w:val="001273A3"/>
    <w:rsid w:val="00127773"/>
    <w:rsid w:val="00127834"/>
    <w:rsid w:val="00131505"/>
    <w:rsid w:val="00131660"/>
    <w:rsid w:val="00131A79"/>
    <w:rsid w:val="00131ABF"/>
    <w:rsid w:val="00131D51"/>
    <w:rsid w:val="0013250E"/>
    <w:rsid w:val="001329FC"/>
    <w:rsid w:val="00132B9E"/>
    <w:rsid w:val="00132DBF"/>
    <w:rsid w:val="001330B7"/>
    <w:rsid w:val="00133B42"/>
    <w:rsid w:val="00133BCB"/>
    <w:rsid w:val="00133CA5"/>
    <w:rsid w:val="001340CB"/>
    <w:rsid w:val="00135B88"/>
    <w:rsid w:val="00135E56"/>
    <w:rsid w:val="00136767"/>
    <w:rsid w:val="0013698E"/>
    <w:rsid w:val="00136DEF"/>
    <w:rsid w:val="00137557"/>
    <w:rsid w:val="00137877"/>
    <w:rsid w:val="00137C4E"/>
    <w:rsid w:val="00140238"/>
    <w:rsid w:val="00140ADD"/>
    <w:rsid w:val="00140C60"/>
    <w:rsid w:val="00141693"/>
    <w:rsid w:val="0014211B"/>
    <w:rsid w:val="0014263C"/>
    <w:rsid w:val="00142B88"/>
    <w:rsid w:val="00142BEC"/>
    <w:rsid w:val="001432A5"/>
    <w:rsid w:val="001433F8"/>
    <w:rsid w:val="0014345E"/>
    <w:rsid w:val="001434F5"/>
    <w:rsid w:val="00145230"/>
    <w:rsid w:val="0014556F"/>
    <w:rsid w:val="001458CF"/>
    <w:rsid w:val="00145EC8"/>
    <w:rsid w:val="00145F0B"/>
    <w:rsid w:val="00146505"/>
    <w:rsid w:val="00146F17"/>
    <w:rsid w:val="00147141"/>
    <w:rsid w:val="00147B9C"/>
    <w:rsid w:val="00150104"/>
    <w:rsid w:val="001501CB"/>
    <w:rsid w:val="00150CF2"/>
    <w:rsid w:val="0015121F"/>
    <w:rsid w:val="001518D4"/>
    <w:rsid w:val="001522BB"/>
    <w:rsid w:val="00152806"/>
    <w:rsid w:val="0015287E"/>
    <w:rsid w:val="00154EE6"/>
    <w:rsid w:val="00155EC6"/>
    <w:rsid w:val="00155FF8"/>
    <w:rsid w:val="001564E7"/>
    <w:rsid w:val="001566B9"/>
    <w:rsid w:val="001567E0"/>
    <w:rsid w:val="0015733E"/>
    <w:rsid w:val="001574B4"/>
    <w:rsid w:val="00161173"/>
    <w:rsid w:val="001623A1"/>
    <w:rsid w:val="001623BB"/>
    <w:rsid w:val="001625F8"/>
    <w:rsid w:val="0016310A"/>
    <w:rsid w:val="00163463"/>
    <w:rsid w:val="00163C45"/>
    <w:rsid w:val="00164AEC"/>
    <w:rsid w:val="0016532E"/>
    <w:rsid w:val="00165EB5"/>
    <w:rsid w:val="00166D84"/>
    <w:rsid w:val="00167042"/>
    <w:rsid w:val="0017018A"/>
    <w:rsid w:val="00170362"/>
    <w:rsid w:val="001705AB"/>
    <w:rsid w:val="00170726"/>
    <w:rsid w:val="00170E52"/>
    <w:rsid w:val="00170E9C"/>
    <w:rsid w:val="00171D70"/>
    <w:rsid w:val="00172A27"/>
    <w:rsid w:val="00173B42"/>
    <w:rsid w:val="00173D51"/>
    <w:rsid w:val="00174545"/>
    <w:rsid w:val="0017534E"/>
    <w:rsid w:val="00175E6B"/>
    <w:rsid w:val="00176B86"/>
    <w:rsid w:val="00176BA3"/>
    <w:rsid w:val="00180B6D"/>
    <w:rsid w:val="00180C0F"/>
    <w:rsid w:val="001820E0"/>
    <w:rsid w:val="00182EF9"/>
    <w:rsid w:val="0018350A"/>
    <w:rsid w:val="00183C9A"/>
    <w:rsid w:val="001844AF"/>
    <w:rsid w:val="001852FD"/>
    <w:rsid w:val="00185C7C"/>
    <w:rsid w:val="00185C8A"/>
    <w:rsid w:val="00186620"/>
    <w:rsid w:val="001871E4"/>
    <w:rsid w:val="00187597"/>
    <w:rsid w:val="00187F9F"/>
    <w:rsid w:val="00190B0F"/>
    <w:rsid w:val="001910D7"/>
    <w:rsid w:val="001913C5"/>
    <w:rsid w:val="001915C7"/>
    <w:rsid w:val="00191C3A"/>
    <w:rsid w:val="00192C1C"/>
    <w:rsid w:val="00193662"/>
    <w:rsid w:val="00194279"/>
    <w:rsid w:val="0019523A"/>
    <w:rsid w:val="00195295"/>
    <w:rsid w:val="001955A7"/>
    <w:rsid w:val="00197176"/>
    <w:rsid w:val="001977D3"/>
    <w:rsid w:val="001A0661"/>
    <w:rsid w:val="001A0E83"/>
    <w:rsid w:val="001A10D7"/>
    <w:rsid w:val="001A135E"/>
    <w:rsid w:val="001A1B6F"/>
    <w:rsid w:val="001A280C"/>
    <w:rsid w:val="001A2CA9"/>
    <w:rsid w:val="001A352A"/>
    <w:rsid w:val="001A41FC"/>
    <w:rsid w:val="001A47B3"/>
    <w:rsid w:val="001A483B"/>
    <w:rsid w:val="001A4A98"/>
    <w:rsid w:val="001A4FEF"/>
    <w:rsid w:val="001A5D80"/>
    <w:rsid w:val="001A61F5"/>
    <w:rsid w:val="001A6C33"/>
    <w:rsid w:val="001A6C74"/>
    <w:rsid w:val="001A72D9"/>
    <w:rsid w:val="001A74DB"/>
    <w:rsid w:val="001B05F1"/>
    <w:rsid w:val="001B1F8E"/>
    <w:rsid w:val="001B3161"/>
    <w:rsid w:val="001B32B9"/>
    <w:rsid w:val="001B3B43"/>
    <w:rsid w:val="001B3C8E"/>
    <w:rsid w:val="001B47ED"/>
    <w:rsid w:val="001B54ED"/>
    <w:rsid w:val="001B5DE0"/>
    <w:rsid w:val="001B5DFF"/>
    <w:rsid w:val="001B5ECB"/>
    <w:rsid w:val="001B7BA5"/>
    <w:rsid w:val="001C039F"/>
    <w:rsid w:val="001C076D"/>
    <w:rsid w:val="001C0DC6"/>
    <w:rsid w:val="001C1AAA"/>
    <w:rsid w:val="001C221C"/>
    <w:rsid w:val="001C312E"/>
    <w:rsid w:val="001C3133"/>
    <w:rsid w:val="001C3479"/>
    <w:rsid w:val="001C3E80"/>
    <w:rsid w:val="001C4362"/>
    <w:rsid w:val="001C480F"/>
    <w:rsid w:val="001C5496"/>
    <w:rsid w:val="001C605A"/>
    <w:rsid w:val="001D0113"/>
    <w:rsid w:val="001D124E"/>
    <w:rsid w:val="001D18D0"/>
    <w:rsid w:val="001D2061"/>
    <w:rsid w:val="001D2923"/>
    <w:rsid w:val="001D2AE3"/>
    <w:rsid w:val="001D3242"/>
    <w:rsid w:val="001D3876"/>
    <w:rsid w:val="001D5741"/>
    <w:rsid w:val="001D5CF3"/>
    <w:rsid w:val="001D5E4D"/>
    <w:rsid w:val="001D6CB1"/>
    <w:rsid w:val="001E0B7E"/>
    <w:rsid w:val="001E155A"/>
    <w:rsid w:val="001E1903"/>
    <w:rsid w:val="001E2957"/>
    <w:rsid w:val="001E2989"/>
    <w:rsid w:val="001E3DD6"/>
    <w:rsid w:val="001E4194"/>
    <w:rsid w:val="001E5A56"/>
    <w:rsid w:val="001E7B32"/>
    <w:rsid w:val="001F0DF7"/>
    <w:rsid w:val="001F1AC1"/>
    <w:rsid w:val="001F1FDB"/>
    <w:rsid w:val="001F24D4"/>
    <w:rsid w:val="001F2517"/>
    <w:rsid w:val="001F2C26"/>
    <w:rsid w:val="001F2D08"/>
    <w:rsid w:val="001F3E7B"/>
    <w:rsid w:val="001F4075"/>
    <w:rsid w:val="001F4B60"/>
    <w:rsid w:val="001F4D95"/>
    <w:rsid w:val="001F5CF0"/>
    <w:rsid w:val="001F61BD"/>
    <w:rsid w:val="001F680E"/>
    <w:rsid w:val="001F68A2"/>
    <w:rsid w:val="001F7036"/>
    <w:rsid w:val="001F70F7"/>
    <w:rsid w:val="001F786E"/>
    <w:rsid w:val="001F7A39"/>
    <w:rsid w:val="001F7A98"/>
    <w:rsid w:val="001F7C4E"/>
    <w:rsid w:val="001F7FD9"/>
    <w:rsid w:val="0020151B"/>
    <w:rsid w:val="00201BC0"/>
    <w:rsid w:val="00202047"/>
    <w:rsid w:val="002024F9"/>
    <w:rsid w:val="002030D5"/>
    <w:rsid w:val="00203343"/>
    <w:rsid w:val="00203A23"/>
    <w:rsid w:val="00203E6A"/>
    <w:rsid w:val="0020401C"/>
    <w:rsid w:val="002043B9"/>
    <w:rsid w:val="00204981"/>
    <w:rsid w:val="002052D8"/>
    <w:rsid w:val="002055C2"/>
    <w:rsid w:val="00206A97"/>
    <w:rsid w:val="00206C6F"/>
    <w:rsid w:val="00206D52"/>
    <w:rsid w:val="00206DBA"/>
    <w:rsid w:val="00207384"/>
    <w:rsid w:val="00207B70"/>
    <w:rsid w:val="00207DFC"/>
    <w:rsid w:val="00210090"/>
    <w:rsid w:val="00210293"/>
    <w:rsid w:val="0021068E"/>
    <w:rsid w:val="00210A1F"/>
    <w:rsid w:val="00211731"/>
    <w:rsid w:val="00211DF1"/>
    <w:rsid w:val="00212384"/>
    <w:rsid w:val="00213822"/>
    <w:rsid w:val="00214C3E"/>
    <w:rsid w:val="00214EDD"/>
    <w:rsid w:val="00215184"/>
    <w:rsid w:val="00215BC4"/>
    <w:rsid w:val="00215D65"/>
    <w:rsid w:val="00216299"/>
    <w:rsid w:val="002162EF"/>
    <w:rsid w:val="00217735"/>
    <w:rsid w:val="0022004F"/>
    <w:rsid w:val="002200D2"/>
    <w:rsid w:val="00220157"/>
    <w:rsid w:val="00220D6B"/>
    <w:rsid w:val="00220F63"/>
    <w:rsid w:val="00221247"/>
    <w:rsid w:val="0022166C"/>
    <w:rsid w:val="00221C7B"/>
    <w:rsid w:val="00222176"/>
    <w:rsid w:val="002227D2"/>
    <w:rsid w:val="00222AF7"/>
    <w:rsid w:val="00222C60"/>
    <w:rsid w:val="002230C0"/>
    <w:rsid w:val="002233D1"/>
    <w:rsid w:val="00223AC8"/>
    <w:rsid w:val="002246E7"/>
    <w:rsid w:val="0022486D"/>
    <w:rsid w:val="002255C6"/>
    <w:rsid w:val="00225933"/>
    <w:rsid w:val="00225C4E"/>
    <w:rsid w:val="002260F2"/>
    <w:rsid w:val="00226D24"/>
    <w:rsid w:val="00227353"/>
    <w:rsid w:val="00227D05"/>
    <w:rsid w:val="002305B5"/>
    <w:rsid w:val="00230A08"/>
    <w:rsid w:val="00230A8D"/>
    <w:rsid w:val="00230A98"/>
    <w:rsid w:val="00232803"/>
    <w:rsid w:val="00232FA9"/>
    <w:rsid w:val="00234541"/>
    <w:rsid w:val="0023483B"/>
    <w:rsid w:val="00234A7E"/>
    <w:rsid w:val="00234FF0"/>
    <w:rsid w:val="002357AF"/>
    <w:rsid w:val="00236CFD"/>
    <w:rsid w:val="00236FDC"/>
    <w:rsid w:val="002373C2"/>
    <w:rsid w:val="00237450"/>
    <w:rsid w:val="002377F0"/>
    <w:rsid w:val="002407A0"/>
    <w:rsid w:val="00241686"/>
    <w:rsid w:val="00241867"/>
    <w:rsid w:val="002418B8"/>
    <w:rsid w:val="00242BAB"/>
    <w:rsid w:val="002430AE"/>
    <w:rsid w:val="00243ECC"/>
    <w:rsid w:val="002441C8"/>
    <w:rsid w:val="0024469F"/>
    <w:rsid w:val="00245ED3"/>
    <w:rsid w:val="00246E33"/>
    <w:rsid w:val="00246F3C"/>
    <w:rsid w:val="00250B28"/>
    <w:rsid w:val="00251037"/>
    <w:rsid w:val="00251173"/>
    <w:rsid w:val="002514B8"/>
    <w:rsid w:val="00251897"/>
    <w:rsid w:val="00252694"/>
    <w:rsid w:val="002528B3"/>
    <w:rsid w:val="002530AD"/>
    <w:rsid w:val="002546F4"/>
    <w:rsid w:val="0025487C"/>
    <w:rsid w:val="00254A84"/>
    <w:rsid w:val="002551A9"/>
    <w:rsid w:val="00255474"/>
    <w:rsid w:val="0025552F"/>
    <w:rsid w:val="0025579F"/>
    <w:rsid w:val="00256014"/>
    <w:rsid w:val="00256584"/>
    <w:rsid w:val="002576C4"/>
    <w:rsid w:val="00257942"/>
    <w:rsid w:val="00257EDF"/>
    <w:rsid w:val="00260B28"/>
    <w:rsid w:val="00260CA3"/>
    <w:rsid w:val="00260FDC"/>
    <w:rsid w:val="00261764"/>
    <w:rsid w:val="002621A9"/>
    <w:rsid w:val="0026289F"/>
    <w:rsid w:val="002629F2"/>
    <w:rsid w:val="00264C9F"/>
    <w:rsid w:val="00265507"/>
    <w:rsid w:val="00265CD6"/>
    <w:rsid w:val="00265D45"/>
    <w:rsid w:val="0026659C"/>
    <w:rsid w:val="002700B3"/>
    <w:rsid w:val="00270170"/>
    <w:rsid w:val="0027032A"/>
    <w:rsid w:val="00270880"/>
    <w:rsid w:val="0027219A"/>
    <w:rsid w:val="002727DC"/>
    <w:rsid w:val="002739D8"/>
    <w:rsid w:val="00273EFF"/>
    <w:rsid w:val="0027453D"/>
    <w:rsid w:val="002749CF"/>
    <w:rsid w:val="00274D03"/>
    <w:rsid w:val="00274D50"/>
    <w:rsid w:val="00276369"/>
    <w:rsid w:val="00277B2E"/>
    <w:rsid w:val="00280B5D"/>
    <w:rsid w:val="00281369"/>
    <w:rsid w:val="00281ABB"/>
    <w:rsid w:val="00281D2A"/>
    <w:rsid w:val="00281DC1"/>
    <w:rsid w:val="00282265"/>
    <w:rsid w:val="0028229B"/>
    <w:rsid w:val="00282306"/>
    <w:rsid w:val="002823B6"/>
    <w:rsid w:val="002829C9"/>
    <w:rsid w:val="002832BC"/>
    <w:rsid w:val="0028395F"/>
    <w:rsid w:val="00283BB6"/>
    <w:rsid w:val="00284193"/>
    <w:rsid w:val="002842F1"/>
    <w:rsid w:val="00284BD3"/>
    <w:rsid w:val="002852FD"/>
    <w:rsid w:val="00285586"/>
    <w:rsid w:val="0028589C"/>
    <w:rsid w:val="00285F13"/>
    <w:rsid w:val="00286042"/>
    <w:rsid w:val="00286205"/>
    <w:rsid w:val="00287BC7"/>
    <w:rsid w:val="00287BE9"/>
    <w:rsid w:val="00287C66"/>
    <w:rsid w:val="00287D4D"/>
    <w:rsid w:val="00290224"/>
    <w:rsid w:val="0029035B"/>
    <w:rsid w:val="00291251"/>
    <w:rsid w:val="00291BAF"/>
    <w:rsid w:val="00292FE9"/>
    <w:rsid w:val="002942DE"/>
    <w:rsid w:val="00294343"/>
    <w:rsid w:val="002947E6"/>
    <w:rsid w:val="00294CB0"/>
    <w:rsid w:val="00294F97"/>
    <w:rsid w:val="002954A5"/>
    <w:rsid w:val="002967AF"/>
    <w:rsid w:val="00296EB0"/>
    <w:rsid w:val="00297BDF"/>
    <w:rsid w:val="00297D23"/>
    <w:rsid w:val="002A018F"/>
    <w:rsid w:val="002A12E9"/>
    <w:rsid w:val="002A266C"/>
    <w:rsid w:val="002A442A"/>
    <w:rsid w:val="002A4FB3"/>
    <w:rsid w:val="002A591B"/>
    <w:rsid w:val="002A596B"/>
    <w:rsid w:val="002A6644"/>
    <w:rsid w:val="002A6AC5"/>
    <w:rsid w:val="002A6D86"/>
    <w:rsid w:val="002A78DB"/>
    <w:rsid w:val="002B1121"/>
    <w:rsid w:val="002B20C9"/>
    <w:rsid w:val="002B23C0"/>
    <w:rsid w:val="002B2683"/>
    <w:rsid w:val="002B315D"/>
    <w:rsid w:val="002B35A9"/>
    <w:rsid w:val="002B3D31"/>
    <w:rsid w:val="002B3EF1"/>
    <w:rsid w:val="002B42F0"/>
    <w:rsid w:val="002B4444"/>
    <w:rsid w:val="002B4D23"/>
    <w:rsid w:val="002B51D1"/>
    <w:rsid w:val="002B51F9"/>
    <w:rsid w:val="002B571C"/>
    <w:rsid w:val="002B585A"/>
    <w:rsid w:val="002B58CB"/>
    <w:rsid w:val="002B6157"/>
    <w:rsid w:val="002B68D5"/>
    <w:rsid w:val="002B6905"/>
    <w:rsid w:val="002B7173"/>
    <w:rsid w:val="002B718B"/>
    <w:rsid w:val="002C046B"/>
    <w:rsid w:val="002C0CAA"/>
    <w:rsid w:val="002C0F38"/>
    <w:rsid w:val="002C2273"/>
    <w:rsid w:val="002C2447"/>
    <w:rsid w:val="002C2897"/>
    <w:rsid w:val="002C2C93"/>
    <w:rsid w:val="002C2F18"/>
    <w:rsid w:val="002C3164"/>
    <w:rsid w:val="002C4469"/>
    <w:rsid w:val="002C465C"/>
    <w:rsid w:val="002C4753"/>
    <w:rsid w:val="002C4ECD"/>
    <w:rsid w:val="002C5B78"/>
    <w:rsid w:val="002C5F9B"/>
    <w:rsid w:val="002C6263"/>
    <w:rsid w:val="002C77F1"/>
    <w:rsid w:val="002D0198"/>
    <w:rsid w:val="002D0993"/>
    <w:rsid w:val="002D09EB"/>
    <w:rsid w:val="002D0C3F"/>
    <w:rsid w:val="002D285C"/>
    <w:rsid w:val="002D2B37"/>
    <w:rsid w:val="002D4E12"/>
    <w:rsid w:val="002D62FD"/>
    <w:rsid w:val="002D641F"/>
    <w:rsid w:val="002D6811"/>
    <w:rsid w:val="002D6AF3"/>
    <w:rsid w:val="002E071C"/>
    <w:rsid w:val="002E0D9A"/>
    <w:rsid w:val="002E1680"/>
    <w:rsid w:val="002E1AEC"/>
    <w:rsid w:val="002E1CD5"/>
    <w:rsid w:val="002E2FD4"/>
    <w:rsid w:val="002E32FB"/>
    <w:rsid w:val="002E428A"/>
    <w:rsid w:val="002E4971"/>
    <w:rsid w:val="002E4CE5"/>
    <w:rsid w:val="002E4FF9"/>
    <w:rsid w:val="002E5270"/>
    <w:rsid w:val="002E5CFC"/>
    <w:rsid w:val="002E6AF4"/>
    <w:rsid w:val="002E6FFF"/>
    <w:rsid w:val="002E72A9"/>
    <w:rsid w:val="002E7358"/>
    <w:rsid w:val="002E760B"/>
    <w:rsid w:val="002E76DB"/>
    <w:rsid w:val="002F0295"/>
    <w:rsid w:val="002F1178"/>
    <w:rsid w:val="002F14AD"/>
    <w:rsid w:val="002F14FD"/>
    <w:rsid w:val="002F1B88"/>
    <w:rsid w:val="002F288A"/>
    <w:rsid w:val="002F32CF"/>
    <w:rsid w:val="002F367E"/>
    <w:rsid w:val="002F36B5"/>
    <w:rsid w:val="002F41E0"/>
    <w:rsid w:val="002F4757"/>
    <w:rsid w:val="002F4A44"/>
    <w:rsid w:val="002F5160"/>
    <w:rsid w:val="002F583E"/>
    <w:rsid w:val="002F59B3"/>
    <w:rsid w:val="002F60CC"/>
    <w:rsid w:val="002F6F04"/>
    <w:rsid w:val="00300336"/>
    <w:rsid w:val="003003AF"/>
    <w:rsid w:val="00300BAE"/>
    <w:rsid w:val="003014C8"/>
    <w:rsid w:val="003015E1"/>
    <w:rsid w:val="00301F18"/>
    <w:rsid w:val="0030215D"/>
    <w:rsid w:val="003024E6"/>
    <w:rsid w:val="00302BF4"/>
    <w:rsid w:val="00303266"/>
    <w:rsid w:val="003035D8"/>
    <w:rsid w:val="00303F77"/>
    <w:rsid w:val="0030421A"/>
    <w:rsid w:val="00304914"/>
    <w:rsid w:val="00304B65"/>
    <w:rsid w:val="00305F94"/>
    <w:rsid w:val="003061AB"/>
    <w:rsid w:val="00306202"/>
    <w:rsid w:val="00306CD4"/>
    <w:rsid w:val="003070C1"/>
    <w:rsid w:val="003101EE"/>
    <w:rsid w:val="0031047B"/>
    <w:rsid w:val="0031064B"/>
    <w:rsid w:val="00310CC5"/>
    <w:rsid w:val="00310F85"/>
    <w:rsid w:val="0031246E"/>
    <w:rsid w:val="00312DA7"/>
    <w:rsid w:val="00312F64"/>
    <w:rsid w:val="00313167"/>
    <w:rsid w:val="00313520"/>
    <w:rsid w:val="003142D1"/>
    <w:rsid w:val="0031469A"/>
    <w:rsid w:val="003155C4"/>
    <w:rsid w:val="00315C5C"/>
    <w:rsid w:val="0031658A"/>
    <w:rsid w:val="00316734"/>
    <w:rsid w:val="00316AC1"/>
    <w:rsid w:val="00317005"/>
    <w:rsid w:val="00317145"/>
    <w:rsid w:val="003173A1"/>
    <w:rsid w:val="00317931"/>
    <w:rsid w:val="00320926"/>
    <w:rsid w:val="00320FE6"/>
    <w:rsid w:val="003227CD"/>
    <w:rsid w:val="00322AC9"/>
    <w:rsid w:val="00323102"/>
    <w:rsid w:val="00323F30"/>
    <w:rsid w:val="00324EA3"/>
    <w:rsid w:val="00326770"/>
    <w:rsid w:val="00326B38"/>
    <w:rsid w:val="00327204"/>
    <w:rsid w:val="003276B7"/>
    <w:rsid w:val="003302FC"/>
    <w:rsid w:val="00330838"/>
    <w:rsid w:val="00331E65"/>
    <w:rsid w:val="00332088"/>
    <w:rsid w:val="003321DF"/>
    <w:rsid w:val="00332215"/>
    <w:rsid w:val="00332F9E"/>
    <w:rsid w:val="00332FE0"/>
    <w:rsid w:val="0033439F"/>
    <w:rsid w:val="00334818"/>
    <w:rsid w:val="00334B62"/>
    <w:rsid w:val="00334BAB"/>
    <w:rsid w:val="00335FCC"/>
    <w:rsid w:val="003373FC"/>
    <w:rsid w:val="003376E8"/>
    <w:rsid w:val="00337862"/>
    <w:rsid w:val="00337C24"/>
    <w:rsid w:val="00340E1A"/>
    <w:rsid w:val="00341686"/>
    <w:rsid w:val="0034197E"/>
    <w:rsid w:val="00341D0E"/>
    <w:rsid w:val="00342AB1"/>
    <w:rsid w:val="00342D40"/>
    <w:rsid w:val="003431E8"/>
    <w:rsid w:val="00343308"/>
    <w:rsid w:val="0034350B"/>
    <w:rsid w:val="0034359A"/>
    <w:rsid w:val="003435E5"/>
    <w:rsid w:val="00344108"/>
    <w:rsid w:val="0034466A"/>
    <w:rsid w:val="00345634"/>
    <w:rsid w:val="00345BA9"/>
    <w:rsid w:val="00345E91"/>
    <w:rsid w:val="003460F2"/>
    <w:rsid w:val="0034623F"/>
    <w:rsid w:val="003463A9"/>
    <w:rsid w:val="00346B34"/>
    <w:rsid w:val="00346B58"/>
    <w:rsid w:val="00346DDD"/>
    <w:rsid w:val="00346FA3"/>
    <w:rsid w:val="003473AE"/>
    <w:rsid w:val="0034771C"/>
    <w:rsid w:val="00347F7C"/>
    <w:rsid w:val="00350FA6"/>
    <w:rsid w:val="0035130C"/>
    <w:rsid w:val="0035281C"/>
    <w:rsid w:val="00352938"/>
    <w:rsid w:val="00352FF8"/>
    <w:rsid w:val="00353151"/>
    <w:rsid w:val="003532E4"/>
    <w:rsid w:val="00353588"/>
    <w:rsid w:val="003535C8"/>
    <w:rsid w:val="003535D1"/>
    <w:rsid w:val="003538B7"/>
    <w:rsid w:val="003542C4"/>
    <w:rsid w:val="003542DC"/>
    <w:rsid w:val="00354ABB"/>
    <w:rsid w:val="00354E21"/>
    <w:rsid w:val="00355152"/>
    <w:rsid w:val="00355746"/>
    <w:rsid w:val="003557A8"/>
    <w:rsid w:val="00356834"/>
    <w:rsid w:val="0035794D"/>
    <w:rsid w:val="00357FE7"/>
    <w:rsid w:val="0036071E"/>
    <w:rsid w:val="00360B57"/>
    <w:rsid w:val="00360BDE"/>
    <w:rsid w:val="00360C23"/>
    <w:rsid w:val="00360C8C"/>
    <w:rsid w:val="003614EB"/>
    <w:rsid w:val="00362A4B"/>
    <w:rsid w:val="00362B13"/>
    <w:rsid w:val="003630DA"/>
    <w:rsid w:val="003637CA"/>
    <w:rsid w:val="00364749"/>
    <w:rsid w:val="00365F8E"/>
    <w:rsid w:val="0036616B"/>
    <w:rsid w:val="003666DD"/>
    <w:rsid w:val="00366D67"/>
    <w:rsid w:val="003679E4"/>
    <w:rsid w:val="00370209"/>
    <w:rsid w:val="0037026A"/>
    <w:rsid w:val="0037035A"/>
    <w:rsid w:val="0037099F"/>
    <w:rsid w:val="00370C1B"/>
    <w:rsid w:val="003717A0"/>
    <w:rsid w:val="003718DC"/>
    <w:rsid w:val="00372648"/>
    <w:rsid w:val="00372871"/>
    <w:rsid w:val="00372BF3"/>
    <w:rsid w:val="00372FB1"/>
    <w:rsid w:val="00373613"/>
    <w:rsid w:val="00373744"/>
    <w:rsid w:val="0037383A"/>
    <w:rsid w:val="00373895"/>
    <w:rsid w:val="003739CE"/>
    <w:rsid w:val="003757CD"/>
    <w:rsid w:val="00375A96"/>
    <w:rsid w:val="00376121"/>
    <w:rsid w:val="003766D0"/>
    <w:rsid w:val="003767F6"/>
    <w:rsid w:val="00380B30"/>
    <w:rsid w:val="00380C94"/>
    <w:rsid w:val="00381113"/>
    <w:rsid w:val="0038135A"/>
    <w:rsid w:val="00381701"/>
    <w:rsid w:val="003817D7"/>
    <w:rsid w:val="003827DE"/>
    <w:rsid w:val="00382C59"/>
    <w:rsid w:val="00382E9C"/>
    <w:rsid w:val="0038345F"/>
    <w:rsid w:val="00383DF5"/>
    <w:rsid w:val="00384FA8"/>
    <w:rsid w:val="0038556C"/>
    <w:rsid w:val="00386250"/>
    <w:rsid w:val="00386B74"/>
    <w:rsid w:val="00386C6E"/>
    <w:rsid w:val="00387E7A"/>
    <w:rsid w:val="003908C1"/>
    <w:rsid w:val="00390E9A"/>
    <w:rsid w:val="003913FC"/>
    <w:rsid w:val="0039194F"/>
    <w:rsid w:val="00391DBE"/>
    <w:rsid w:val="00392126"/>
    <w:rsid w:val="003931A1"/>
    <w:rsid w:val="00394451"/>
    <w:rsid w:val="0039445E"/>
    <w:rsid w:val="00394773"/>
    <w:rsid w:val="00394F10"/>
    <w:rsid w:val="00395C01"/>
    <w:rsid w:val="00397603"/>
    <w:rsid w:val="003A09E6"/>
    <w:rsid w:val="003A157E"/>
    <w:rsid w:val="003A1B1C"/>
    <w:rsid w:val="003A1DE3"/>
    <w:rsid w:val="003A2093"/>
    <w:rsid w:val="003A2B11"/>
    <w:rsid w:val="003A2D59"/>
    <w:rsid w:val="003A3491"/>
    <w:rsid w:val="003A3896"/>
    <w:rsid w:val="003A5584"/>
    <w:rsid w:val="003A5616"/>
    <w:rsid w:val="003A66D3"/>
    <w:rsid w:val="003A6F20"/>
    <w:rsid w:val="003A7100"/>
    <w:rsid w:val="003A783B"/>
    <w:rsid w:val="003A7D0B"/>
    <w:rsid w:val="003B03E9"/>
    <w:rsid w:val="003B09D8"/>
    <w:rsid w:val="003B0E7F"/>
    <w:rsid w:val="003B11B5"/>
    <w:rsid w:val="003B13D9"/>
    <w:rsid w:val="003B1516"/>
    <w:rsid w:val="003B1FE8"/>
    <w:rsid w:val="003B2886"/>
    <w:rsid w:val="003B3690"/>
    <w:rsid w:val="003B3C9E"/>
    <w:rsid w:val="003B3D20"/>
    <w:rsid w:val="003B436E"/>
    <w:rsid w:val="003B450C"/>
    <w:rsid w:val="003B4E80"/>
    <w:rsid w:val="003B501E"/>
    <w:rsid w:val="003B55C0"/>
    <w:rsid w:val="003B5D7B"/>
    <w:rsid w:val="003B65AC"/>
    <w:rsid w:val="003B693A"/>
    <w:rsid w:val="003B6C4E"/>
    <w:rsid w:val="003C0997"/>
    <w:rsid w:val="003C0D8A"/>
    <w:rsid w:val="003C0FE4"/>
    <w:rsid w:val="003C1766"/>
    <w:rsid w:val="003C17B8"/>
    <w:rsid w:val="003C1B5E"/>
    <w:rsid w:val="003C2272"/>
    <w:rsid w:val="003C2359"/>
    <w:rsid w:val="003C2881"/>
    <w:rsid w:val="003C2B34"/>
    <w:rsid w:val="003C34C6"/>
    <w:rsid w:val="003C42FD"/>
    <w:rsid w:val="003C4B38"/>
    <w:rsid w:val="003C4B48"/>
    <w:rsid w:val="003C4B78"/>
    <w:rsid w:val="003C5BFD"/>
    <w:rsid w:val="003C634E"/>
    <w:rsid w:val="003C7262"/>
    <w:rsid w:val="003C75B7"/>
    <w:rsid w:val="003C79B4"/>
    <w:rsid w:val="003C7FCA"/>
    <w:rsid w:val="003D0A02"/>
    <w:rsid w:val="003D10EC"/>
    <w:rsid w:val="003D11DE"/>
    <w:rsid w:val="003D3687"/>
    <w:rsid w:val="003D3709"/>
    <w:rsid w:val="003D407B"/>
    <w:rsid w:val="003D50BA"/>
    <w:rsid w:val="003D5236"/>
    <w:rsid w:val="003D6473"/>
    <w:rsid w:val="003D6C2D"/>
    <w:rsid w:val="003D732C"/>
    <w:rsid w:val="003D77A0"/>
    <w:rsid w:val="003D7E08"/>
    <w:rsid w:val="003E00E3"/>
    <w:rsid w:val="003E1161"/>
    <w:rsid w:val="003E153E"/>
    <w:rsid w:val="003E160E"/>
    <w:rsid w:val="003E1F34"/>
    <w:rsid w:val="003E2201"/>
    <w:rsid w:val="003E2213"/>
    <w:rsid w:val="003E27D1"/>
    <w:rsid w:val="003E376D"/>
    <w:rsid w:val="003E41D1"/>
    <w:rsid w:val="003E42D5"/>
    <w:rsid w:val="003E4325"/>
    <w:rsid w:val="003E49A6"/>
    <w:rsid w:val="003E4EA9"/>
    <w:rsid w:val="003E5302"/>
    <w:rsid w:val="003E5833"/>
    <w:rsid w:val="003E627C"/>
    <w:rsid w:val="003E62E8"/>
    <w:rsid w:val="003E7483"/>
    <w:rsid w:val="003F073B"/>
    <w:rsid w:val="003F07C1"/>
    <w:rsid w:val="003F0FD3"/>
    <w:rsid w:val="003F11B3"/>
    <w:rsid w:val="003F1BF4"/>
    <w:rsid w:val="003F263B"/>
    <w:rsid w:val="003F2865"/>
    <w:rsid w:val="003F36DF"/>
    <w:rsid w:val="003F3DF2"/>
    <w:rsid w:val="003F45B7"/>
    <w:rsid w:val="003F53FF"/>
    <w:rsid w:val="003F5DD8"/>
    <w:rsid w:val="003F5E72"/>
    <w:rsid w:val="003F621B"/>
    <w:rsid w:val="003F67FB"/>
    <w:rsid w:val="003F6C3D"/>
    <w:rsid w:val="003F6DD4"/>
    <w:rsid w:val="003F6ED9"/>
    <w:rsid w:val="003F7BC6"/>
    <w:rsid w:val="004007DF"/>
    <w:rsid w:val="00400BEB"/>
    <w:rsid w:val="00400C16"/>
    <w:rsid w:val="00400DEA"/>
    <w:rsid w:val="00401758"/>
    <w:rsid w:val="00401A06"/>
    <w:rsid w:val="004023DA"/>
    <w:rsid w:val="004033D4"/>
    <w:rsid w:val="00403EC0"/>
    <w:rsid w:val="0040413F"/>
    <w:rsid w:val="00404397"/>
    <w:rsid w:val="00404975"/>
    <w:rsid w:val="00404CED"/>
    <w:rsid w:val="00404E41"/>
    <w:rsid w:val="004051CB"/>
    <w:rsid w:val="00405271"/>
    <w:rsid w:val="00406844"/>
    <w:rsid w:val="00407196"/>
    <w:rsid w:val="00407DE1"/>
    <w:rsid w:val="00410161"/>
    <w:rsid w:val="0041063F"/>
    <w:rsid w:val="00410A77"/>
    <w:rsid w:val="00410BDC"/>
    <w:rsid w:val="00411C84"/>
    <w:rsid w:val="00411E23"/>
    <w:rsid w:val="00411EE7"/>
    <w:rsid w:val="00411FEA"/>
    <w:rsid w:val="00414B76"/>
    <w:rsid w:val="00414B8C"/>
    <w:rsid w:val="00414DCA"/>
    <w:rsid w:val="00414DED"/>
    <w:rsid w:val="00415529"/>
    <w:rsid w:val="00415B12"/>
    <w:rsid w:val="00415B8D"/>
    <w:rsid w:val="00415DAB"/>
    <w:rsid w:val="00416092"/>
    <w:rsid w:val="004160F7"/>
    <w:rsid w:val="004173CC"/>
    <w:rsid w:val="004176CF"/>
    <w:rsid w:val="00420206"/>
    <w:rsid w:val="004209B2"/>
    <w:rsid w:val="00421155"/>
    <w:rsid w:val="00421504"/>
    <w:rsid w:val="0042157E"/>
    <w:rsid w:val="00421C90"/>
    <w:rsid w:val="004232D0"/>
    <w:rsid w:val="00423C40"/>
    <w:rsid w:val="0042443F"/>
    <w:rsid w:val="00424D7D"/>
    <w:rsid w:val="00425DD1"/>
    <w:rsid w:val="004277CC"/>
    <w:rsid w:val="00430719"/>
    <w:rsid w:val="00430C64"/>
    <w:rsid w:val="0043135F"/>
    <w:rsid w:val="00431560"/>
    <w:rsid w:val="0043260E"/>
    <w:rsid w:val="00432625"/>
    <w:rsid w:val="00433C37"/>
    <w:rsid w:val="004341A4"/>
    <w:rsid w:val="00434765"/>
    <w:rsid w:val="00434B78"/>
    <w:rsid w:val="004352B5"/>
    <w:rsid w:val="00435568"/>
    <w:rsid w:val="0043620C"/>
    <w:rsid w:val="00436AB4"/>
    <w:rsid w:val="004371CE"/>
    <w:rsid w:val="00437291"/>
    <w:rsid w:val="0043753C"/>
    <w:rsid w:val="0043759B"/>
    <w:rsid w:val="00440F10"/>
    <w:rsid w:val="00441365"/>
    <w:rsid w:val="00441910"/>
    <w:rsid w:val="0044217B"/>
    <w:rsid w:val="0044250F"/>
    <w:rsid w:val="00442E79"/>
    <w:rsid w:val="00442FA4"/>
    <w:rsid w:val="00443863"/>
    <w:rsid w:val="004445D9"/>
    <w:rsid w:val="00444B75"/>
    <w:rsid w:val="00444E55"/>
    <w:rsid w:val="00445830"/>
    <w:rsid w:val="00446ADF"/>
    <w:rsid w:val="00446B2B"/>
    <w:rsid w:val="00446ED8"/>
    <w:rsid w:val="00447D20"/>
    <w:rsid w:val="00450358"/>
    <w:rsid w:val="00451081"/>
    <w:rsid w:val="00451A6C"/>
    <w:rsid w:val="0045226E"/>
    <w:rsid w:val="004530DF"/>
    <w:rsid w:val="00453797"/>
    <w:rsid w:val="0045427B"/>
    <w:rsid w:val="0045431D"/>
    <w:rsid w:val="00454844"/>
    <w:rsid w:val="004557DD"/>
    <w:rsid w:val="00456B46"/>
    <w:rsid w:val="00457D27"/>
    <w:rsid w:val="0046027C"/>
    <w:rsid w:val="00460F54"/>
    <w:rsid w:val="0046127E"/>
    <w:rsid w:val="00461B9C"/>
    <w:rsid w:val="0046356C"/>
    <w:rsid w:val="004640E5"/>
    <w:rsid w:val="0046452D"/>
    <w:rsid w:val="00464F5F"/>
    <w:rsid w:val="00465AFE"/>
    <w:rsid w:val="00466E97"/>
    <w:rsid w:val="004704F9"/>
    <w:rsid w:val="004705A2"/>
    <w:rsid w:val="00470C34"/>
    <w:rsid w:val="00470F16"/>
    <w:rsid w:val="00471434"/>
    <w:rsid w:val="0047174A"/>
    <w:rsid w:val="00472035"/>
    <w:rsid w:val="004721E7"/>
    <w:rsid w:val="004723F6"/>
    <w:rsid w:val="00473971"/>
    <w:rsid w:val="004745E0"/>
    <w:rsid w:val="00474AAC"/>
    <w:rsid w:val="00474F28"/>
    <w:rsid w:val="00475650"/>
    <w:rsid w:val="00475E1F"/>
    <w:rsid w:val="00476541"/>
    <w:rsid w:val="004765CB"/>
    <w:rsid w:val="004765D6"/>
    <w:rsid w:val="00476825"/>
    <w:rsid w:val="004768A4"/>
    <w:rsid w:val="0047696B"/>
    <w:rsid w:val="00477162"/>
    <w:rsid w:val="00477C35"/>
    <w:rsid w:val="004804E3"/>
    <w:rsid w:val="00480B02"/>
    <w:rsid w:val="004812D1"/>
    <w:rsid w:val="004837C5"/>
    <w:rsid w:val="00483E82"/>
    <w:rsid w:val="00483F13"/>
    <w:rsid w:val="00483F29"/>
    <w:rsid w:val="00485592"/>
    <w:rsid w:val="00485BB9"/>
    <w:rsid w:val="00485DE2"/>
    <w:rsid w:val="00487D29"/>
    <w:rsid w:val="00490514"/>
    <w:rsid w:val="00491265"/>
    <w:rsid w:val="004912E7"/>
    <w:rsid w:val="0049134F"/>
    <w:rsid w:val="0049155D"/>
    <w:rsid w:val="00491BD3"/>
    <w:rsid w:val="004925A3"/>
    <w:rsid w:val="00492F18"/>
    <w:rsid w:val="00494245"/>
    <w:rsid w:val="00495C8A"/>
    <w:rsid w:val="00496054"/>
    <w:rsid w:val="004964DE"/>
    <w:rsid w:val="00496563"/>
    <w:rsid w:val="00496756"/>
    <w:rsid w:val="00496F6E"/>
    <w:rsid w:val="004970E3"/>
    <w:rsid w:val="004975A6"/>
    <w:rsid w:val="004976A5"/>
    <w:rsid w:val="004A0076"/>
    <w:rsid w:val="004A0C98"/>
    <w:rsid w:val="004A0D35"/>
    <w:rsid w:val="004A0F1C"/>
    <w:rsid w:val="004A2A73"/>
    <w:rsid w:val="004A30E1"/>
    <w:rsid w:val="004A32D4"/>
    <w:rsid w:val="004A443C"/>
    <w:rsid w:val="004A4657"/>
    <w:rsid w:val="004A5A3E"/>
    <w:rsid w:val="004A6540"/>
    <w:rsid w:val="004A6D97"/>
    <w:rsid w:val="004A7B08"/>
    <w:rsid w:val="004B0026"/>
    <w:rsid w:val="004B04FD"/>
    <w:rsid w:val="004B07D6"/>
    <w:rsid w:val="004B086C"/>
    <w:rsid w:val="004B0E44"/>
    <w:rsid w:val="004B1228"/>
    <w:rsid w:val="004B15DE"/>
    <w:rsid w:val="004B1B9C"/>
    <w:rsid w:val="004B1FB6"/>
    <w:rsid w:val="004B3315"/>
    <w:rsid w:val="004B3317"/>
    <w:rsid w:val="004B3C32"/>
    <w:rsid w:val="004B526C"/>
    <w:rsid w:val="004B53C2"/>
    <w:rsid w:val="004B571E"/>
    <w:rsid w:val="004B68CE"/>
    <w:rsid w:val="004B6A4F"/>
    <w:rsid w:val="004B77B6"/>
    <w:rsid w:val="004C098C"/>
    <w:rsid w:val="004C0DAB"/>
    <w:rsid w:val="004C1779"/>
    <w:rsid w:val="004C1E1B"/>
    <w:rsid w:val="004C21D8"/>
    <w:rsid w:val="004C2745"/>
    <w:rsid w:val="004C2B61"/>
    <w:rsid w:val="004C31FC"/>
    <w:rsid w:val="004C372B"/>
    <w:rsid w:val="004C3F0F"/>
    <w:rsid w:val="004C40C4"/>
    <w:rsid w:val="004C4DD9"/>
    <w:rsid w:val="004C4E19"/>
    <w:rsid w:val="004C62DE"/>
    <w:rsid w:val="004C6AC2"/>
    <w:rsid w:val="004C7658"/>
    <w:rsid w:val="004D00DD"/>
    <w:rsid w:val="004D0247"/>
    <w:rsid w:val="004D08D4"/>
    <w:rsid w:val="004D1528"/>
    <w:rsid w:val="004D1670"/>
    <w:rsid w:val="004D16BC"/>
    <w:rsid w:val="004D1B45"/>
    <w:rsid w:val="004D1CF4"/>
    <w:rsid w:val="004D25FC"/>
    <w:rsid w:val="004D2C73"/>
    <w:rsid w:val="004D34AB"/>
    <w:rsid w:val="004D4290"/>
    <w:rsid w:val="004D46A3"/>
    <w:rsid w:val="004D6320"/>
    <w:rsid w:val="004D64FA"/>
    <w:rsid w:val="004D69B2"/>
    <w:rsid w:val="004D6F16"/>
    <w:rsid w:val="004E04CB"/>
    <w:rsid w:val="004E053C"/>
    <w:rsid w:val="004E0588"/>
    <w:rsid w:val="004E1971"/>
    <w:rsid w:val="004E23F1"/>
    <w:rsid w:val="004E264D"/>
    <w:rsid w:val="004E413A"/>
    <w:rsid w:val="004E4282"/>
    <w:rsid w:val="004E43C1"/>
    <w:rsid w:val="004E568B"/>
    <w:rsid w:val="004E5929"/>
    <w:rsid w:val="004E5D2F"/>
    <w:rsid w:val="004E5F9C"/>
    <w:rsid w:val="004E67F0"/>
    <w:rsid w:val="004E6974"/>
    <w:rsid w:val="004F00D9"/>
    <w:rsid w:val="004F08E7"/>
    <w:rsid w:val="004F111A"/>
    <w:rsid w:val="004F2CAE"/>
    <w:rsid w:val="004F3B12"/>
    <w:rsid w:val="004F3D0D"/>
    <w:rsid w:val="004F41C8"/>
    <w:rsid w:val="004F4545"/>
    <w:rsid w:val="004F51B8"/>
    <w:rsid w:val="004F55F8"/>
    <w:rsid w:val="004F55FC"/>
    <w:rsid w:val="004F60BD"/>
    <w:rsid w:val="004F6DFF"/>
    <w:rsid w:val="004F7001"/>
    <w:rsid w:val="004F7121"/>
    <w:rsid w:val="004F75D0"/>
    <w:rsid w:val="004F780D"/>
    <w:rsid w:val="004F796B"/>
    <w:rsid w:val="00500002"/>
    <w:rsid w:val="00500888"/>
    <w:rsid w:val="00500D47"/>
    <w:rsid w:val="00502590"/>
    <w:rsid w:val="00502F5A"/>
    <w:rsid w:val="00503332"/>
    <w:rsid w:val="00503359"/>
    <w:rsid w:val="00503B92"/>
    <w:rsid w:val="00503F52"/>
    <w:rsid w:val="00504272"/>
    <w:rsid w:val="005046EA"/>
    <w:rsid w:val="00504B77"/>
    <w:rsid w:val="005054EB"/>
    <w:rsid w:val="00505719"/>
    <w:rsid w:val="00505DEE"/>
    <w:rsid w:val="0050616E"/>
    <w:rsid w:val="00506339"/>
    <w:rsid w:val="00506341"/>
    <w:rsid w:val="00506F46"/>
    <w:rsid w:val="0050769B"/>
    <w:rsid w:val="00510D4E"/>
    <w:rsid w:val="00510FA2"/>
    <w:rsid w:val="0051109F"/>
    <w:rsid w:val="00511E94"/>
    <w:rsid w:val="00512336"/>
    <w:rsid w:val="00513215"/>
    <w:rsid w:val="0051329B"/>
    <w:rsid w:val="0051376E"/>
    <w:rsid w:val="00514FF8"/>
    <w:rsid w:val="005155FF"/>
    <w:rsid w:val="00515D8A"/>
    <w:rsid w:val="00515DBA"/>
    <w:rsid w:val="00516372"/>
    <w:rsid w:val="00516A8B"/>
    <w:rsid w:val="00516FAA"/>
    <w:rsid w:val="005176F3"/>
    <w:rsid w:val="005178B8"/>
    <w:rsid w:val="0052054F"/>
    <w:rsid w:val="00520628"/>
    <w:rsid w:val="005208F9"/>
    <w:rsid w:val="00520A42"/>
    <w:rsid w:val="0052141C"/>
    <w:rsid w:val="00521BE7"/>
    <w:rsid w:val="00523C8E"/>
    <w:rsid w:val="00523FDF"/>
    <w:rsid w:val="005244B0"/>
    <w:rsid w:val="00524F5A"/>
    <w:rsid w:val="00525A24"/>
    <w:rsid w:val="00525BBA"/>
    <w:rsid w:val="00525C31"/>
    <w:rsid w:val="00526491"/>
    <w:rsid w:val="00526797"/>
    <w:rsid w:val="00526FB6"/>
    <w:rsid w:val="005275CC"/>
    <w:rsid w:val="005309FE"/>
    <w:rsid w:val="00531032"/>
    <w:rsid w:val="005334B6"/>
    <w:rsid w:val="0053397E"/>
    <w:rsid w:val="00534F23"/>
    <w:rsid w:val="005354BC"/>
    <w:rsid w:val="00535639"/>
    <w:rsid w:val="005358D9"/>
    <w:rsid w:val="00535CD6"/>
    <w:rsid w:val="00536206"/>
    <w:rsid w:val="00536AD6"/>
    <w:rsid w:val="0053700B"/>
    <w:rsid w:val="00537132"/>
    <w:rsid w:val="00537538"/>
    <w:rsid w:val="005379C3"/>
    <w:rsid w:val="0054045C"/>
    <w:rsid w:val="0054310B"/>
    <w:rsid w:val="00544272"/>
    <w:rsid w:val="00545650"/>
    <w:rsid w:val="005462AB"/>
    <w:rsid w:val="0054657B"/>
    <w:rsid w:val="0054724D"/>
    <w:rsid w:val="00547880"/>
    <w:rsid w:val="00547F84"/>
    <w:rsid w:val="00550335"/>
    <w:rsid w:val="00551953"/>
    <w:rsid w:val="00552618"/>
    <w:rsid w:val="00552A59"/>
    <w:rsid w:val="005532CB"/>
    <w:rsid w:val="005541CB"/>
    <w:rsid w:val="00554A74"/>
    <w:rsid w:val="005550A0"/>
    <w:rsid w:val="005555EB"/>
    <w:rsid w:val="00555B21"/>
    <w:rsid w:val="00555C56"/>
    <w:rsid w:val="00555E10"/>
    <w:rsid w:val="00556453"/>
    <w:rsid w:val="00556F10"/>
    <w:rsid w:val="00557A8B"/>
    <w:rsid w:val="00557D3A"/>
    <w:rsid w:val="00560A89"/>
    <w:rsid w:val="00560CEB"/>
    <w:rsid w:val="00560EDF"/>
    <w:rsid w:val="005621A4"/>
    <w:rsid w:val="005630CD"/>
    <w:rsid w:val="0056454F"/>
    <w:rsid w:val="00564B35"/>
    <w:rsid w:val="00566F32"/>
    <w:rsid w:val="00570542"/>
    <w:rsid w:val="005706D7"/>
    <w:rsid w:val="00571075"/>
    <w:rsid w:val="00571631"/>
    <w:rsid w:val="00571B6E"/>
    <w:rsid w:val="00571F0F"/>
    <w:rsid w:val="005725DB"/>
    <w:rsid w:val="00572FB9"/>
    <w:rsid w:val="00573FE5"/>
    <w:rsid w:val="00574B6B"/>
    <w:rsid w:val="0057509F"/>
    <w:rsid w:val="005756E2"/>
    <w:rsid w:val="00575703"/>
    <w:rsid w:val="00575A1F"/>
    <w:rsid w:val="00576828"/>
    <w:rsid w:val="005774C6"/>
    <w:rsid w:val="005775D1"/>
    <w:rsid w:val="00577B8A"/>
    <w:rsid w:val="00580089"/>
    <w:rsid w:val="0058088E"/>
    <w:rsid w:val="005815B5"/>
    <w:rsid w:val="005822F7"/>
    <w:rsid w:val="0058263A"/>
    <w:rsid w:val="00582AF0"/>
    <w:rsid w:val="00582B45"/>
    <w:rsid w:val="00583295"/>
    <w:rsid w:val="005837A9"/>
    <w:rsid w:val="00583816"/>
    <w:rsid w:val="00583EBA"/>
    <w:rsid w:val="005840C9"/>
    <w:rsid w:val="005841D7"/>
    <w:rsid w:val="00584214"/>
    <w:rsid w:val="00584C6B"/>
    <w:rsid w:val="00585810"/>
    <w:rsid w:val="0058628F"/>
    <w:rsid w:val="00586707"/>
    <w:rsid w:val="005876C2"/>
    <w:rsid w:val="00587C41"/>
    <w:rsid w:val="00587E7B"/>
    <w:rsid w:val="00590095"/>
    <w:rsid w:val="005906C6"/>
    <w:rsid w:val="00590F07"/>
    <w:rsid w:val="00592410"/>
    <w:rsid w:val="00592575"/>
    <w:rsid w:val="005925F5"/>
    <w:rsid w:val="005929B0"/>
    <w:rsid w:val="00592AA6"/>
    <w:rsid w:val="005932F5"/>
    <w:rsid w:val="0059337C"/>
    <w:rsid w:val="00594084"/>
    <w:rsid w:val="005941BB"/>
    <w:rsid w:val="00594FA4"/>
    <w:rsid w:val="0059510D"/>
    <w:rsid w:val="005963BE"/>
    <w:rsid w:val="005969CD"/>
    <w:rsid w:val="0059750A"/>
    <w:rsid w:val="00597662"/>
    <w:rsid w:val="005976F9"/>
    <w:rsid w:val="00597C91"/>
    <w:rsid w:val="005A1048"/>
    <w:rsid w:val="005A1062"/>
    <w:rsid w:val="005A1547"/>
    <w:rsid w:val="005A1767"/>
    <w:rsid w:val="005A17D1"/>
    <w:rsid w:val="005A1D57"/>
    <w:rsid w:val="005A1E6F"/>
    <w:rsid w:val="005A1F4B"/>
    <w:rsid w:val="005A2BBB"/>
    <w:rsid w:val="005A3BEE"/>
    <w:rsid w:val="005A53BB"/>
    <w:rsid w:val="005A5C1B"/>
    <w:rsid w:val="005A5F2B"/>
    <w:rsid w:val="005A7302"/>
    <w:rsid w:val="005A7B79"/>
    <w:rsid w:val="005B04AA"/>
    <w:rsid w:val="005B0CBB"/>
    <w:rsid w:val="005B1212"/>
    <w:rsid w:val="005B21F2"/>
    <w:rsid w:val="005B2BFC"/>
    <w:rsid w:val="005B314A"/>
    <w:rsid w:val="005B43EC"/>
    <w:rsid w:val="005B4A25"/>
    <w:rsid w:val="005B4A36"/>
    <w:rsid w:val="005B577D"/>
    <w:rsid w:val="005B57D9"/>
    <w:rsid w:val="005B6851"/>
    <w:rsid w:val="005C028B"/>
    <w:rsid w:val="005C0730"/>
    <w:rsid w:val="005C0FCB"/>
    <w:rsid w:val="005C1C05"/>
    <w:rsid w:val="005C1FDE"/>
    <w:rsid w:val="005C2F14"/>
    <w:rsid w:val="005C3432"/>
    <w:rsid w:val="005C3B9F"/>
    <w:rsid w:val="005C69E4"/>
    <w:rsid w:val="005C77DF"/>
    <w:rsid w:val="005D02FC"/>
    <w:rsid w:val="005D0E54"/>
    <w:rsid w:val="005D2218"/>
    <w:rsid w:val="005D2263"/>
    <w:rsid w:val="005D2B4D"/>
    <w:rsid w:val="005D2FAA"/>
    <w:rsid w:val="005D311A"/>
    <w:rsid w:val="005D3F5F"/>
    <w:rsid w:val="005D4F12"/>
    <w:rsid w:val="005D4F28"/>
    <w:rsid w:val="005D5011"/>
    <w:rsid w:val="005D57EE"/>
    <w:rsid w:val="005D5D77"/>
    <w:rsid w:val="005D5F77"/>
    <w:rsid w:val="005D76C4"/>
    <w:rsid w:val="005D7987"/>
    <w:rsid w:val="005D7D80"/>
    <w:rsid w:val="005E070B"/>
    <w:rsid w:val="005E3977"/>
    <w:rsid w:val="005E4307"/>
    <w:rsid w:val="005E4A9F"/>
    <w:rsid w:val="005E6D81"/>
    <w:rsid w:val="005E6DA5"/>
    <w:rsid w:val="005E756A"/>
    <w:rsid w:val="005F01BB"/>
    <w:rsid w:val="005F0394"/>
    <w:rsid w:val="005F0B8E"/>
    <w:rsid w:val="005F11BD"/>
    <w:rsid w:val="005F23B9"/>
    <w:rsid w:val="005F283B"/>
    <w:rsid w:val="005F2AD9"/>
    <w:rsid w:val="005F2CEE"/>
    <w:rsid w:val="005F2E97"/>
    <w:rsid w:val="005F355A"/>
    <w:rsid w:val="005F3F30"/>
    <w:rsid w:val="005F407D"/>
    <w:rsid w:val="005F491F"/>
    <w:rsid w:val="005F4E88"/>
    <w:rsid w:val="005F5654"/>
    <w:rsid w:val="005F5768"/>
    <w:rsid w:val="005F592B"/>
    <w:rsid w:val="005F5D88"/>
    <w:rsid w:val="005F6232"/>
    <w:rsid w:val="005F6364"/>
    <w:rsid w:val="005F683D"/>
    <w:rsid w:val="005F7127"/>
    <w:rsid w:val="005F789D"/>
    <w:rsid w:val="0060113D"/>
    <w:rsid w:val="00601764"/>
    <w:rsid w:val="0060226E"/>
    <w:rsid w:val="006027D2"/>
    <w:rsid w:val="006029EC"/>
    <w:rsid w:val="00602B99"/>
    <w:rsid w:val="00602E5E"/>
    <w:rsid w:val="0060338F"/>
    <w:rsid w:val="00603595"/>
    <w:rsid w:val="006038A0"/>
    <w:rsid w:val="00603EA7"/>
    <w:rsid w:val="006049BD"/>
    <w:rsid w:val="00604D8F"/>
    <w:rsid w:val="00604F1C"/>
    <w:rsid w:val="00605340"/>
    <w:rsid w:val="006053AC"/>
    <w:rsid w:val="00605CA8"/>
    <w:rsid w:val="006062B6"/>
    <w:rsid w:val="00606473"/>
    <w:rsid w:val="006074C6"/>
    <w:rsid w:val="00607D0A"/>
    <w:rsid w:val="0061112C"/>
    <w:rsid w:val="00611271"/>
    <w:rsid w:val="00611375"/>
    <w:rsid w:val="00611B69"/>
    <w:rsid w:val="00611CFE"/>
    <w:rsid w:val="00611F30"/>
    <w:rsid w:val="00611F7A"/>
    <w:rsid w:val="00611FFE"/>
    <w:rsid w:val="006129C9"/>
    <w:rsid w:val="00613A77"/>
    <w:rsid w:val="00613F71"/>
    <w:rsid w:val="006150B0"/>
    <w:rsid w:val="00615890"/>
    <w:rsid w:val="00616524"/>
    <w:rsid w:val="006172EC"/>
    <w:rsid w:val="006174BC"/>
    <w:rsid w:val="00617E2C"/>
    <w:rsid w:val="00622389"/>
    <w:rsid w:val="006229D9"/>
    <w:rsid w:val="00622DF2"/>
    <w:rsid w:val="00622E2B"/>
    <w:rsid w:val="006236F6"/>
    <w:rsid w:val="00624132"/>
    <w:rsid w:val="00624A14"/>
    <w:rsid w:val="00630437"/>
    <w:rsid w:val="0063173A"/>
    <w:rsid w:val="00631DD3"/>
    <w:rsid w:val="00632161"/>
    <w:rsid w:val="00632297"/>
    <w:rsid w:val="0063241E"/>
    <w:rsid w:val="00632C05"/>
    <w:rsid w:val="00632D97"/>
    <w:rsid w:val="00633347"/>
    <w:rsid w:val="00633895"/>
    <w:rsid w:val="006340A0"/>
    <w:rsid w:val="00634B7B"/>
    <w:rsid w:val="00635210"/>
    <w:rsid w:val="006352F9"/>
    <w:rsid w:val="00635529"/>
    <w:rsid w:val="00635698"/>
    <w:rsid w:val="00635829"/>
    <w:rsid w:val="00635E00"/>
    <w:rsid w:val="0063724F"/>
    <w:rsid w:val="00637395"/>
    <w:rsid w:val="00637AAD"/>
    <w:rsid w:val="006409D2"/>
    <w:rsid w:val="0064118C"/>
    <w:rsid w:val="00641D53"/>
    <w:rsid w:val="00641D66"/>
    <w:rsid w:val="006430FC"/>
    <w:rsid w:val="00643143"/>
    <w:rsid w:val="006433ED"/>
    <w:rsid w:val="00643976"/>
    <w:rsid w:val="00643C5D"/>
    <w:rsid w:val="00643C9F"/>
    <w:rsid w:val="006443FC"/>
    <w:rsid w:val="00645624"/>
    <w:rsid w:val="00645C81"/>
    <w:rsid w:val="00645CDD"/>
    <w:rsid w:val="006466A3"/>
    <w:rsid w:val="00646D43"/>
    <w:rsid w:val="00647C7C"/>
    <w:rsid w:val="0065026A"/>
    <w:rsid w:val="006511D8"/>
    <w:rsid w:val="00651DC0"/>
    <w:rsid w:val="006528D8"/>
    <w:rsid w:val="00653305"/>
    <w:rsid w:val="0065341E"/>
    <w:rsid w:val="00653ACC"/>
    <w:rsid w:val="00653D44"/>
    <w:rsid w:val="00654970"/>
    <w:rsid w:val="006553C2"/>
    <w:rsid w:val="00655AC5"/>
    <w:rsid w:val="00655EC8"/>
    <w:rsid w:val="006562EE"/>
    <w:rsid w:val="00660316"/>
    <w:rsid w:val="0066045B"/>
    <w:rsid w:val="0066098A"/>
    <w:rsid w:val="0066112E"/>
    <w:rsid w:val="00661BFD"/>
    <w:rsid w:val="00662167"/>
    <w:rsid w:val="00662C64"/>
    <w:rsid w:val="0066305B"/>
    <w:rsid w:val="006631D2"/>
    <w:rsid w:val="0066404A"/>
    <w:rsid w:val="0066416D"/>
    <w:rsid w:val="006641BF"/>
    <w:rsid w:val="00664BCD"/>
    <w:rsid w:val="00664BF5"/>
    <w:rsid w:val="00666028"/>
    <w:rsid w:val="006664A5"/>
    <w:rsid w:val="00666782"/>
    <w:rsid w:val="006669EA"/>
    <w:rsid w:val="00666D3A"/>
    <w:rsid w:val="00667ACC"/>
    <w:rsid w:val="006704C1"/>
    <w:rsid w:val="0067099B"/>
    <w:rsid w:val="0067108F"/>
    <w:rsid w:val="0067188F"/>
    <w:rsid w:val="00671EAB"/>
    <w:rsid w:val="00672123"/>
    <w:rsid w:val="0067256E"/>
    <w:rsid w:val="00673434"/>
    <w:rsid w:val="00673CD7"/>
    <w:rsid w:val="00674160"/>
    <w:rsid w:val="00674C34"/>
    <w:rsid w:val="00674E46"/>
    <w:rsid w:val="00675A5C"/>
    <w:rsid w:val="00675DC2"/>
    <w:rsid w:val="00676BC8"/>
    <w:rsid w:val="00676CEB"/>
    <w:rsid w:val="00677EB4"/>
    <w:rsid w:val="006801E2"/>
    <w:rsid w:val="006809EC"/>
    <w:rsid w:val="00680A22"/>
    <w:rsid w:val="0068166E"/>
    <w:rsid w:val="006825CB"/>
    <w:rsid w:val="00682A1D"/>
    <w:rsid w:val="00683D13"/>
    <w:rsid w:val="00683E20"/>
    <w:rsid w:val="006841D7"/>
    <w:rsid w:val="00685A1A"/>
    <w:rsid w:val="00685BD3"/>
    <w:rsid w:val="0068713B"/>
    <w:rsid w:val="0068726B"/>
    <w:rsid w:val="006875C7"/>
    <w:rsid w:val="00687F59"/>
    <w:rsid w:val="00690346"/>
    <w:rsid w:val="006907E2"/>
    <w:rsid w:val="00690887"/>
    <w:rsid w:val="0069200C"/>
    <w:rsid w:val="006924A6"/>
    <w:rsid w:val="00692C3D"/>
    <w:rsid w:val="00692D1D"/>
    <w:rsid w:val="00692E62"/>
    <w:rsid w:val="00693ABA"/>
    <w:rsid w:val="0069511E"/>
    <w:rsid w:val="00697967"/>
    <w:rsid w:val="00697BD5"/>
    <w:rsid w:val="00697C9C"/>
    <w:rsid w:val="00697D8E"/>
    <w:rsid w:val="006A0428"/>
    <w:rsid w:val="006A04C9"/>
    <w:rsid w:val="006A04E8"/>
    <w:rsid w:val="006A0707"/>
    <w:rsid w:val="006A095C"/>
    <w:rsid w:val="006A11DD"/>
    <w:rsid w:val="006A1627"/>
    <w:rsid w:val="006A18D5"/>
    <w:rsid w:val="006A18F4"/>
    <w:rsid w:val="006A205D"/>
    <w:rsid w:val="006A2547"/>
    <w:rsid w:val="006A2BC7"/>
    <w:rsid w:val="006A5C10"/>
    <w:rsid w:val="006A5D3C"/>
    <w:rsid w:val="006A67B1"/>
    <w:rsid w:val="006A687E"/>
    <w:rsid w:val="006A6E4C"/>
    <w:rsid w:val="006A6F71"/>
    <w:rsid w:val="006A7B09"/>
    <w:rsid w:val="006A7E28"/>
    <w:rsid w:val="006A7E68"/>
    <w:rsid w:val="006B06A4"/>
    <w:rsid w:val="006B09E6"/>
    <w:rsid w:val="006B144B"/>
    <w:rsid w:val="006B1E83"/>
    <w:rsid w:val="006B24FF"/>
    <w:rsid w:val="006B3474"/>
    <w:rsid w:val="006B348C"/>
    <w:rsid w:val="006B3B07"/>
    <w:rsid w:val="006B40FE"/>
    <w:rsid w:val="006B5631"/>
    <w:rsid w:val="006B582C"/>
    <w:rsid w:val="006B6697"/>
    <w:rsid w:val="006B67B0"/>
    <w:rsid w:val="006B6DC8"/>
    <w:rsid w:val="006B7C39"/>
    <w:rsid w:val="006B7FFB"/>
    <w:rsid w:val="006C011E"/>
    <w:rsid w:val="006C0573"/>
    <w:rsid w:val="006C09AD"/>
    <w:rsid w:val="006C0A59"/>
    <w:rsid w:val="006C0EC6"/>
    <w:rsid w:val="006C1D65"/>
    <w:rsid w:val="006C2EC2"/>
    <w:rsid w:val="006C3A0C"/>
    <w:rsid w:val="006C422C"/>
    <w:rsid w:val="006C4571"/>
    <w:rsid w:val="006C4894"/>
    <w:rsid w:val="006C4C0F"/>
    <w:rsid w:val="006C58A0"/>
    <w:rsid w:val="006C5971"/>
    <w:rsid w:val="006C59B3"/>
    <w:rsid w:val="006C5C43"/>
    <w:rsid w:val="006C5EF1"/>
    <w:rsid w:val="006C6579"/>
    <w:rsid w:val="006C6844"/>
    <w:rsid w:val="006C6A8D"/>
    <w:rsid w:val="006C7466"/>
    <w:rsid w:val="006C7D62"/>
    <w:rsid w:val="006D0452"/>
    <w:rsid w:val="006D0696"/>
    <w:rsid w:val="006D0E0C"/>
    <w:rsid w:val="006D1136"/>
    <w:rsid w:val="006D1426"/>
    <w:rsid w:val="006D23AA"/>
    <w:rsid w:val="006D2776"/>
    <w:rsid w:val="006D3C89"/>
    <w:rsid w:val="006D4F51"/>
    <w:rsid w:val="006D5741"/>
    <w:rsid w:val="006D5AC3"/>
    <w:rsid w:val="006D5B45"/>
    <w:rsid w:val="006D6E30"/>
    <w:rsid w:val="006E0462"/>
    <w:rsid w:val="006E136B"/>
    <w:rsid w:val="006E187D"/>
    <w:rsid w:val="006E1D5E"/>
    <w:rsid w:val="006E21D3"/>
    <w:rsid w:val="006E31D3"/>
    <w:rsid w:val="006E339F"/>
    <w:rsid w:val="006E3633"/>
    <w:rsid w:val="006E3BF7"/>
    <w:rsid w:val="006E4206"/>
    <w:rsid w:val="006E43F2"/>
    <w:rsid w:val="006E4771"/>
    <w:rsid w:val="006E4BB4"/>
    <w:rsid w:val="006E5EC5"/>
    <w:rsid w:val="006E6C0F"/>
    <w:rsid w:val="006E6D0B"/>
    <w:rsid w:val="006E74E8"/>
    <w:rsid w:val="006E7C52"/>
    <w:rsid w:val="006E7D5F"/>
    <w:rsid w:val="006F095E"/>
    <w:rsid w:val="006F0D0D"/>
    <w:rsid w:val="006F0E2A"/>
    <w:rsid w:val="006F15F6"/>
    <w:rsid w:val="006F252F"/>
    <w:rsid w:val="006F3AF7"/>
    <w:rsid w:val="006F3E93"/>
    <w:rsid w:val="006F495E"/>
    <w:rsid w:val="006F53C8"/>
    <w:rsid w:val="006F5673"/>
    <w:rsid w:val="006F589D"/>
    <w:rsid w:val="006F5962"/>
    <w:rsid w:val="006F6016"/>
    <w:rsid w:val="006F6A92"/>
    <w:rsid w:val="006F6CEA"/>
    <w:rsid w:val="006F71AA"/>
    <w:rsid w:val="006F78BB"/>
    <w:rsid w:val="006F7F63"/>
    <w:rsid w:val="007004FE"/>
    <w:rsid w:val="00700567"/>
    <w:rsid w:val="00700844"/>
    <w:rsid w:val="00700953"/>
    <w:rsid w:val="00700BD9"/>
    <w:rsid w:val="00701A84"/>
    <w:rsid w:val="0070410B"/>
    <w:rsid w:val="00704E73"/>
    <w:rsid w:val="00705BE4"/>
    <w:rsid w:val="00705DF2"/>
    <w:rsid w:val="0070600A"/>
    <w:rsid w:val="00706253"/>
    <w:rsid w:val="007062F5"/>
    <w:rsid w:val="00706DC6"/>
    <w:rsid w:val="00706DC7"/>
    <w:rsid w:val="00707FA5"/>
    <w:rsid w:val="007106FC"/>
    <w:rsid w:val="00710703"/>
    <w:rsid w:val="00710B18"/>
    <w:rsid w:val="00710D2A"/>
    <w:rsid w:val="00710FBC"/>
    <w:rsid w:val="007113FC"/>
    <w:rsid w:val="00711A08"/>
    <w:rsid w:val="00711E95"/>
    <w:rsid w:val="00712450"/>
    <w:rsid w:val="00713655"/>
    <w:rsid w:val="007145ED"/>
    <w:rsid w:val="007145F7"/>
    <w:rsid w:val="0071466D"/>
    <w:rsid w:val="00714DB7"/>
    <w:rsid w:val="00714F28"/>
    <w:rsid w:val="00715C5F"/>
    <w:rsid w:val="00716065"/>
    <w:rsid w:val="00716175"/>
    <w:rsid w:val="00716185"/>
    <w:rsid w:val="0071629A"/>
    <w:rsid w:val="0071694C"/>
    <w:rsid w:val="0071739C"/>
    <w:rsid w:val="00717C42"/>
    <w:rsid w:val="00720982"/>
    <w:rsid w:val="00720C10"/>
    <w:rsid w:val="007212D0"/>
    <w:rsid w:val="007213E1"/>
    <w:rsid w:val="00722F68"/>
    <w:rsid w:val="00723148"/>
    <w:rsid w:val="007232B2"/>
    <w:rsid w:val="00723495"/>
    <w:rsid w:val="00723C8E"/>
    <w:rsid w:val="00725827"/>
    <w:rsid w:val="007261DB"/>
    <w:rsid w:val="0072653B"/>
    <w:rsid w:val="00726FEF"/>
    <w:rsid w:val="007272FD"/>
    <w:rsid w:val="00727406"/>
    <w:rsid w:val="00730155"/>
    <w:rsid w:val="007309D1"/>
    <w:rsid w:val="007316E6"/>
    <w:rsid w:val="00731AFA"/>
    <w:rsid w:val="00731E48"/>
    <w:rsid w:val="00732593"/>
    <w:rsid w:val="00732928"/>
    <w:rsid w:val="00732EC9"/>
    <w:rsid w:val="00733681"/>
    <w:rsid w:val="00734AE0"/>
    <w:rsid w:val="00735077"/>
    <w:rsid w:val="00735B86"/>
    <w:rsid w:val="007361C5"/>
    <w:rsid w:val="007364E7"/>
    <w:rsid w:val="00736896"/>
    <w:rsid w:val="00736E8F"/>
    <w:rsid w:val="00737769"/>
    <w:rsid w:val="00737F19"/>
    <w:rsid w:val="0074003D"/>
    <w:rsid w:val="00740BE3"/>
    <w:rsid w:val="00740F47"/>
    <w:rsid w:val="00740FE9"/>
    <w:rsid w:val="007413BF"/>
    <w:rsid w:val="0074197B"/>
    <w:rsid w:val="00741D57"/>
    <w:rsid w:val="0074257A"/>
    <w:rsid w:val="00742660"/>
    <w:rsid w:val="00742C10"/>
    <w:rsid w:val="00742CD3"/>
    <w:rsid w:val="00742E2B"/>
    <w:rsid w:val="007436C8"/>
    <w:rsid w:val="00743EC8"/>
    <w:rsid w:val="00744776"/>
    <w:rsid w:val="00744938"/>
    <w:rsid w:val="00744A95"/>
    <w:rsid w:val="00745307"/>
    <w:rsid w:val="0074561A"/>
    <w:rsid w:val="00745A41"/>
    <w:rsid w:val="00746E12"/>
    <w:rsid w:val="00747187"/>
    <w:rsid w:val="007474CF"/>
    <w:rsid w:val="00747EBD"/>
    <w:rsid w:val="00750532"/>
    <w:rsid w:val="00750868"/>
    <w:rsid w:val="007519AA"/>
    <w:rsid w:val="00752017"/>
    <w:rsid w:val="007536D7"/>
    <w:rsid w:val="00753A6A"/>
    <w:rsid w:val="00753CE9"/>
    <w:rsid w:val="00755320"/>
    <w:rsid w:val="00755DBE"/>
    <w:rsid w:val="00755ECD"/>
    <w:rsid w:val="0075769A"/>
    <w:rsid w:val="00757F20"/>
    <w:rsid w:val="0076001A"/>
    <w:rsid w:val="00760D26"/>
    <w:rsid w:val="0076129C"/>
    <w:rsid w:val="0076130D"/>
    <w:rsid w:val="00761395"/>
    <w:rsid w:val="00762451"/>
    <w:rsid w:val="007624D6"/>
    <w:rsid w:val="007625CB"/>
    <w:rsid w:val="00762DE9"/>
    <w:rsid w:val="007633AD"/>
    <w:rsid w:val="0076366A"/>
    <w:rsid w:val="00764603"/>
    <w:rsid w:val="00764B2D"/>
    <w:rsid w:val="00764BA2"/>
    <w:rsid w:val="007650A3"/>
    <w:rsid w:val="0076528E"/>
    <w:rsid w:val="00765DB2"/>
    <w:rsid w:val="00766D36"/>
    <w:rsid w:val="00766E67"/>
    <w:rsid w:val="00770529"/>
    <w:rsid w:val="007705D2"/>
    <w:rsid w:val="0077140A"/>
    <w:rsid w:val="007717CF"/>
    <w:rsid w:val="00771B70"/>
    <w:rsid w:val="00772123"/>
    <w:rsid w:val="007732A2"/>
    <w:rsid w:val="0077384F"/>
    <w:rsid w:val="007754F3"/>
    <w:rsid w:val="007756E2"/>
    <w:rsid w:val="0077571D"/>
    <w:rsid w:val="00775BAB"/>
    <w:rsid w:val="0077710C"/>
    <w:rsid w:val="00777239"/>
    <w:rsid w:val="00780277"/>
    <w:rsid w:val="0078027A"/>
    <w:rsid w:val="00780361"/>
    <w:rsid w:val="007805ED"/>
    <w:rsid w:val="00780D73"/>
    <w:rsid w:val="00780F28"/>
    <w:rsid w:val="007810DF"/>
    <w:rsid w:val="00781F0B"/>
    <w:rsid w:val="0078321F"/>
    <w:rsid w:val="00783E77"/>
    <w:rsid w:val="00784D73"/>
    <w:rsid w:val="00786622"/>
    <w:rsid w:val="00786F8D"/>
    <w:rsid w:val="007879ED"/>
    <w:rsid w:val="00787E2A"/>
    <w:rsid w:val="00790108"/>
    <w:rsid w:val="00790362"/>
    <w:rsid w:val="00790536"/>
    <w:rsid w:val="00790A89"/>
    <w:rsid w:val="00790FB4"/>
    <w:rsid w:val="00791126"/>
    <w:rsid w:val="00791C8E"/>
    <w:rsid w:val="00793855"/>
    <w:rsid w:val="00793936"/>
    <w:rsid w:val="00793A2A"/>
    <w:rsid w:val="00794349"/>
    <w:rsid w:val="00794483"/>
    <w:rsid w:val="007951CD"/>
    <w:rsid w:val="007966C8"/>
    <w:rsid w:val="00796977"/>
    <w:rsid w:val="0079769C"/>
    <w:rsid w:val="00797C3C"/>
    <w:rsid w:val="00797F99"/>
    <w:rsid w:val="007A006C"/>
    <w:rsid w:val="007A14D1"/>
    <w:rsid w:val="007A170B"/>
    <w:rsid w:val="007A1A2B"/>
    <w:rsid w:val="007A1D6C"/>
    <w:rsid w:val="007A2769"/>
    <w:rsid w:val="007A347D"/>
    <w:rsid w:val="007A39D1"/>
    <w:rsid w:val="007A3DCA"/>
    <w:rsid w:val="007A3ECE"/>
    <w:rsid w:val="007A46B0"/>
    <w:rsid w:val="007A46E8"/>
    <w:rsid w:val="007A4976"/>
    <w:rsid w:val="007A5602"/>
    <w:rsid w:val="007A6371"/>
    <w:rsid w:val="007A65DF"/>
    <w:rsid w:val="007A6F47"/>
    <w:rsid w:val="007A77E4"/>
    <w:rsid w:val="007B07CE"/>
    <w:rsid w:val="007B0AC0"/>
    <w:rsid w:val="007B123C"/>
    <w:rsid w:val="007B12E7"/>
    <w:rsid w:val="007B130B"/>
    <w:rsid w:val="007B1A8C"/>
    <w:rsid w:val="007B1D19"/>
    <w:rsid w:val="007B2992"/>
    <w:rsid w:val="007B2F8E"/>
    <w:rsid w:val="007B384F"/>
    <w:rsid w:val="007B3E5C"/>
    <w:rsid w:val="007B4220"/>
    <w:rsid w:val="007B437B"/>
    <w:rsid w:val="007B43E9"/>
    <w:rsid w:val="007B4530"/>
    <w:rsid w:val="007B49E9"/>
    <w:rsid w:val="007B53A9"/>
    <w:rsid w:val="007B5479"/>
    <w:rsid w:val="007B62A3"/>
    <w:rsid w:val="007B6C00"/>
    <w:rsid w:val="007B6C97"/>
    <w:rsid w:val="007B6CB4"/>
    <w:rsid w:val="007C02B5"/>
    <w:rsid w:val="007C03D1"/>
    <w:rsid w:val="007C0841"/>
    <w:rsid w:val="007C08CE"/>
    <w:rsid w:val="007C0B46"/>
    <w:rsid w:val="007C0F60"/>
    <w:rsid w:val="007C28F7"/>
    <w:rsid w:val="007C2E93"/>
    <w:rsid w:val="007C3092"/>
    <w:rsid w:val="007C41F1"/>
    <w:rsid w:val="007C42D4"/>
    <w:rsid w:val="007C4310"/>
    <w:rsid w:val="007C5231"/>
    <w:rsid w:val="007C62E7"/>
    <w:rsid w:val="007C730A"/>
    <w:rsid w:val="007C73F0"/>
    <w:rsid w:val="007C7462"/>
    <w:rsid w:val="007C7957"/>
    <w:rsid w:val="007D0EE5"/>
    <w:rsid w:val="007D1038"/>
    <w:rsid w:val="007D121F"/>
    <w:rsid w:val="007D1730"/>
    <w:rsid w:val="007D1FDF"/>
    <w:rsid w:val="007D22D5"/>
    <w:rsid w:val="007D273D"/>
    <w:rsid w:val="007D27C4"/>
    <w:rsid w:val="007D3422"/>
    <w:rsid w:val="007D3472"/>
    <w:rsid w:val="007D39C7"/>
    <w:rsid w:val="007D3C72"/>
    <w:rsid w:val="007D43EF"/>
    <w:rsid w:val="007D4647"/>
    <w:rsid w:val="007D48BB"/>
    <w:rsid w:val="007D548F"/>
    <w:rsid w:val="007D5B5C"/>
    <w:rsid w:val="007D6977"/>
    <w:rsid w:val="007D6B01"/>
    <w:rsid w:val="007D7571"/>
    <w:rsid w:val="007D7620"/>
    <w:rsid w:val="007E022D"/>
    <w:rsid w:val="007E091C"/>
    <w:rsid w:val="007E1064"/>
    <w:rsid w:val="007E1396"/>
    <w:rsid w:val="007E2787"/>
    <w:rsid w:val="007E29DC"/>
    <w:rsid w:val="007E33FA"/>
    <w:rsid w:val="007E35F9"/>
    <w:rsid w:val="007E46F2"/>
    <w:rsid w:val="007E4736"/>
    <w:rsid w:val="007E4A53"/>
    <w:rsid w:val="007E5106"/>
    <w:rsid w:val="007E5144"/>
    <w:rsid w:val="007E6EFD"/>
    <w:rsid w:val="007E7403"/>
    <w:rsid w:val="007E75EE"/>
    <w:rsid w:val="007F070B"/>
    <w:rsid w:val="007F0AE5"/>
    <w:rsid w:val="007F13C3"/>
    <w:rsid w:val="007F2AA9"/>
    <w:rsid w:val="007F31AA"/>
    <w:rsid w:val="007F32B0"/>
    <w:rsid w:val="007F3774"/>
    <w:rsid w:val="007F4614"/>
    <w:rsid w:val="007F4A48"/>
    <w:rsid w:val="007F503A"/>
    <w:rsid w:val="007F5120"/>
    <w:rsid w:val="007F531A"/>
    <w:rsid w:val="007F5655"/>
    <w:rsid w:val="007F5FCB"/>
    <w:rsid w:val="007F623B"/>
    <w:rsid w:val="007F62AB"/>
    <w:rsid w:val="007F65E4"/>
    <w:rsid w:val="007F6833"/>
    <w:rsid w:val="007F6AD3"/>
    <w:rsid w:val="007F713C"/>
    <w:rsid w:val="007F7D7D"/>
    <w:rsid w:val="0080033B"/>
    <w:rsid w:val="00800CCF"/>
    <w:rsid w:val="00801C78"/>
    <w:rsid w:val="00801E7D"/>
    <w:rsid w:val="00801EB2"/>
    <w:rsid w:val="00802B8F"/>
    <w:rsid w:val="00802E8F"/>
    <w:rsid w:val="008035BD"/>
    <w:rsid w:val="008042F9"/>
    <w:rsid w:val="00804344"/>
    <w:rsid w:val="00804559"/>
    <w:rsid w:val="0080477D"/>
    <w:rsid w:val="00804878"/>
    <w:rsid w:val="00804A3E"/>
    <w:rsid w:val="00804AAB"/>
    <w:rsid w:val="0080611A"/>
    <w:rsid w:val="00806B6A"/>
    <w:rsid w:val="00806E55"/>
    <w:rsid w:val="0081040A"/>
    <w:rsid w:val="00810A13"/>
    <w:rsid w:val="00811424"/>
    <w:rsid w:val="008126CD"/>
    <w:rsid w:val="008131B0"/>
    <w:rsid w:val="008132BF"/>
    <w:rsid w:val="008133D7"/>
    <w:rsid w:val="00813CB2"/>
    <w:rsid w:val="00813F72"/>
    <w:rsid w:val="0081407E"/>
    <w:rsid w:val="00814782"/>
    <w:rsid w:val="00814E8B"/>
    <w:rsid w:val="0081513A"/>
    <w:rsid w:val="00815615"/>
    <w:rsid w:val="00815F61"/>
    <w:rsid w:val="00816FCD"/>
    <w:rsid w:val="008172DC"/>
    <w:rsid w:val="00817783"/>
    <w:rsid w:val="00820742"/>
    <w:rsid w:val="008211C4"/>
    <w:rsid w:val="008213EC"/>
    <w:rsid w:val="00822097"/>
    <w:rsid w:val="00823217"/>
    <w:rsid w:val="0082463D"/>
    <w:rsid w:val="0082488A"/>
    <w:rsid w:val="00824D4A"/>
    <w:rsid w:val="00824FAB"/>
    <w:rsid w:val="008250AC"/>
    <w:rsid w:val="0082577E"/>
    <w:rsid w:val="00825871"/>
    <w:rsid w:val="00826A84"/>
    <w:rsid w:val="008271DC"/>
    <w:rsid w:val="008275FC"/>
    <w:rsid w:val="0082774E"/>
    <w:rsid w:val="00830013"/>
    <w:rsid w:val="0083099A"/>
    <w:rsid w:val="00831155"/>
    <w:rsid w:val="00831D07"/>
    <w:rsid w:val="00833B9E"/>
    <w:rsid w:val="00833D44"/>
    <w:rsid w:val="00833E4A"/>
    <w:rsid w:val="00834056"/>
    <w:rsid w:val="00834A83"/>
    <w:rsid w:val="00834B30"/>
    <w:rsid w:val="00835976"/>
    <w:rsid w:val="0083684A"/>
    <w:rsid w:val="00836D9A"/>
    <w:rsid w:val="00837238"/>
    <w:rsid w:val="008376F3"/>
    <w:rsid w:val="008407AD"/>
    <w:rsid w:val="008409B4"/>
    <w:rsid w:val="00840E3E"/>
    <w:rsid w:val="0084172E"/>
    <w:rsid w:val="00842456"/>
    <w:rsid w:val="008429C7"/>
    <w:rsid w:val="00842D27"/>
    <w:rsid w:val="00842FE4"/>
    <w:rsid w:val="00843D26"/>
    <w:rsid w:val="00843DD9"/>
    <w:rsid w:val="00844380"/>
    <w:rsid w:val="00845F74"/>
    <w:rsid w:val="0084704A"/>
    <w:rsid w:val="008475C1"/>
    <w:rsid w:val="00847A2F"/>
    <w:rsid w:val="00850225"/>
    <w:rsid w:val="008505DB"/>
    <w:rsid w:val="0085063A"/>
    <w:rsid w:val="00850774"/>
    <w:rsid w:val="0085107B"/>
    <w:rsid w:val="00851280"/>
    <w:rsid w:val="00851BF7"/>
    <w:rsid w:val="00851E29"/>
    <w:rsid w:val="00852885"/>
    <w:rsid w:val="008529AE"/>
    <w:rsid w:val="00852DE9"/>
    <w:rsid w:val="008538D0"/>
    <w:rsid w:val="00853DFF"/>
    <w:rsid w:val="00854683"/>
    <w:rsid w:val="008551A4"/>
    <w:rsid w:val="00855494"/>
    <w:rsid w:val="00855AE6"/>
    <w:rsid w:val="0085726B"/>
    <w:rsid w:val="008573CA"/>
    <w:rsid w:val="0085780A"/>
    <w:rsid w:val="00857BD3"/>
    <w:rsid w:val="00860A01"/>
    <w:rsid w:val="0086197C"/>
    <w:rsid w:val="00862F90"/>
    <w:rsid w:val="00863601"/>
    <w:rsid w:val="00863EC8"/>
    <w:rsid w:val="008640B9"/>
    <w:rsid w:val="008641BE"/>
    <w:rsid w:val="00864733"/>
    <w:rsid w:val="00865201"/>
    <w:rsid w:val="00865D91"/>
    <w:rsid w:val="0086639E"/>
    <w:rsid w:val="00866F61"/>
    <w:rsid w:val="008670C5"/>
    <w:rsid w:val="0086734E"/>
    <w:rsid w:val="00867363"/>
    <w:rsid w:val="00870555"/>
    <w:rsid w:val="00871203"/>
    <w:rsid w:val="0087142B"/>
    <w:rsid w:val="00871960"/>
    <w:rsid w:val="0087231F"/>
    <w:rsid w:val="0087264A"/>
    <w:rsid w:val="00872A2D"/>
    <w:rsid w:val="00872C9B"/>
    <w:rsid w:val="00872E57"/>
    <w:rsid w:val="00873110"/>
    <w:rsid w:val="008735B3"/>
    <w:rsid w:val="00873689"/>
    <w:rsid w:val="00873A9C"/>
    <w:rsid w:val="00874050"/>
    <w:rsid w:val="0087412E"/>
    <w:rsid w:val="0087415C"/>
    <w:rsid w:val="008741C3"/>
    <w:rsid w:val="00874DC8"/>
    <w:rsid w:val="00874F9E"/>
    <w:rsid w:val="00875690"/>
    <w:rsid w:val="008762DC"/>
    <w:rsid w:val="00876364"/>
    <w:rsid w:val="00877207"/>
    <w:rsid w:val="008776D4"/>
    <w:rsid w:val="0088036E"/>
    <w:rsid w:val="00881CF7"/>
    <w:rsid w:val="008824CB"/>
    <w:rsid w:val="008824FD"/>
    <w:rsid w:val="0088321B"/>
    <w:rsid w:val="008833ED"/>
    <w:rsid w:val="00884452"/>
    <w:rsid w:val="008850DF"/>
    <w:rsid w:val="00885663"/>
    <w:rsid w:val="0088576D"/>
    <w:rsid w:val="008859F5"/>
    <w:rsid w:val="008865F3"/>
    <w:rsid w:val="008913CC"/>
    <w:rsid w:val="00891799"/>
    <w:rsid w:val="00891AD9"/>
    <w:rsid w:val="00891D3A"/>
    <w:rsid w:val="008921AF"/>
    <w:rsid w:val="0089256A"/>
    <w:rsid w:val="00892A4F"/>
    <w:rsid w:val="00892D11"/>
    <w:rsid w:val="00894251"/>
    <w:rsid w:val="00895134"/>
    <w:rsid w:val="00896058"/>
    <w:rsid w:val="00896C87"/>
    <w:rsid w:val="00896E56"/>
    <w:rsid w:val="00897224"/>
    <w:rsid w:val="00897925"/>
    <w:rsid w:val="00897A6A"/>
    <w:rsid w:val="008A0203"/>
    <w:rsid w:val="008A028E"/>
    <w:rsid w:val="008A0495"/>
    <w:rsid w:val="008A0782"/>
    <w:rsid w:val="008A139E"/>
    <w:rsid w:val="008A17F5"/>
    <w:rsid w:val="008A215F"/>
    <w:rsid w:val="008A2833"/>
    <w:rsid w:val="008A34A5"/>
    <w:rsid w:val="008A3C50"/>
    <w:rsid w:val="008A4EBA"/>
    <w:rsid w:val="008A4ED0"/>
    <w:rsid w:val="008A5C69"/>
    <w:rsid w:val="008A720E"/>
    <w:rsid w:val="008A764D"/>
    <w:rsid w:val="008B0A35"/>
    <w:rsid w:val="008B0D9E"/>
    <w:rsid w:val="008B10C1"/>
    <w:rsid w:val="008B2218"/>
    <w:rsid w:val="008B39FB"/>
    <w:rsid w:val="008B3D28"/>
    <w:rsid w:val="008B4062"/>
    <w:rsid w:val="008B4305"/>
    <w:rsid w:val="008B4352"/>
    <w:rsid w:val="008B4530"/>
    <w:rsid w:val="008B65E5"/>
    <w:rsid w:val="008B6C8E"/>
    <w:rsid w:val="008B6D56"/>
    <w:rsid w:val="008B7A10"/>
    <w:rsid w:val="008C03CC"/>
    <w:rsid w:val="008C05A6"/>
    <w:rsid w:val="008C0CA8"/>
    <w:rsid w:val="008C2512"/>
    <w:rsid w:val="008C2E2D"/>
    <w:rsid w:val="008C3367"/>
    <w:rsid w:val="008C3387"/>
    <w:rsid w:val="008C3949"/>
    <w:rsid w:val="008C4521"/>
    <w:rsid w:val="008C5993"/>
    <w:rsid w:val="008C64D7"/>
    <w:rsid w:val="008C660B"/>
    <w:rsid w:val="008C69FA"/>
    <w:rsid w:val="008C783B"/>
    <w:rsid w:val="008C7DDB"/>
    <w:rsid w:val="008C7E98"/>
    <w:rsid w:val="008D001A"/>
    <w:rsid w:val="008D03BF"/>
    <w:rsid w:val="008D16C1"/>
    <w:rsid w:val="008D259A"/>
    <w:rsid w:val="008D27AC"/>
    <w:rsid w:val="008D28DF"/>
    <w:rsid w:val="008D2EAD"/>
    <w:rsid w:val="008D35B2"/>
    <w:rsid w:val="008D3F46"/>
    <w:rsid w:val="008D44FB"/>
    <w:rsid w:val="008D4B91"/>
    <w:rsid w:val="008D4C5B"/>
    <w:rsid w:val="008D6246"/>
    <w:rsid w:val="008D629C"/>
    <w:rsid w:val="008D69EA"/>
    <w:rsid w:val="008D7413"/>
    <w:rsid w:val="008D7624"/>
    <w:rsid w:val="008D797F"/>
    <w:rsid w:val="008E1889"/>
    <w:rsid w:val="008E2BDC"/>
    <w:rsid w:val="008E3362"/>
    <w:rsid w:val="008E33FC"/>
    <w:rsid w:val="008E502B"/>
    <w:rsid w:val="008E61AB"/>
    <w:rsid w:val="008E6439"/>
    <w:rsid w:val="008E6515"/>
    <w:rsid w:val="008E6861"/>
    <w:rsid w:val="008E7CEF"/>
    <w:rsid w:val="008F0897"/>
    <w:rsid w:val="008F0DD8"/>
    <w:rsid w:val="008F0F4F"/>
    <w:rsid w:val="008F1473"/>
    <w:rsid w:val="008F1AC0"/>
    <w:rsid w:val="008F21C3"/>
    <w:rsid w:val="008F2354"/>
    <w:rsid w:val="008F23CA"/>
    <w:rsid w:val="008F3031"/>
    <w:rsid w:val="008F352F"/>
    <w:rsid w:val="008F41CE"/>
    <w:rsid w:val="008F4DA0"/>
    <w:rsid w:val="008F5757"/>
    <w:rsid w:val="008F5A7E"/>
    <w:rsid w:val="008F62F8"/>
    <w:rsid w:val="008F6313"/>
    <w:rsid w:val="008F6D30"/>
    <w:rsid w:val="008F709F"/>
    <w:rsid w:val="008F795B"/>
    <w:rsid w:val="008F7A72"/>
    <w:rsid w:val="008F7C99"/>
    <w:rsid w:val="009000B5"/>
    <w:rsid w:val="00900252"/>
    <w:rsid w:val="009004A0"/>
    <w:rsid w:val="00900527"/>
    <w:rsid w:val="009005A1"/>
    <w:rsid w:val="009006B3"/>
    <w:rsid w:val="00900853"/>
    <w:rsid w:val="00900D81"/>
    <w:rsid w:val="00901D1E"/>
    <w:rsid w:val="00902117"/>
    <w:rsid w:val="00902AD5"/>
    <w:rsid w:val="00903EED"/>
    <w:rsid w:val="009040EB"/>
    <w:rsid w:val="0090502E"/>
    <w:rsid w:val="009070B1"/>
    <w:rsid w:val="00907475"/>
    <w:rsid w:val="00907497"/>
    <w:rsid w:val="00907726"/>
    <w:rsid w:val="009112B3"/>
    <w:rsid w:val="0091136A"/>
    <w:rsid w:val="0091187E"/>
    <w:rsid w:val="009120EA"/>
    <w:rsid w:val="009120FB"/>
    <w:rsid w:val="00912747"/>
    <w:rsid w:val="00912CFE"/>
    <w:rsid w:val="00913001"/>
    <w:rsid w:val="00913384"/>
    <w:rsid w:val="00913760"/>
    <w:rsid w:val="00913825"/>
    <w:rsid w:val="00914398"/>
    <w:rsid w:val="009144F7"/>
    <w:rsid w:val="00914835"/>
    <w:rsid w:val="00915A75"/>
    <w:rsid w:val="00915E1E"/>
    <w:rsid w:val="00915E21"/>
    <w:rsid w:val="009165F5"/>
    <w:rsid w:val="0091719A"/>
    <w:rsid w:val="009176BE"/>
    <w:rsid w:val="00917746"/>
    <w:rsid w:val="00917B63"/>
    <w:rsid w:val="00917EA5"/>
    <w:rsid w:val="00920074"/>
    <w:rsid w:val="00921CB1"/>
    <w:rsid w:val="009223F9"/>
    <w:rsid w:val="00922E98"/>
    <w:rsid w:val="009235DE"/>
    <w:rsid w:val="00923CDC"/>
    <w:rsid w:val="00923DB5"/>
    <w:rsid w:val="00923E5A"/>
    <w:rsid w:val="00924D37"/>
    <w:rsid w:val="00925260"/>
    <w:rsid w:val="0092629B"/>
    <w:rsid w:val="00926302"/>
    <w:rsid w:val="0092706C"/>
    <w:rsid w:val="009276EA"/>
    <w:rsid w:val="009279A8"/>
    <w:rsid w:val="00927F77"/>
    <w:rsid w:val="00930267"/>
    <w:rsid w:val="0093033A"/>
    <w:rsid w:val="00931DAB"/>
    <w:rsid w:val="00932AF1"/>
    <w:rsid w:val="00932D8C"/>
    <w:rsid w:val="00933B72"/>
    <w:rsid w:val="009341A5"/>
    <w:rsid w:val="00935536"/>
    <w:rsid w:val="00935830"/>
    <w:rsid w:val="00936269"/>
    <w:rsid w:val="00936929"/>
    <w:rsid w:val="00936F45"/>
    <w:rsid w:val="00937E74"/>
    <w:rsid w:val="0094028B"/>
    <w:rsid w:val="00940A82"/>
    <w:rsid w:val="00940E61"/>
    <w:rsid w:val="009428F6"/>
    <w:rsid w:val="00942D7F"/>
    <w:rsid w:val="00943216"/>
    <w:rsid w:val="0094379B"/>
    <w:rsid w:val="00943EB7"/>
    <w:rsid w:val="009441D6"/>
    <w:rsid w:val="00945E4E"/>
    <w:rsid w:val="00946744"/>
    <w:rsid w:val="009468A8"/>
    <w:rsid w:val="00946C07"/>
    <w:rsid w:val="00946DE5"/>
    <w:rsid w:val="00946E61"/>
    <w:rsid w:val="00947B5F"/>
    <w:rsid w:val="00950643"/>
    <w:rsid w:val="0095075C"/>
    <w:rsid w:val="00950868"/>
    <w:rsid w:val="00950AD7"/>
    <w:rsid w:val="00951712"/>
    <w:rsid w:val="009519CB"/>
    <w:rsid w:val="00951C79"/>
    <w:rsid w:val="009522BA"/>
    <w:rsid w:val="0095232B"/>
    <w:rsid w:val="009525FC"/>
    <w:rsid w:val="009530E8"/>
    <w:rsid w:val="0095349B"/>
    <w:rsid w:val="00953B79"/>
    <w:rsid w:val="0095491D"/>
    <w:rsid w:val="009559E8"/>
    <w:rsid w:val="00955F88"/>
    <w:rsid w:val="009560CE"/>
    <w:rsid w:val="009563EF"/>
    <w:rsid w:val="009567DF"/>
    <w:rsid w:val="00957DC2"/>
    <w:rsid w:val="00957EFC"/>
    <w:rsid w:val="00957F1B"/>
    <w:rsid w:val="009601A9"/>
    <w:rsid w:val="00960B43"/>
    <w:rsid w:val="00960FB8"/>
    <w:rsid w:val="00961291"/>
    <w:rsid w:val="00962C0E"/>
    <w:rsid w:val="00962D3C"/>
    <w:rsid w:val="009635CB"/>
    <w:rsid w:val="00963696"/>
    <w:rsid w:val="00963900"/>
    <w:rsid w:val="00963F49"/>
    <w:rsid w:val="00964817"/>
    <w:rsid w:val="00964875"/>
    <w:rsid w:val="009651A6"/>
    <w:rsid w:val="00965986"/>
    <w:rsid w:val="00965C17"/>
    <w:rsid w:val="00965C99"/>
    <w:rsid w:val="009669C2"/>
    <w:rsid w:val="00966B81"/>
    <w:rsid w:val="00966C67"/>
    <w:rsid w:val="00966C92"/>
    <w:rsid w:val="00966DD2"/>
    <w:rsid w:val="0096728F"/>
    <w:rsid w:val="009678C7"/>
    <w:rsid w:val="00967EFB"/>
    <w:rsid w:val="00970A26"/>
    <w:rsid w:val="00971197"/>
    <w:rsid w:val="00971B31"/>
    <w:rsid w:val="009721AD"/>
    <w:rsid w:val="00972805"/>
    <w:rsid w:val="009729D7"/>
    <w:rsid w:val="00972D4C"/>
    <w:rsid w:val="009731E8"/>
    <w:rsid w:val="009735B6"/>
    <w:rsid w:val="00973AFD"/>
    <w:rsid w:val="00974539"/>
    <w:rsid w:val="0097493E"/>
    <w:rsid w:val="009761F4"/>
    <w:rsid w:val="00976AE1"/>
    <w:rsid w:val="00976C5B"/>
    <w:rsid w:val="00976D03"/>
    <w:rsid w:val="00976D39"/>
    <w:rsid w:val="00976D9B"/>
    <w:rsid w:val="009775E2"/>
    <w:rsid w:val="009779D6"/>
    <w:rsid w:val="00977A58"/>
    <w:rsid w:val="0098050F"/>
    <w:rsid w:val="0098123C"/>
    <w:rsid w:val="00981293"/>
    <w:rsid w:val="009812A9"/>
    <w:rsid w:val="00981B8A"/>
    <w:rsid w:val="00982F26"/>
    <w:rsid w:val="009830B6"/>
    <w:rsid w:val="00983154"/>
    <w:rsid w:val="00983403"/>
    <w:rsid w:val="00983738"/>
    <w:rsid w:val="009837C0"/>
    <w:rsid w:val="00983AC6"/>
    <w:rsid w:val="00985415"/>
    <w:rsid w:val="00985ECD"/>
    <w:rsid w:val="00986CAD"/>
    <w:rsid w:val="00987D23"/>
    <w:rsid w:val="00987FBB"/>
    <w:rsid w:val="009900C3"/>
    <w:rsid w:val="00990565"/>
    <w:rsid w:val="00990E3E"/>
    <w:rsid w:val="00991696"/>
    <w:rsid w:val="00991B5A"/>
    <w:rsid w:val="00992388"/>
    <w:rsid w:val="009928DA"/>
    <w:rsid w:val="0099307A"/>
    <w:rsid w:val="00993A1A"/>
    <w:rsid w:val="0099440E"/>
    <w:rsid w:val="00994C13"/>
    <w:rsid w:val="009962CA"/>
    <w:rsid w:val="00996622"/>
    <w:rsid w:val="0099768C"/>
    <w:rsid w:val="00997F51"/>
    <w:rsid w:val="009A0369"/>
    <w:rsid w:val="009A21E1"/>
    <w:rsid w:val="009A23CD"/>
    <w:rsid w:val="009A2465"/>
    <w:rsid w:val="009A2516"/>
    <w:rsid w:val="009A2576"/>
    <w:rsid w:val="009A2915"/>
    <w:rsid w:val="009A2A8A"/>
    <w:rsid w:val="009A2AB5"/>
    <w:rsid w:val="009A2AF8"/>
    <w:rsid w:val="009A2DCE"/>
    <w:rsid w:val="009A31F2"/>
    <w:rsid w:val="009A430F"/>
    <w:rsid w:val="009A5504"/>
    <w:rsid w:val="009A5C84"/>
    <w:rsid w:val="009A601F"/>
    <w:rsid w:val="009A67E3"/>
    <w:rsid w:val="009A6FEA"/>
    <w:rsid w:val="009A7194"/>
    <w:rsid w:val="009A7605"/>
    <w:rsid w:val="009A7B28"/>
    <w:rsid w:val="009B1144"/>
    <w:rsid w:val="009B2072"/>
    <w:rsid w:val="009B22E2"/>
    <w:rsid w:val="009B2A39"/>
    <w:rsid w:val="009B30D0"/>
    <w:rsid w:val="009B33F8"/>
    <w:rsid w:val="009B4429"/>
    <w:rsid w:val="009B45FE"/>
    <w:rsid w:val="009B523E"/>
    <w:rsid w:val="009B54D4"/>
    <w:rsid w:val="009B5756"/>
    <w:rsid w:val="009B5BAB"/>
    <w:rsid w:val="009B5D0A"/>
    <w:rsid w:val="009B5F87"/>
    <w:rsid w:val="009B6815"/>
    <w:rsid w:val="009B77B4"/>
    <w:rsid w:val="009B78A6"/>
    <w:rsid w:val="009B7B87"/>
    <w:rsid w:val="009B7E57"/>
    <w:rsid w:val="009C1D5D"/>
    <w:rsid w:val="009C218F"/>
    <w:rsid w:val="009C2579"/>
    <w:rsid w:val="009C2781"/>
    <w:rsid w:val="009C2AE9"/>
    <w:rsid w:val="009C2C1F"/>
    <w:rsid w:val="009C56F3"/>
    <w:rsid w:val="009C5731"/>
    <w:rsid w:val="009C5DAE"/>
    <w:rsid w:val="009C600F"/>
    <w:rsid w:val="009C6DBD"/>
    <w:rsid w:val="009C7414"/>
    <w:rsid w:val="009D000B"/>
    <w:rsid w:val="009D05C4"/>
    <w:rsid w:val="009D0636"/>
    <w:rsid w:val="009D1C95"/>
    <w:rsid w:val="009D29F5"/>
    <w:rsid w:val="009D2A88"/>
    <w:rsid w:val="009D33CC"/>
    <w:rsid w:val="009D3653"/>
    <w:rsid w:val="009D3A13"/>
    <w:rsid w:val="009D3CDB"/>
    <w:rsid w:val="009D4730"/>
    <w:rsid w:val="009D48F5"/>
    <w:rsid w:val="009D4DD6"/>
    <w:rsid w:val="009D54A4"/>
    <w:rsid w:val="009D561F"/>
    <w:rsid w:val="009D579F"/>
    <w:rsid w:val="009D591E"/>
    <w:rsid w:val="009D5EAF"/>
    <w:rsid w:val="009D60FB"/>
    <w:rsid w:val="009D7472"/>
    <w:rsid w:val="009E0493"/>
    <w:rsid w:val="009E05D8"/>
    <w:rsid w:val="009E063E"/>
    <w:rsid w:val="009E2134"/>
    <w:rsid w:val="009E2633"/>
    <w:rsid w:val="009E275E"/>
    <w:rsid w:val="009E29CD"/>
    <w:rsid w:val="009E2C37"/>
    <w:rsid w:val="009E30FE"/>
    <w:rsid w:val="009E3396"/>
    <w:rsid w:val="009E3670"/>
    <w:rsid w:val="009E58C9"/>
    <w:rsid w:val="009E5B85"/>
    <w:rsid w:val="009E5D52"/>
    <w:rsid w:val="009E5EE7"/>
    <w:rsid w:val="009E5FBF"/>
    <w:rsid w:val="009E66F1"/>
    <w:rsid w:val="009E7AD4"/>
    <w:rsid w:val="009E7F67"/>
    <w:rsid w:val="009F06AA"/>
    <w:rsid w:val="009F0961"/>
    <w:rsid w:val="009F0E03"/>
    <w:rsid w:val="009F0F5A"/>
    <w:rsid w:val="009F12FC"/>
    <w:rsid w:val="009F195F"/>
    <w:rsid w:val="009F1EDC"/>
    <w:rsid w:val="009F1F09"/>
    <w:rsid w:val="009F2062"/>
    <w:rsid w:val="009F2092"/>
    <w:rsid w:val="009F221D"/>
    <w:rsid w:val="009F2273"/>
    <w:rsid w:val="009F2F52"/>
    <w:rsid w:val="009F3549"/>
    <w:rsid w:val="009F3BBC"/>
    <w:rsid w:val="009F42DE"/>
    <w:rsid w:val="009F45DB"/>
    <w:rsid w:val="009F48A4"/>
    <w:rsid w:val="009F4B00"/>
    <w:rsid w:val="009F4DAD"/>
    <w:rsid w:val="009F51B1"/>
    <w:rsid w:val="009F6017"/>
    <w:rsid w:val="009F7770"/>
    <w:rsid w:val="00A00054"/>
    <w:rsid w:val="00A00622"/>
    <w:rsid w:val="00A008BB"/>
    <w:rsid w:val="00A00ACC"/>
    <w:rsid w:val="00A00F43"/>
    <w:rsid w:val="00A014F4"/>
    <w:rsid w:val="00A01A21"/>
    <w:rsid w:val="00A01BFC"/>
    <w:rsid w:val="00A0385A"/>
    <w:rsid w:val="00A03A0E"/>
    <w:rsid w:val="00A03E07"/>
    <w:rsid w:val="00A043F2"/>
    <w:rsid w:val="00A04646"/>
    <w:rsid w:val="00A04692"/>
    <w:rsid w:val="00A04843"/>
    <w:rsid w:val="00A04EEA"/>
    <w:rsid w:val="00A05698"/>
    <w:rsid w:val="00A0595F"/>
    <w:rsid w:val="00A05EFD"/>
    <w:rsid w:val="00A068F1"/>
    <w:rsid w:val="00A069FB"/>
    <w:rsid w:val="00A07265"/>
    <w:rsid w:val="00A07340"/>
    <w:rsid w:val="00A07B55"/>
    <w:rsid w:val="00A100EC"/>
    <w:rsid w:val="00A1019A"/>
    <w:rsid w:val="00A105B2"/>
    <w:rsid w:val="00A1123C"/>
    <w:rsid w:val="00A11831"/>
    <w:rsid w:val="00A11AF3"/>
    <w:rsid w:val="00A11C1A"/>
    <w:rsid w:val="00A11F5D"/>
    <w:rsid w:val="00A139BD"/>
    <w:rsid w:val="00A14005"/>
    <w:rsid w:val="00A1415F"/>
    <w:rsid w:val="00A141D8"/>
    <w:rsid w:val="00A14232"/>
    <w:rsid w:val="00A14E65"/>
    <w:rsid w:val="00A14E91"/>
    <w:rsid w:val="00A154BB"/>
    <w:rsid w:val="00A15AA2"/>
    <w:rsid w:val="00A16CFE"/>
    <w:rsid w:val="00A17375"/>
    <w:rsid w:val="00A17E5E"/>
    <w:rsid w:val="00A17EAD"/>
    <w:rsid w:val="00A20057"/>
    <w:rsid w:val="00A2012D"/>
    <w:rsid w:val="00A209CC"/>
    <w:rsid w:val="00A211F8"/>
    <w:rsid w:val="00A212DA"/>
    <w:rsid w:val="00A21DBE"/>
    <w:rsid w:val="00A227E2"/>
    <w:rsid w:val="00A227E3"/>
    <w:rsid w:val="00A22E36"/>
    <w:rsid w:val="00A231A8"/>
    <w:rsid w:val="00A24AB0"/>
    <w:rsid w:val="00A24D13"/>
    <w:rsid w:val="00A253CE"/>
    <w:rsid w:val="00A25C9F"/>
    <w:rsid w:val="00A26C19"/>
    <w:rsid w:val="00A26CF8"/>
    <w:rsid w:val="00A27236"/>
    <w:rsid w:val="00A27EFE"/>
    <w:rsid w:val="00A3001F"/>
    <w:rsid w:val="00A307F0"/>
    <w:rsid w:val="00A310CE"/>
    <w:rsid w:val="00A31270"/>
    <w:rsid w:val="00A31A0F"/>
    <w:rsid w:val="00A31DB4"/>
    <w:rsid w:val="00A327E8"/>
    <w:rsid w:val="00A3307D"/>
    <w:rsid w:val="00A330CC"/>
    <w:rsid w:val="00A336A1"/>
    <w:rsid w:val="00A340D4"/>
    <w:rsid w:val="00A3413A"/>
    <w:rsid w:val="00A341F2"/>
    <w:rsid w:val="00A34252"/>
    <w:rsid w:val="00A34918"/>
    <w:rsid w:val="00A351E8"/>
    <w:rsid w:val="00A353EA"/>
    <w:rsid w:val="00A3580D"/>
    <w:rsid w:val="00A35907"/>
    <w:rsid w:val="00A35EBA"/>
    <w:rsid w:val="00A362F3"/>
    <w:rsid w:val="00A36AA4"/>
    <w:rsid w:val="00A36ABB"/>
    <w:rsid w:val="00A37D1D"/>
    <w:rsid w:val="00A403BF"/>
    <w:rsid w:val="00A40EAC"/>
    <w:rsid w:val="00A415FD"/>
    <w:rsid w:val="00A41CC6"/>
    <w:rsid w:val="00A42CC1"/>
    <w:rsid w:val="00A43139"/>
    <w:rsid w:val="00A43B18"/>
    <w:rsid w:val="00A454B0"/>
    <w:rsid w:val="00A45504"/>
    <w:rsid w:val="00A46183"/>
    <w:rsid w:val="00A4695E"/>
    <w:rsid w:val="00A469AD"/>
    <w:rsid w:val="00A46E45"/>
    <w:rsid w:val="00A47DDC"/>
    <w:rsid w:val="00A50775"/>
    <w:rsid w:val="00A50C4D"/>
    <w:rsid w:val="00A51CA5"/>
    <w:rsid w:val="00A52397"/>
    <w:rsid w:val="00A536CA"/>
    <w:rsid w:val="00A53E71"/>
    <w:rsid w:val="00A53EFA"/>
    <w:rsid w:val="00A54039"/>
    <w:rsid w:val="00A54319"/>
    <w:rsid w:val="00A543E9"/>
    <w:rsid w:val="00A546D1"/>
    <w:rsid w:val="00A54935"/>
    <w:rsid w:val="00A54D57"/>
    <w:rsid w:val="00A55AD9"/>
    <w:rsid w:val="00A562F4"/>
    <w:rsid w:val="00A566C2"/>
    <w:rsid w:val="00A57153"/>
    <w:rsid w:val="00A57201"/>
    <w:rsid w:val="00A576DF"/>
    <w:rsid w:val="00A57D08"/>
    <w:rsid w:val="00A602DC"/>
    <w:rsid w:val="00A6138A"/>
    <w:rsid w:val="00A614F5"/>
    <w:rsid w:val="00A6344C"/>
    <w:rsid w:val="00A637C4"/>
    <w:rsid w:val="00A63A38"/>
    <w:rsid w:val="00A63FCE"/>
    <w:rsid w:val="00A64474"/>
    <w:rsid w:val="00A647AF"/>
    <w:rsid w:val="00A64CB5"/>
    <w:rsid w:val="00A6528F"/>
    <w:rsid w:val="00A65467"/>
    <w:rsid w:val="00A65BFA"/>
    <w:rsid w:val="00A667DF"/>
    <w:rsid w:val="00A67BB1"/>
    <w:rsid w:val="00A701EF"/>
    <w:rsid w:val="00A70D72"/>
    <w:rsid w:val="00A718AD"/>
    <w:rsid w:val="00A72EF4"/>
    <w:rsid w:val="00A73C44"/>
    <w:rsid w:val="00A7464D"/>
    <w:rsid w:val="00A746AE"/>
    <w:rsid w:val="00A75AA1"/>
    <w:rsid w:val="00A76310"/>
    <w:rsid w:val="00A7636C"/>
    <w:rsid w:val="00A7749B"/>
    <w:rsid w:val="00A80B4A"/>
    <w:rsid w:val="00A8142D"/>
    <w:rsid w:val="00A81892"/>
    <w:rsid w:val="00A81E60"/>
    <w:rsid w:val="00A8219C"/>
    <w:rsid w:val="00A821AF"/>
    <w:rsid w:val="00A821C8"/>
    <w:rsid w:val="00A82687"/>
    <w:rsid w:val="00A82F04"/>
    <w:rsid w:val="00A8312D"/>
    <w:rsid w:val="00A83580"/>
    <w:rsid w:val="00A83623"/>
    <w:rsid w:val="00A850D8"/>
    <w:rsid w:val="00A852F9"/>
    <w:rsid w:val="00A855FD"/>
    <w:rsid w:val="00A86A1B"/>
    <w:rsid w:val="00A87079"/>
    <w:rsid w:val="00A87458"/>
    <w:rsid w:val="00A87943"/>
    <w:rsid w:val="00A90E40"/>
    <w:rsid w:val="00A91594"/>
    <w:rsid w:val="00A92554"/>
    <w:rsid w:val="00A925E1"/>
    <w:rsid w:val="00A92909"/>
    <w:rsid w:val="00A92B26"/>
    <w:rsid w:val="00A92CC8"/>
    <w:rsid w:val="00A93296"/>
    <w:rsid w:val="00A939FD"/>
    <w:rsid w:val="00A93A75"/>
    <w:rsid w:val="00A93BD4"/>
    <w:rsid w:val="00A945A9"/>
    <w:rsid w:val="00A9567E"/>
    <w:rsid w:val="00A9575A"/>
    <w:rsid w:val="00A95E2F"/>
    <w:rsid w:val="00A968A4"/>
    <w:rsid w:val="00A978C5"/>
    <w:rsid w:val="00A97B5D"/>
    <w:rsid w:val="00AA04DE"/>
    <w:rsid w:val="00AA0BCE"/>
    <w:rsid w:val="00AA0ED1"/>
    <w:rsid w:val="00AA17D4"/>
    <w:rsid w:val="00AA1998"/>
    <w:rsid w:val="00AA1AAB"/>
    <w:rsid w:val="00AA1FE5"/>
    <w:rsid w:val="00AA23F0"/>
    <w:rsid w:val="00AA2CB5"/>
    <w:rsid w:val="00AA3C19"/>
    <w:rsid w:val="00AA3C6F"/>
    <w:rsid w:val="00AA3D3E"/>
    <w:rsid w:val="00AA438A"/>
    <w:rsid w:val="00AA45BE"/>
    <w:rsid w:val="00AA4E0F"/>
    <w:rsid w:val="00AA4E98"/>
    <w:rsid w:val="00AA5254"/>
    <w:rsid w:val="00AA52BB"/>
    <w:rsid w:val="00AA5470"/>
    <w:rsid w:val="00AA54C0"/>
    <w:rsid w:val="00AA62E0"/>
    <w:rsid w:val="00AA63EE"/>
    <w:rsid w:val="00AA6BA8"/>
    <w:rsid w:val="00AA6FD3"/>
    <w:rsid w:val="00AA70D5"/>
    <w:rsid w:val="00AA71D2"/>
    <w:rsid w:val="00AA72CB"/>
    <w:rsid w:val="00AA730E"/>
    <w:rsid w:val="00AA7A9C"/>
    <w:rsid w:val="00AB0305"/>
    <w:rsid w:val="00AB0EBF"/>
    <w:rsid w:val="00AB2567"/>
    <w:rsid w:val="00AB274A"/>
    <w:rsid w:val="00AB2DFA"/>
    <w:rsid w:val="00AB39FD"/>
    <w:rsid w:val="00AB4112"/>
    <w:rsid w:val="00AB457B"/>
    <w:rsid w:val="00AB4871"/>
    <w:rsid w:val="00AB50AC"/>
    <w:rsid w:val="00AB5612"/>
    <w:rsid w:val="00AB594E"/>
    <w:rsid w:val="00AB6D31"/>
    <w:rsid w:val="00AB6DCE"/>
    <w:rsid w:val="00AB774D"/>
    <w:rsid w:val="00AB7968"/>
    <w:rsid w:val="00AC0F16"/>
    <w:rsid w:val="00AC1078"/>
    <w:rsid w:val="00AC1528"/>
    <w:rsid w:val="00AC1FB0"/>
    <w:rsid w:val="00AC202D"/>
    <w:rsid w:val="00AC21B6"/>
    <w:rsid w:val="00AC2362"/>
    <w:rsid w:val="00AC2996"/>
    <w:rsid w:val="00AC339E"/>
    <w:rsid w:val="00AC364C"/>
    <w:rsid w:val="00AC3FBB"/>
    <w:rsid w:val="00AC4088"/>
    <w:rsid w:val="00AC41D5"/>
    <w:rsid w:val="00AC4B4A"/>
    <w:rsid w:val="00AC4FC8"/>
    <w:rsid w:val="00AC5356"/>
    <w:rsid w:val="00AC5B4B"/>
    <w:rsid w:val="00AC5B87"/>
    <w:rsid w:val="00AC61A3"/>
    <w:rsid w:val="00AC6783"/>
    <w:rsid w:val="00AC6ABB"/>
    <w:rsid w:val="00AC6B6A"/>
    <w:rsid w:val="00AC7C39"/>
    <w:rsid w:val="00AC7F53"/>
    <w:rsid w:val="00AD09F2"/>
    <w:rsid w:val="00AD15EB"/>
    <w:rsid w:val="00AD1A4C"/>
    <w:rsid w:val="00AD290F"/>
    <w:rsid w:val="00AD4230"/>
    <w:rsid w:val="00AD454C"/>
    <w:rsid w:val="00AD45C6"/>
    <w:rsid w:val="00AD4603"/>
    <w:rsid w:val="00AD4AFA"/>
    <w:rsid w:val="00AD4E2D"/>
    <w:rsid w:val="00AD4F26"/>
    <w:rsid w:val="00AD4F53"/>
    <w:rsid w:val="00AD5763"/>
    <w:rsid w:val="00AD5938"/>
    <w:rsid w:val="00AD5DAD"/>
    <w:rsid w:val="00AD5DEC"/>
    <w:rsid w:val="00AD6845"/>
    <w:rsid w:val="00AD6F14"/>
    <w:rsid w:val="00AD7893"/>
    <w:rsid w:val="00AD79E1"/>
    <w:rsid w:val="00AD7EA4"/>
    <w:rsid w:val="00AE1483"/>
    <w:rsid w:val="00AE16C2"/>
    <w:rsid w:val="00AE24CD"/>
    <w:rsid w:val="00AE294F"/>
    <w:rsid w:val="00AE2AAD"/>
    <w:rsid w:val="00AE417F"/>
    <w:rsid w:val="00AE5011"/>
    <w:rsid w:val="00AE59E3"/>
    <w:rsid w:val="00AE61D3"/>
    <w:rsid w:val="00AE7F57"/>
    <w:rsid w:val="00AF0A87"/>
    <w:rsid w:val="00AF1A48"/>
    <w:rsid w:val="00AF24FA"/>
    <w:rsid w:val="00AF2BB7"/>
    <w:rsid w:val="00AF2C20"/>
    <w:rsid w:val="00AF453A"/>
    <w:rsid w:val="00AF4C19"/>
    <w:rsid w:val="00AF4FD2"/>
    <w:rsid w:val="00AF5802"/>
    <w:rsid w:val="00AF5F82"/>
    <w:rsid w:val="00AF69C9"/>
    <w:rsid w:val="00AF7F55"/>
    <w:rsid w:val="00AF7FEA"/>
    <w:rsid w:val="00B01198"/>
    <w:rsid w:val="00B023D2"/>
    <w:rsid w:val="00B02496"/>
    <w:rsid w:val="00B02C47"/>
    <w:rsid w:val="00B0371D"/>
    <w:rsid w:val="00B038C8"/>
    <w:rsid w:val="00B03D2C"/>
    <w:rsid w:val="00B04164"/>
    <w:rsid w:val="00B057A4"/>
    <w:rsid w:val="00B05B70"/>
    <w:rsid w:val="00B05F8F"/>
    <w:rsid w:val="00B06293"/>
    <w:rsid w:val="00B075DC"/>
    <w:rsid w:val="00B078BA"/>
    <w:rsid w:val="00B07992"/>
    <w:rsid w:val="00B079CC"/>
    <w:rsid w:val="00B07FBE"/>
    <w:rsid w:val="00B11964"/>
    <w:rsid w:val="00B11E6A"/>
    <w:rsid w:val="00B11E8F"/>
    <w:rsid w:val="00B1246F"/>
    <w:rsid w:val="00B1282C"/>
    <w:rsid w:val="00B13254"/>
    <w:rsid w:val="00B13AA7"/>
    <w:rsid w:val="00B13AC1"/>
    <w:rsid w:val="00B140D6"/>
    <w:rsid w:val="00B14E9D"/>
    <w:rsid w:val="00B151F4"/>
    <w:rsid w:val="00B16B3E"/>
    <w:rsid w:val="00B1759E"/>
    <w:rsid w:val="00B17782"/>
    <w:rsid w:val="00B17A75"/>
    <w:rsid w:val="00B17BD2"/>
    <w:rsid w:val="00B20FEC"/>
    <w:rsid w:val="00B21A4D"/>
    <w:rsid w:val="00B21F7A"/>
    <w:rsid w:val="00B23ECB"/>
    <w:rsid w:val="00B2492B"/>
    <w:rsid w:val="00B257BE"/>
    <w:rsid w:val="00B2620C"/>
    <w:rsid w:val="00B263ED"/>
    <w:rsid w:val="00B26553"/>
    <w:rsid w:val="00B26583"/>
    <w:rsid w:val="00B26C3C"/>
    <w:rsid w:val="00B26FF6"/>
    <w:rsid w:val="00B27568"/>
    <w:rsid w:val="00B30310"/>
    <w:rsid w:val="00B30E91"/>
    <w:rsid w:val="00B311FB"/>
    <w:rsid w:val="00B31E34"/>
    <w:rsid w:val="00B3214C"/>
    <w:rsid w:val="00B3261A"/>
    <w:rsid w:val="00B329E5"/>
    <w:rsid w:val="00B32B2F"/>
    <w:rsid w:val="00B32D6C"/>
    <w:rsid w:val="00B32EFC"/>
    <w:rsid w:val="00B336B5"/>
    <w:rsid w:val="00B34360"/>
    <w:rsid w:val="00B35559"/>
    <w:rsid w:val="00B36659"/>
    <w:rsid w:val="00B3692B"/>
    <w:rsid w:val="00B36AFB"/>
    <w:rsid w:val="00B375C5"/>
    <w:rsid w:val="00B40184"/>
    <w:rsid w:val="00B40238"/>
    <w:rsid w:val="00B40377"/>
    <w:rsid w:val="00B4095B"/>
    <w:rsid w:val="00B40E28"/>
    <w:rsid w:val="00B411FB"/>
    <w:rsid w:val="00B421F5"/>
    <w:rsid w:val="00B4259E"/>
    <w:rsid w:val="00B43107"/>
    <w:rsid w:val="00B43904"/>
    <w:rsid w:val="00B43938"/>
    <w:rsid w:val="00B43D1D"/>
    <w:rsid w:val="00B43F43"/>
    <w:rsid w:val="00B4417C"/>
    <w:rsid w:val="00B445D7"/>
    <w:rsid w:val="00B44CD8"/>
    <w:rsid w:val="00B459E9"/>
    <w:rsid w:val="00B45B8C"/>
    <w:rsid w:val="00B45FD8"/>
    <w:rsid w:val="00B460AA"/>
    <w:rsid w:val="00B4683F"/>
    <w:rsid w:val="00B46A9B"/>
    <w:rsid w:val="00B46F99"/>
    <w:rsid w:val="00B479F8"/>
    <w:rsid w:val="00B47B4B"/>
    <w:rsid w:val="00B50548"/>
    <w:rsid w:val="00B50BCA"/>
    <w:rsid w:val="00B50E17"/>
    <w:rsid w:val="00B50F10"/>
    <w:rsid w:val="00B51435"/>
    <w:rsid w:val="00B5169D"/>
    <w:rsid w:val="00B51D4E"/>
    <w:rsid w:val="00B51F1E"/>
    <w:rsid w:val="00B52D1F"/>
    <w:rsid w:val="00B536EE"/>
    <w:rsid w:val="00B536F5"/>
    <w:rsid w:val="00B53DD4"/>
    <w:rsid w:val="00B543C5"/>
    <w:rsid w:val="00B54984"/>
    <w:rsid w:val="00B54D13"/>
    <w:rsid w:val="00B55468"/>
    <w:rsid w:val="00B56082"/>
    <w:rsid w:val="00B56D7A"/>
    <w:rsid w:val="00B573B5"/>
    <w:rsid w:val="00B6101A"/>
    <w:rsid w:val="00B61405"/>
    <w:rsid w:val="00B6156C"/>
    <w:rsid w:val="00B61C6D"/>
    <w:rsid w:val="00B62215"/>
    <w:rsid w:val="00B626B3"/>
    <w:rsid w:val="00B629E9"/>
    <w:rsid w:val="00B62E94"/>
    <w:rsid w:val="00B63078"/>
    <w:rsid w:val="00B632CB"/>
    <w:rsid w:val="00B63408"/>
    <w:rsid w:val="00B634EA"/>
    <w:rsid w:val="00B63517"/>
    <w:rsid w:val="00B6351A"/>
    <w:rsid w:val="00B63C7E"/>
    <w:rsid w:val="00B63D18"/>
    <w:rsid w:val="00B64A4D"/>
    <w:rsid w:val="00B64EA1"/>
    <w:rsid w:val="00B65074"/>
    <w:rsid w:val="00B657CB"/>
    <w:rsid w:val="00B663D2"/>
    <w:rsid w:val="00B67454"/>
    <w:rsid w:val="00B679A9"/>
    <w:rsid w:val="00B67FE4"/>
    <w:rsid w:val="00B7088F"/>
    <w:rsid w:val="00B71661"/>
    <w:rsid w:val="00B71C4F"/>
    <w:rsid w:val="00B7267B"/>
    <w:rsid w:val="00B72764"/>
    <w:rsid w:val="00B73185"/>
    <w:rsid w:val="00B740CD"/>
    <w:rsid w:val="00B7465D"/>
    <w:rsid w:val="00B74851"/>
    <w:rsid w:val="00B75C92"/>
    <w:rsid w:val="00B75E75"/>
    <w:rsid w:val="00B75FB7"/>
    <w:rsid w:val="00B7618C"/>
    <w:rsid w:val="00B76796"/>
    <w:rsid w:val="00B76D54"/>
    <w:rsid w:val="00B77334"/>
    <w:rsid w:val="00B774AB"/>
    <w:rsid w:val="00B80F80"/>
    <w:rsid w:val="00B81CDD"/>
    <w:rsid w:val="00B8223B"/>
    <w:rsid w:val="00B829CD"/>
    <w:rsid w:val="00B82F32"/>
    <w:rsid w:val="00B839DC"/>
    <w:rsid w:val="00B83B8F"/>
    <w:rsid w:val="00B844B5"/>
    <w:rsid w:val="00B85285"/>
    <w:rsid w:val="00B85D15"/>
    <w:rsid w:val="00B869F1"/>
    <w:rsid w:val="00B87510"/>
    <w:rsid w:val="00B87A52"/>
    <w:rsid w:val="00B87D19"/>
    <w:rsid w:val="00B90078"/>
    <w:rsid w:val="00B900EB"/>
    <w:rsid w:val="00B90131"/>
    <w:rsid w:val="00B910C0"/>
    <w:rsid w:val="00B915AA"/>
    <w:rsid w:val="00B92349"/>
    <w:rsid w:val="00B92A89"/>
    <w:rsid w:val="00B92B5B"/>
    <w:rsid w:val="00B93078"/>
    <w:rsid w:val="00B93774"/>
    <w:rsid w:val="00B9439D"/>
    <w:rsid w:val="00B943B6"/>
    <w:rsid w:val="00B9454D"/>
    <w:rsid w:val="00B94ABB"/>
    <w:rsid w:val="00B9505D"/>
    <w:rsid w:val="00B953A3"/>
    <w:rsid w:val="00B95450"/>
    <w:rsid w:val="00B95C21"/>
    <w:rsid w:val="00B971DF"/>
    <w:rsid w:val="00B97660"/>
    <w:rsid w:val="00BA13B4"/>
    <w:rsid w:val="00BA3078"/>
    <w:rsid w:val="00BA3820"/>
    <w:rsid w:val="00BA3948"/>
    <w:rsid w:val="00BA3C67"/>
    <w:rsid w:val="00BA3D5B"/>
    <w:rsid w:val="00BA43A5"/>
    <w:rsid w:val="00BA478E"/>
    <w:rsid w:val="00BA4B2E"/>
    <w:rsid w:val="00BA4B96"/>
    <w:rsid w:val="00BA526A"/>
    <w:rsid w:val="00BA5CFF"/>
    <w:rsid w:val="00BA6098"/>
    <w:rsid w:val="00BA63D5"/>
    <w:rsid w:val="00BA684A"/>
    <w:rsid w:val="00BA6B48"/>
    <w:rsid w:val="00BA6C83"/>
    <w:rsid w:val="00BA7D1E"/>
    <w:rsid w:val="00BB0477"/>
    <w:rsid w:val="00BB061A"/>
    <w:rsid w:val="00BB11A2"/>
    <w:rsid w:val="00BB15F4"/>
    <w:rsid w:val="00BB164A"/>
    <w:rsid w:val="00BB1B99"/>
    <w:rsid w:val="00BB1DA8"/>
    <w:rsid w:val="00BB1FF2"/>
    <w:rsid w:val="00BB49A4"/>
    <w:rsid w:val="00BB4AF6"/>
    <w:rsid w:val="00BB4B2C"/>
    <w:rsid w:val="00BB4FBC"/>
    <w:rsid w:val="00BB69EA"/>
    <w:rsid w:val="00BB6C3A"/>
    <w:rsid w:val="00BB7E3D"/>
    <w:rsid w:val="00BC0005"/>
    <w:rsid w:val="00BC0312"/>
    <w:rsid w:val="00BC034B"/>
    <w:rsid w:val="00BC0391"/>
    <w:rsid w:val="00BC188E"/>
    <w:rsid w:val="00BC1A60"/>
    <w:rsid w:val="00BC1ADA"/>
    <w:rsid w:val="00BC2809"/>
    <w:rsid w:val="00BC2C97"/>
    <w:rsid w:val="00BC2D64"/>
    <w:rsid w:val="00BC4471"/>
    <w:rsid w:val="00BC5133"/>
    <w:rsid w:val="00BC513F"/>
    <w:rsid w:val="00BC5835"/>
    <w:rsid w:val="00BC6862"/>
    <w:rsid w:val="00BC6FA7"/>
    <w:rsid w:val="00BC70AA"/>
    <w:rsid w:val="00BC719F"/>
    <w:rsid w:val="00BD047F"/>
    <w:rsid w:val="00BD1B5F"/>
    <w:rsid w:val="00BD231E"/>
    <w:rsid w:val="00BD256B"/>
    <w:rsid w:val="00BD25DE"/>
    <w:rsid w:val="00BD26A7"/>
    <w:rsid w:val="00BD273C"/>
    <w:rsid w:val="00BD2C2C"/>
    <w:rsid w:val="00BD2E72"/>
    <w:rsid w:val="00BD307C"/>
    <w:rsid w:val="00BD3518"/>
    <w:rsid w:val="00BD3D52"/>
    <w:rsid w:val="00BD3E53"/>
    <w:rsid w:val="00BD3F40"/>
    <w:rsid w:val="00BD3FDA"/>
    <w:rsid w:val="00BD491C"/>
    <w:rsid w:val="00BD4E8F"/>
    <w:rsid w:val="00BD5424"/>
    <w:rsid w:val="00BD56D8"/>
    <w:rsid w:val="00BD598F"/>
    <w:rsid w:val="00BD60E1"/>
    <w:rsid w:val="00BD6965"/>
    <w:rsid w:val="00BD6D05"/>
    <w:rsid w:val="00BD74EA"/>
    <w:rsid w:val="00BD7AF6"/>
    <w:rsid w:val="00BD7FAB"/>
    <w:rsid w:val="00BE005F"/>
    <w:rsid w:val="00BE0241"/>
    <w:rsid w:val="00BE036B"/>
    <w:rsid w:val="00BE07F1"/>
    <w:rsid w:val="00BE0ED5"/>
    <w:rsid w:val="00BE13F4"/>
    <w:rsid w:val="00BE179B"/>
    <w:rsid w:val="00BE1C79"/>
    <w:rsid w:val="00BE2B2B"/>
    <w:rsid w:val="00BE38CE"/>
    <w:rsid w:val="00BE3BA7"/>
    <w:rsid w:val="00BE3DBE"/>
    <w:rsid w:val="00BE4157"/>
    <w:rsid w:val="00BE61A7"/>
    <w:rsid w:val="00BE624A"/>
    <w:rsid w:val="00BE659E"/>
    <w:rsid w:val="00BE70BB"/>
    <w:rsid w:val="00BE727E"/>
    <w:rsid w:val="00BE7A6A"/>
    <w:rsid w:val="00BE7C03"/>
    <w:rsid w:val="00BF0382"/>
    <w:rsid w:val="00BF06F5"/>
    <w:rsid w:val="00BF0BB0"/>
    <w:rsid w:val="00BF3447"/>
    <w:rsid w:val="00BF3669"/>
    <w:rsid w:val="00BF3BBA"/>
    <w:rsid w:val="00BF43E4"/>
    <w:rsid w:val="00BF56E3"/>
    <w:rsid w:val="00BF669F"/>
    <w:rsid w:val="00BF69C5"/>
    <w:rsid w:val="00BF6B03"/>
    <w:rsid w:val="00BF720E"/>
    <w:rsid w:val="00BF7349"/>
    <w:rsid w:val="00BF7563"/>
    <w:rsid w:val="00BF765F"/>
    <w:rsid w:val="00BF7897"/>
    <w:rsid w:val="00C00854"/>
    <w:rsid w:val="00C00AEB"/>
    <w:rsid w:val="00C01763"/>
    <w:rsid w:val="00C01786"/>
    <w:rsid w:val="00C01929"/>
    <w:rsid w:val="00C01E0D"/>
    <w:rsid w:val="00C01E11"/>
    <w:rsid w:val="00C02F53"/>
    <w:rsid w:val="00C0360F"/>
    <w:rsid w:val="00C04765"/>
    <w:rsid w:val="00C0478C"/>
    <w:rsid w:val="00C052C6"/>
    <w:rsid w:val="00C052D6"/>
    <w:rsid w:val="00C066AD"/>
    <w:rsid w:val="00C06D06"/>
    <w:rsid w:val="00C07690"/>
    <w:rsid w:val="00C10514"/>
    <w:rsid w:val="00C10A45"/>
    <w:rsid w:val="00C113C1"/>
    <w:rsid w:val="00C11493"/>
    <w:rsid w:val="00C11942"/>
    <w:rsid w:val="00C12D46"/>
    <w:rsid w:val="00C131C3"/>
    <w:rsid w:val="00C13F5B"/>
    <w:rsid w:val="00C14534"/>
    <w:rsid w:val="00C14566"/>
    <w:rsid w:val="00C1527C"/>
    <w:rsid w:val="00C15965"/>
    <w:rsid w:val="00C15B03"/>
    <w:rsid w:val="00C16046"/>
    <w:rsid w:val="00C16357"/>
    <w:rsid w:val="00C1673A"/>
    <w:rsid w:val="00C167F1"/>
    <w:rsid w:val="00C16B71"/>
    <w:rsid w:val="00C16B90"/>
    <w:rsid w:val="00C16DE3"/>
    <w:rsid w:val="00C17448"/>
    <w:rsid w:val="00C17CF6"/>
    <w:rsid w:val="00C17F2B"/>
    <w:rsid w:val="00C2001E"/>
    <w:rsid w:val="00C20189"/>
    <w:rsid w:val="00C2034A"/>
    <w:rsid w:val="00C209D0"/>
    <w:rsid w:val="00C21C42"/>
    <w:rsid w:val="00C21D32"/>
    <w:rsid w:val="00C22632"/>
    <w:rsid w:val="00C22A1B"/>
    <w:rsid w:val="00C22ABF"/>
    <w:rsid w:val="00C22F08"/>
    <w:rsid w:val="00C23667"/>
    <w:rsid w:val="00C23920"/>
    <w:rsid w:val="00C23F61"/>
    <w:rsid w:val="00C24310"/>
    <w:rsid w:val="00C244BC"/>
    <w:rsid w:val="00C2466D"/>
    <w:rsid w:val="00C24FB0"/>
    <w:rsid w:val="00C25E93"/>
    <w:rsid w:val="00C25FD0"/>
    <w:rsid w:val="00C26773"/>
    <w:rsid w:val="00C2687E"/>
    <w:rsid w:val="00C27129"/>
    <w:rsid w:val="00C27309"/>
    <w:rsid w:val="00C274D1"/>
    <w:rsid w:val="00C276A9"/>
    <w:rsid w:val="00C27CB3"/>
    <w:rsid w:val="00C27DAD"/>
    <w:rsid w:val="00C30CA0"/>
    <w:rsid w:val="00C3112E"/>
    <w:rsid w:val="00C31EE7"/>
    <w:rsid w:val="00C321D5"/>
    <w:rsid w:val="00C3224A"/>
    <w:rsid w:val="00C3276C"/>
    <w:rsid w:val="00C3288F"/>
    <w:rsid w:val="00C328F4"/>
    <w:rsid w:val="00C32FA8"/>
    <w:rsid w:val="00C333D3"/>
    <w:rsid w:val="00C33D34"/>
    <w:rsid w:val="00C34162"/>
    <w:rsid w:val="00C34713"/>
    <w:rsid w:val="00C357E8"/>
    <w:rsid w:val="00C359AB"/>
    <w:rsid w:val="00C3678C"/>
    <w:rsid w:val="00C367D9"/>
    <w:rsid w:val="00C36A4E"/>
    <w:rsid w:val="00C41896"/>
    <w:rsid w:val="00C41E5A"/>
    <w:rsid w:val="00C42A58"/>
    <w:rsid w:val="00C439F3"/>
    <w:rsid w:val="00C43EAD"/>
    <w:rsid w:val="00C44BF7"/>
    <w:rsid w:val="00C457F1"/>
    <w:rsid w:val="00C458CA"/>
    <w:rsid w:val="00C45A34"/>
    <w:rsid w:val="00C460D8"/>
    <w:rsid w:val="00C4661A"/>
    <w:rsid w:val="00C4677B"/>
    <w:rsid w:val="00C46A10"/>
    <w:rsid w:val="00C475FF"/>
    <w:rsid w:val="00C479D3"/>
    <w:rsid w:val="00C50512"/>
    <w:rsid w:val="00C50588"/>
    <w:rsid w:val="00C508F9"/>
    <w:rsid w:val="00C50A9D"/>
    <w:rsid w:val="00C50D67"/>
    <w:rsid w:val="00C50F8F"/>
    <w:rsid w:val="00C5118E"/>
    <w:rsid w:val="00C529AA"/>
    <w:rsid w:val="00C52AA7"/>
    <w:rsid w:val="00C53431"/>
    <w:rsid w:val="00C539A9"/>
    <w:rsid w:val="00C53FE5"/>
    <w:rsid w:val="00C545F5"/>
    <w:rsid w:val="00C551A4"/>
    <w:rsid w:val="00C55742"/>
    <w:rsid w:val="00C5580F"/>
    <w:rsid w:val="00C55A4A"/>
    <w:rsid w:val="00C55BF4"/>
    <w:rsid w:val="00C5679A"/>
    <w:rsid w:val="00C569C0"/>
    <w:rsid w:val="00C575C1"/>
    <w:rsid w:val="00C57C01"/>
    <w:rsid w:val="00C6012D"/>
    <w:rsid w:val="00C6020E"/>
    <w:rsid w:val="00C60D76"/>
    <w:rsid w:val="00C6110C"/>
    <w:rsid w:val="00C6128B"/>
    <w:rsid w:val="00C61420"/>
    <w:rsid w:val="00C6276D"/>
    <w:rsid w:val="00C62A14"/>
    <w:rsid w:val="00C62DD8"/>
    <w:rsid w:val="00C62EAA"/>
    <w:rsid w:val="00C63A72"/>
    <w:rsid w:val="00C6465D"/>
    <w:rsid w:val="00C64667"/>
    <w:rsid w:val="00C65673"/>
    <w:rsid w:val="00C658CF"/>
    <w:rsid w:val="00C65BDA"/>
    <w:rsid w:val="00C664DA"/>
    <w:rsid w:val="00C6748F"/>
    <w:rsid w:val="00C678D8"/>
    <w:rsid w:val="00C6794F"/>
    <w:rsid w:val="00C679D2"/>
    <w:rsid w:val="00C70D8D"/>
    <w:rsid w:val="00C72025"/>
    <w:rsid w:val="00C72EB8"/>
    <w:rsid w:val="00C7322B"/>
    <w:rsid w:val="00C7371B"/>
    <w:rsid w:val="00C739CA"/>
    <w:rsid w:val="00C739F9"/>
    <w:rsid w:val="00C74B95"/>
    <w:rsid w:val="00C7560B"/>
    <w:rsid w:val="00C75783"/>
    <w:rsid w:val="00C7599B"/>
    <w:rsid w:val="00C75BE3"/>
    <w:rsid w:val="00C75C21"/>
    <w:rsid w:val="00C767B2"/>
    <w:rsid w:val="00C76ABC"/>
    <w:rsid w:val="00C76E04"/>
    <w:rsid w:val="00C76EF0"/>
    <w:rsid w:val="00C7703F"/>
    <w:rsid w:val="00C77CC2"/>
    <w:rsid w:val="00C8071C"/>
    <w:rsid w:val="00C80FCA"/>
    <w:rsid w:val="00C81278"/>
    <w:rsid w:val="00C8171D"/>
    <w:rsid w:val="00C82037"/>
    <w:rsid w:val="00C8277F"/>
    <w:rsid w:val="00C844D2"/>
    <w:rsid w:val="00C848B9"/>
    <w:rsid w:val="00C848EB"/>
    <w:rsid w:val="00C84C22"/>
    <w:rsid w:val="00C85961"/>
    <w:rsid w:val="00C86F7B"/>
    <w:rsid w:val="00C870DC"/>
    <w:rsid w:val="00C87E6E"/>
    <w:rsid w:val="00C90721"/>
    <w:rsid w:val="00C909E0"/>
    <w:rsid w:val="00C90C1B"/>
    <w:rsid w:val="00C91E3B"/>
    <w:rsid w:val="00C92923"/>
    <w:rsid w:val="00C936B0"/>
    <w:rsid w:val="00C9419B"/>
    <w:rsid w:val="00C94901"/>
    <w:rsid w:val="00C95132"/>
    <w:rsid w:val="00C952D8"/>
    <w:rsid w:val="00C9560A"/>
    <w:rsid w:val="00C95678"/>
    <w:rsid w:val="00C966F7"/>
    <w:rsid w:val="00C969CF"/>
    <w:rsid w:val="00C97386"/>
    <w:rsid w:val="00C97681"/>
    <w:rsid w:val="00C97C93"/>
    <w:rsid w:val="00C97D2C"/>
    <w:rsid w:val="00C97E03"/>
    <w:rsid w:val="00CA0334"/>
    <w:rsid w:val="00CA0806"/>
    <w:rsid w:val="00CA08D1"/>
    <w:rsid w:val="00CA0E6D"/>
    <w:rsid w:val="00CA168F"/>
    <w:rsid w:val="00CA1A64"/>
    <w:rsid w:val="00CA1B58"/>
    <w:rsid w:val="00CA2587"/>
    <w:rsid w:val="00CA318B"/>
    <w:rsid w:val="00CA36AE"/>
    <w:rsid w:val="00CA3C3D"/>
    <w:rsid w:val="00CA4181"/>
    <w:rsid w:val="00CA5AB7"/>
    <w:rsid w:val="00CA6153"/>
    <w:rsid w:val="00CA7AA4"/>
    <w:rsid w:val="00CB02B3"/>
    <w:rsid w:val="00CB08E7"/>
    <w:rsid w:val="00CB12F4"/>
    <w:rsid w:val="00CB17D4"/>
    <w:rsid w:val="00CB2269"/>
    <w:rsid w:val="00CB2B40"/>
    <w:rsid w:val="00CB401E"/>
    <w:rsid w:val="00CB426D"/>
    <w:rsid w:val="00CB47A9"/>
    <w:rsid w:val="00CB59F3"/>
    <w:rsid w:val="00CB5BD0"/>
    <w:rsid w:val="00CB659A"/>
    <w:rsid w:val="00CB76A4"/>
    <w:rsid w:val="00CB790B"/>
    <w:rsid w:val="00CC02E5"/>
    <w:rsid w:val="00CC07E3"/>
    <w:rsid w:val="00CC0AFE"/>
    <w:rsid w:val="00CC160E"/>
    <w:rsid w:val="00CC17E6"/>
    <w:rsid w:val="00CC1A7D"/>
    <w:rsid w:val="00CC1BD7"/>
    <w:rsid w:val="00CC1F6B"/>
    <w:rsid w:val="00CC1FF4"/>
    <w:rsid w:val="00CC2260"/>
    <w:rsid w:val="00CC27F8"/>
    <w:rsid w:val="00CC3002"/>
    <w:rsid w:val="00CC30CE"/>
    <w:rsid w:val="00CC4B63"/>
    <w:rsid w:val="00CC4C77"/>
    <w:rsid w:val="00CC5B9F"/>
    <w:rsid w:val="00CC62B8"/>
    <w:rsid w:val="00CC7380"/>
    <w:rsid w:val="00CC762F"/>
    <w:rsid w:val="00CC7822"/>
    <w:rsid w:val="00CC7952"/>
    <w:rsid w:val="00CC7990"/>
    <w:rsid w:val="00CC7B9E"/>
    <w:rsid w:val="00CC7D89"/>
    <w:rsid w:val="00CD04E5"/>
    <w:rsid w:val="00CD06E3"/>
    <w:rsid w:val="00CD119D"/>
    <w:rsid w:val="00CD1E9F"/>
    <w:rsid w:val="00CD21CA"/>
    <w:rsid w:val="00CD23CB"/>
    <w:rsid w:val="00CD29C4"/>
    <w:rsid w:val="00CD2CAB"/>
    <w:rsid w:val="00CD3CB9"/>
    <w:rsid w:val="00CD3DD7"/>
    <w:rsid w:val="00CD461B"/>
    <w:rsid w:val="00CD490F"/>
    <w:rsid w:val="00CD4AB9"/>
    <w:rsid w:val="00CD58D7"/>
    <w:rsid w:val="00CD5AEF"/>
    <w:rsid w:val="00CD6CE3"/>
    <w:rsid w:val="00CD6F31"/>
    <w:rsid w:val="00CD77E0"/>
    <w:rsid w:val="00CD780A"/>
    <w:rsid w:val="00CD7C92"/>
    <w:rsid w:val="00CE040E"/>
    <w:rsid w:val="00CE0421"/>
    <w:rsid w:val="00CE077F"/>
    <w:rsid w:val="00CE0854"/>
    <w:rsid w:val="00CE1370"/>
    <w:rsid w:val="00CE2461"/>
    <w:rsid w:val="00CE5171"/>
    <w:rsid w:val="00CE5CC5"/>
    <w:rsid w:val="00CE6075"/>
    <w:rsid w:val="00CE74AE"/>
    <w:rsid w:val="00CF048E"/>
    <w:rsid w:val="00CF0620"/>
    <w:rsid w:val="00CF072A"/>
    <w:rsid w:val="00CF0AAC"/>
    <w:rsid w:val="00CF0E59"/>
    <w:rsid w:val="00CF217F"/>
    <w:rsid w:val="00CF21B5"/>
    <w:rsid w:val="00CF33F2"/>
    <w:rsid w:val="00CF39DE"/>
    <w:rsid w:val="00CF3A5C"/>
    <w:rsid w:val="00CF4147"/>
    <w:rsid w:val="00CF42CC"/>
    <w:rsid w:val="00CF56F9"/>
    <w:rsid w:val="00CF58F1"/>
    <w:rsid w:val="00CF5D01"/>
    <w:rsid w:val="00CF61C4"/>
    <w:rsid w:val="00D0129A"/>
    <w:rsid w:val="00D01C87"/>
    <w:rsid w:val="00D01D55"/>
    <w:rsid w:val="00D01DB6"/>
    <w:rsid w:val="00D0237B"/>
    <w:rsid w:val="00D02E94"/>
    <w:rsid w:val="00D03298"/>
    <w:rsid w:val="00D037BE"/>
    <w:rsid w:val="00D04125"/>
    <w:rsid w:val="00D045D9"/>
    <w:rsid w:val="00D04633"/>
    <w:rsid w:val="00D067DE"/>
    <w:rsid w:val="00D07328"/>
    <w:rsid w:val="00D07352"/>
    <w:rsid w:val="00D079F3"/>
    <w:rsid w:val="00D07A03"/>
    <w:rsid w:val="00D07FEC"/>
    <w:rsid w:val="00D102B2"/>
    <w:rsid w:val="00D108A7"/>
    <w:rsid w:val="00D10D4B"/>
    <w:rsid w:val="00D11466"/>
    <w:rsid w:val="00D1166E"/>
    <w:rsid w:val="00D130E2"/>
    <w:rsid w:val="00D14836"/>
    <w:rsid w:val="00D1492B"/>
    <w:rsid w:val="00D14AB4"/>
    <w:rsid w:val="00D14F52"/>
    <w:rsid w:val="00D150E5"/>
    <w:rsid w:val="00D1541C"/>
    <w:rsid w:val="00D15D39"/>
    <w:rsid w:val="00D1682F"/>
    <w:rsid w:val="00D16E49"/>
    <w:rsid w:val="00D17281"/>
    <w:rsid w:val="00D17BD6"/>
    <w:rsid w:val="00D2015B"/>
    <w:rsid w:val="00D202EF"/>
    <w:rsid w:val="00D20A8B"/>
    <w:rsid w:val="00D20B00"/>
    <w:rsid w:val="00D211C2"/>
    <w:rsid w:val="00D2182C"/>
    <w:rsid w:val="00D21A13"/>
    <w:rsid w:val="00D21E23"/>
    <w:rsid w:val="00D22A79"/>
    <w:rsid w:val="00D233F7"/>
    <w:rsid w:val="00D240CA"/>
    <w:rsid w:val="00D24321"/>
    <w:rsid w:val="00D259C7"/>
    <w:rsid w:val="00D25B59"/>
    <w:rsid w:val="00D26521"/>
    <w:rsid w:val="00D26885"/>
    <w:rsid w:val="00D26B25"/>
    <w:rsid w:val="00D27975"/>
    <w:rsid w:val="00D27FE5"/>
    <w:rsid w:val="00D30ABB"/>
    <w:rsid w:val="00D31151"/>
    <w:rsid w:val="00D31590"/>
    <w:rsid w:val="00D323C2"/>
    <w:rsid w:val="00D32A6F"/>
    <w:rsid w:val="00D332C8"/>
    <w:rsid w:val="00D334E7"/>
    <w:rsid w:val="00D33E79"/>
    <w:rsid w:val="00D3455D"/>
    <w:rsid w:val="00D34F37"/>
    <w:rsid w:val="00D351CF"/>
    <w:rsid w:val="00D35272"/>
    <w:rsid w:val="00D35E22"/>
    <w:rsid w:val="00D362D8"/>
    <w:rsid w:val="00D36DBF"/>
    <w:rsid w:val="00D370B1"/>
    <w:rsid w:val="00D3783F"/>
    <w:rsid w:val="00D37CC5"/>
    <w:rsid w:val="00D40178"/>
    <w:rsid w:val="00D404C4"/>
    <w:rsid w:val="00D40637"/>
    <w:rsid w:val="00D407B6"/>
    <w:rsid w:val="00D40867"/>
    <w:rsid w:val="00D408AC"/>
    <w:rsid w:val="00D40A0F"/>
    <w:rsid w:val="00D411D6"/>
    <w:rsid w:val="00D41499"/>
    <w:rsid w:val="00D41834"/>
    <w:rsid w:val="00D41DC4"/>
    <w:rsid w:val="00D420E6"/>
    <w:rsid w:val="00D42A71"/>
    <w:rsid w:val="00D44380"/>
    <w:rsid w:val="00D44D68"/>
    <w:rsid w:val="00D45148"/>
    <w:rsid w:val="00D4548E"/>
    <w:rsid w:val="00D45495"/>
    <w:rsid w:val="00D45D03"/>
    <w:rsid w:val="00D45F1B"/>
    <w:rsid w:val="00D46431"/>
    <w:rsid w:val="00D47349"/>
    <w:rsid w:val="00D47612"/>
    <w:rsid w:val="00D47B32"/>
    <w:rsid w:val="00D51198"/>
    <w:rsid w:val="00D517C8"/>
    <w:rsid w:val="00D51AD4"/>
    <w:rsid w:val="00D51F24"/>
    <w:rsid w:val="00D521F8"/>
    <w:rsid w:val="00D526CC"/>
    <w:rsid w:val="00D52D58"/>
    <w:rsid w:val="00D53096"/>
    <w:rsid w:val="00D5361B"/>
    <w:rsid w:val="00D53870"/>
    <w:rsid w:val="00D5508B"/>
    <w:rsid w:val="00D5545E"/>
    <w:rsid w:val="00D55B81"/>
    <w:rsid w:val="00D55D57"/>
    <w:rsid w:val="00D55E59"/>
    <w:rsid w:val="00D55EE6"/>
    <w:rsid w:val="00D561F4"/>
    <w:rsid w:val="00D5640A"/>
    <w:rsid w:val="00D564B9"/>
    <w:rsid w:val="00D56983"/>
    <w:rsid w:val="00D56E40"/>
    <w:rsid w:val="00D57461"/>
    <w:rsid w:val="00D57477"/>
    <w:rsid w:val="00D57634"/>
    <w:rsid w:val="00D57EF3"/>
    <w:rsid w:val="00D604EA"/>
    <w:rsid w:val="00D60B35"/>
    <w:rsid w:val="00D61109"/>
    <w:rsid w:val="00D62482"/>
    <w:rsid w:val="00D6288F"/>
    <w:rsid w:val="00D62A20"/>
    <w:rsid w:val="00D631BA"/>
    <w:rsid w:val="00D634F9"/>
    <w:rsid w:val="00D63972"/>
    <w:rsid w:val="00D63A41"/>
    <w:rsid w:val="00D63E4F"/>
    <w:rsid w:val="00D64315"/>
    <w:rsid w:val="00D6453F"/>
    <w:rsid w:val="00D64F43"/>
    <w:rsid w:val="00D65319"/>
    <w:rsid w:val="00D65B81"/>
    <w:rsid w:val="00D660CA"/>
    <w:rsid w:val="00D667EA"/>
    <w:rsid w:val="00D66892"/>
    <w:rsid w:val="00D66DBA"/>
    <w:rsid w:val="00D66E85"/>
    <w:rsid w:val="00D6747C"/>
    <w:rsid w:val="00D67816"/>
    <w:rsid w:val="00D67D96"/>
    <w:rsid w:val="00D70600"/>
    <w:rsid w:val="00D70D81"/>
    <w:rsid w:val="00D711EF"/>
    <w:rsid w:val="00D71371"/>
    <w:rsid w:val="00D71561"/>
    <w:rsid w:val="00D719E7"/>
    <w:rsid w:val="00D72073"/>
    <w:rsid w:val="00D72BAE"/>
    <w:rsid w:val="00D72F5D"/>
    <w:rsid w:val="00D73A4A"/>
    <w:rsid w:val="00D747FD"/>
    <w:rsid w:val="00D750CC"/>
    <w:rsid w:val="00D7600F"/>
    <w:rsid w:val="00D763AE"/>
    <w:rsid w:val="00D764ED"/>
    <w:rsid w:val="00D76EBE"/>
    <w:rsid w:val="00D76EE6"/>
    <w:rsid w:val="00D77169"/>
    <w:rsid w:val="00D80B40"/>
    <w:rsid w:val="00D81CE0"/>
    <w:rsid w:val="00D82078"/>
    <w:rsid w:val="00D82093"/>
    <w:rsid w:val="00D823ED"/>
    <w:rsid w:val="00D82ACE"/>
    <w:rsid w:val="00D82BB1"/>
    <w:rsid w:val="00D843E2"/>
    <w:rsid w:val="00D8469E"/>
    <w:rsid w:val="00D8474B"/>
    <w:rsid w:val="00D84BEA"/>
    <w:rsid w:val="00D859BE"/>
    <w:rsid w:val="00D85E78"/>
    <w:rsid w:val="00D85E7F"/>
    <w:rsid w:val="00D85FE5"/>
    <w:rsid w:val="00D860A4"/>
    <w:rsid w:val="00D864C4"/>
    <w:rsid w:val="00D86B6C"/>
    <w:rsid w:val="00D87F1E"/>
    <w:rsid w:val="00D901F3"/>
    <w:rsid w:val="00D9036E"/>
    <w:rsid w:val="00D90406"/>
    <w:rsid w:val="00D90B47"/>
    <w:rsid w:val="00D90E0E"/>
    <w:rsid w:val="00D91778"/>
    <w:rsid w:val="00D918B3"/>
    <w:rsid w:val="00D91B9C"/>
    <w:rsid w:val="00D91EB1"/>
    <w:rsid w:val="00D93445"/>
    <w:rsid w:val="00D9435C"/>
    <w:rsid w:val="00D95081"/>
    <w:rsid w:val="00D963A5"/>
    <w:rsid w:val="00D96959"/>
    <w:rsid w:val="00D9700C"/>
    <w:rsid w:val="00D97424"/>
    <w:rsid w:val="00D976CA"/>
    <w:rsid w:val="00D979FF"/>
    <w:rsid w:val="00D97F64"/>
    <w:rsid w:val="00DA02F8"/>
    <w:rsid w:val="00DA0940"/>
    <w:rsid w:val="00DA0F68"/>
    <w:rsid w:val="00DA119C"/>
    <w:rsid w:val="00DA1453"/>
    <w:rsid w:val="00DA21EE"/>
    <w:rsid w:val="00DA2F5A"/>
    <w:rsid w:val="00DA32E4"/>
    <w:rsid w:val="00DA411E"/>
    <w:rsid w:val="00DA44E4"/>
    <w:rsid w:val="00DA48F2"/>
    <w:rsid w:val="00DA4A2D"/>
    <w:rsid w:val="00DA4B52"/>
    <w:rsid w:val="00DA4E5A"/>
    <w:rsid w:val="00DA508E"/>
    <w:rsid w:val="00DA558A"/>
    <w:rsid w:val="00DA5A3E"/>
    <w:rsid w:val="00DA6A72"/>
    <w:rsid w:val="00DA6C16"/>
    <w:rsid w:val="00DB0581"/>
    <w:rsid w:val="00DB2196"/>
    <w:rsid w:val="00DB27F5"/>
    <w:rsid w:val="00DB2F7E"/>
    <w:rsid w:val="00DB3398"/>
    <w:rsid w:val="00DB376A"/>
    <w:rsid w:val="00DB38CD"/>
    <w:rsid w:val="00DB3B70"/>
    <w:rsid w:val="00DB3F51"/>
    <w:rsid w:val="00DB3FF7"/>
    <w:rsid w:val="00DB4602"/>
    <w:rsid w:val="00DB512F"/>
    <w:rsid w:val="00DB51F5"/>
    <w:rsid w:val="00DB6D4B"/>
    <w:rsid w:val="00DB7842"/>
    <w:rsid w:val="00DB7852"/>
    <w:rsid w:val="00DC0978"/>
    <w:rsid w:val="00DC2050"/>
    <w:rsid w:val="00DC23D7"/>
    <w:rsid w:val="00DC252A"/>
    <w:rsid w:val="00DC2936"/>
    <w:rsid w:val="00DC2F6C"/>
    <w:rsid w:val="00DC3DCD"/>
    <w:rsid w:val="00DC49E4"/>
    <w:rsid w:val="00DC5124"/>
    <w:rsid w:val="00DC7272"/>
    <w:rsid w:val="00DC7CCF"/>
    <w:rsid w:val="00DC7D8D"/>
    <w:rsid w:val="00DD0490"/>
    <w:rsid w:val="00DD11BF"/>
    <w:rsid w:val="00DD164D"/>
    <w:rsid w:val="00DD19D3"/>
    <w:rsid w:val="00DD1B51"/>
    <w:rsid w:val="00DD2D3F"/>
    <w:rsid w:val="00DD39B3"/>
    <w:rsid w:val="00DD3C36"/>
    <w:rsid w:val="00DD497D"/>
    <w:rsid w:val="00DD4C06"/>
    <w:rsid w:val="00DD4D4B"/>
    <w:rsid w:val="00DD5C70"/>
    <w:rsid w:val="00DD5D0A"/>
    <w:rsid w:val="00DD6306"/>
    <w:rsid w:val="00DD6471"/>
    <w:rsid w:val="00DD648C"/>
    <w:rsid w:val="00DD64D9"/>
    <w:rsid w:val="00DD65D0"/>
    <w:rsid w:val="00DD735E"/>
    <w:rsid w:val="00DD75C7"/>
    <w:rsid w:val="00DD7692"/>
    <w:rsid w:val="00DD79D9"/>
    <w:rsid w:val="00DD7D47"/>
    <w:rsid w:val="00DE0724"/>
    <w:rsid w:val="00DE103E"/>
    <w:rsid w:val="00DE12F2"/>
    <w:rsid w:val="00DE130B"/>
    <w:rsid w:val="00DE20DD"/>
    <w:rsid w:val="00DE24F8"/>
    <w:rsid w:val="00DE2F45"/>
    <w:rsid w:val="00DE46BD"/>
    <w:rsid w:val="00DE4DA3"/>
    <w:rsid w:val="00DE5574"/>
    <w:rsid w:val="00DE5B7D"/>
    <w:rsid w:val="00DE5D18"/>
    <w:rsid w:val="00DE5E53"/>
    <w:rsid w:val="00DE5F54"/>
    <w:rsid w:val="00DE6858"/>
    <w:rsid w:val="00DE6AEF"/>
    <w:rsid w:val="00DE703D"/>
    <w:rsid w:val="00DE7360"/>
    <w:rsid w:val="00DE79F1"/>
    <w:rsid w:val="00DF0177"/>
    <w:rsid w:val="00DF075F"/>
    <w:rsid w:val="00DF0A98"/>
    <w:rsid w:val="00DF0B79"/>
    <w:rsid w:val="00DF0ED0"/>
    <w:rsid w:val="00DF134F"/>
    <w:rsid w:val="00DF16C9"/>
    <w:rsid w:val="00DF1976"/>
    <w:rsid w:val="00DF1C0F"/>
    <w:rsid w:val="00DF2054"/>
    <w:rsid w:val="00DF251A"/>
    <w:rsid w:val="00DF26CA"/>
    <w:rsid w:val="00DF356A"/>
    <w:rsid w:val="00DF3E51"/>
    <w:rsid w:val="00DF44AC"/>
    <w:rsid w:val="00DF4F71"/>
    <w:rsid w:val="00DF5927"/>
    <w:rsid w:val="00DF6565"/>
    <w:rsid w:val="00DF73CB"/>
    <w:rsid w:val="00DF7899"/>
    <w:rsid w:val="00DF7F3F"/>
    <w:rsid w:val="00E00C20"/>
    <w:rsid w:val="00E020A3"/>
    <w:rsid w:val="00E0266B"/>
    <w:rsid w:val="00E02E89"/>
    <w:rsid w:val="00E0337D"/>
    <w:rsid w:val="00E03835"/>
    <w:rsid w:val="00E041E3"/>
    <w:rsid w:val="00E047AA"/>
    <w:rsid w:val="00E05841"/>
    <w:rsid w:val="00E063BB"/>
    <w:rsid w:val="00E073FB"/>
    <w:rsid w:val="00E07705"/>
    <w:rsid w:val="00E07925"/>
    <w:rsid w:val="00E07E66"/>
    <w:rsid w:val="00E10279"/>
    <w:rsid w:val="00E104C5"/>
    <w:rsid w:val="00E10919"/>
    <w:rsid w:val="00E11285"/>
    <w:rsid w:val="00E1287C"/>
    <w:rsid w:val="00E1328B"/>
    <w:rsid w:val="00E13A45"/>
    <w:rsid w:val="00E13F94"/>
    <w:rsid w:val="00E14011"/>
    <w:rsid w:val="00E14205"/>
    <w:rsid w:val="00E1461C"/>
    <w:rsid w:val="00E149AC"/>
    <w:rsid w:val="00E149CE"/>
    <w:rsid w:val="00E15579"/>
    <w:rsid w:val="00E16DEA"/>
    <w:rsid w:val="00E16E8F"/>
    <w:rsid w:val="00E17234"/>
    <w:rsid w:val="00E17A68"/>
    <w:rsid w:val="00E21337"/>
    <w:rsid w:val="00E217D0"/>
    <w:rsid w:val="00E21836"/>
    <w:rsid w:val="00E21D24"/>
    <w:rsid w:val="00E21F96"/>
    <w:rsid w:val="00E2220A"/>
    <w:rsid w:val="00E22634"/>
    <w:rsid w:val="00E22C43"/>
    <w:rsid w:val="00E232EE"/>
    <w:rsid w:val="00E233A0"/>
    <w:rsid w:val="00E23E1A"/>
    <w:rsid w:val="00E23EC0"/>
    <w:rsid w:val="00E24614"/>
    <w:rsid w:val="00E249A9"/>
    <w:rsid w:val="00E252F4"/>
    <w:rsid w:val="00E2583D"/>
    <w:rsid w:val="00E25EB7"/>
    <w:rsid w:val="00E26D9A"/>
    <w:rsid w:val="00E2786C"/>
    <w:rsid w:val="00E306A8"/>
    <w:rsid w:val="00E307C6"/>
    <w:rsid w:val="00E31935"/>
    <w:rsid w:val="00E319BB"/>
    <w:rsid w:val="00E3213B"/>
    <w:rsid w:val="00E324AE"/>
    <w:rsid w:val="00E324F5"/>
    <w:rsid w:val="00E32A85"/>
    <w:rsid w:val="00E3360D"/>
    <w:rsid w:val="00E3464F"/>
    <w:rsid w:val="00E3529C"/>
    <w:rsid w:val="00E35701"/>
    <w:rsid w:val="00E35ABB"/>
    <w:rsid w:val="00E35E7F"/>
    <w:rsid w:val="00E361C1"/>
    <w:rsid w:val="00E36E60"/>
    <w:rsid w:val="00E36EFD"/>
    <w:rsid w:val="00E37AD8"/>
    <w:rsid w:val="00E37F80"/>
    <w:rsid w:val="00E402E6"/>
    <w:rsid w:val="00E4045C"/>
    <w:rsid w:val="00E40962"/>
    <w:rsid w:val="00E409FF"/>
    <w:rsid w:val="00E41009"/>
    <w:rsid w:val="00E411D1"/>
    <w:rsid w:val="00E41221"/>
    <w:rsid w:val="00E413A8"/>
    <w:rsid w:val="00E416E5"/>
    <w:rsid w:val="00E416F7"/>
    <w:rsid w:val="00E41A99"/>
    <w:rsid w:val="00E420C2"/>
    <w:rsid w:val="00E422DB"/>
    <w:rsid w:val="00E424BE"/>
    <w:rsid w:val="00E42650"/>
    <w:rsid w:val="00E430A5"/>
    <w:rsid w:val="00E43D98"/>
    <w:rsid w:val="00E43EE9"/>
    <w:rsid w:val="00E444C8"/>
    <w:rsid w:val="00E44A93"/>
    <w:rsid w:val="00E44FE5"/>
    <w:rsid w:val="00E457AF"/>
    <w:rsid w:val="00E459E7"/>
    <w:rsid w:val="00E45A4F"/>
    <w:rsid w:val="00E45CBE"/>
    <w:rsid w:val="00E45F4B"/>
    <w:rsid w:val="00E46B1E"/>
    <w:rsid w:val="00E47615"/>
    <w:rsid w:val="00E478DD"/>
    <w:rsid w:val="00E50093"/>
    <w:rsid w:val="00E50AEC"/>
    <w:rsid w:val="00E50D44"/>
    <w:rsid w:val="00E514B3"/>
    <w:rsid w:val="00E51D2A"/>
    <w:rsid w:val="00E52CBF"/>
    <w:rsid w:val="00E5312F"/>
    <w:rsid w:val="00E537D2"/>
    <w:rsid w:val="00E53E40"/>
    <w:rsid w:val="00E54753"/>
    <w:rsid w:val="00E54F27"/>
    <w:rsid w:val="00E5601A"/>
    <w:rsid w:val="00E566CE"/>
    <w:rsid w:val="00E56D34"/>
    <w:rsid w:val="00E57026"/>
    <w:rsid w:val="00E57844"/>
    <w:rsid w:val="00E57990"/>
    <w:rsid w:val="00E579C8"/>
    <w:rsid w:val="00E60378"/>
    <w:rsid w:val="00E60F82"/>
    <w:rsid w:val="00E61D0D"/>
    <w:rsid w:val="00E61D93"/>
    <w:rsid w:val="00E61EF2"/>
    <w:rsid w:val="00E62872"/>
    <w:rsid w:val="00E630CA"/>
    <w:rsid w:val="00E631E3"/>
    <w:rsid w:val="00E6364E"/>
    <w:rsid w:val="00E63949"/>
    <w:rsid w:val="00E64C2D"/>
    <w:rsid w:val="00E64EDF"/>
    <w:rsid w:val="00E65093"/>
    <w:rsid w:val="00E650DD"/>
    <w:rsid w:val="00E656D8"/>
    <w:rsid w:val="00E66871"/>
    <w:rsid w:val="00E67756"/>
    <w:rsid w:val="00E678C2"/>
    <w:rsid w:val="00E67B5D"/>
    <w:rsid w:val="00E67FE4"/>
    <w:rsid w:val="00E707E0"/>
    <w:rsid w:val="00E70F5F"/>
    <w:rsid w:val="00E7129B"/>
    <w:rsid w:val="00E72560"/>
    <w:rsid w:val="00E72CE2"/>
    <w:rsid w:val="00E72F53"/>
    <w:rsid w:val="00E730CF"/>
    <w:rsid w:val="00E73203"/>
    <w:rsid w:val="00E73865"/>
    <w:rsid w:val="00E74DE7"/>
    <w:rsid w:val="00E758AA"/>
    <w:rsid w:val="00E759A9"/>
    <w:rsid w:val="00E76125"/>
    <w:rsid w:val="00E76970"/>
    <w:rsid w:val="00E76B65"/>
    <w:rsid w:val="00E76BF7"/>
    <w:rsid w:val="00E77E5F"/>
    <w:rsid w:val="00E80F08"/>
    <w:rsid w:val="00E814F1"/>
    <w:rsid w:val="00E8178F"/>
    <w:rsid w:val="00E81967"/>
    <w:rsid w:val="00E81DE5"/>
    <w:rsid w:val="00E83C9B"/>
    <w:rsid w:val="00E83D79"/>
    <w:rsid w:val="00E841AB"/>
    <w:rsid w:val="00E8491E"/>
    <w:rsid w:val="00E85332"/>
    <w:rsid w:val="00E8562C"/>
    <w:rsid w:val="00E859FD"/>
    <w:rsid w:val="00E85F07"/>
    <w:rsid w:val="00E86D4A"/>
    <w:rsid w:val="00E8758D"/>
    <w:rsid w:val="00E90F3D"/>
    <w:rsid w:val="00E910EA"/>
    <w:rsid w:val="00E9110B"/>
    <w:rsid w:val="00E91A3B"/>
    <w:rsid w:val="00E927E4"/>
    <w:rsid w:val="00E92DF5"/>
    <w:rsid w:val="00E9386C"/>
    <w:rsid w:val="00E9473B"/>
    <w:rsid w:val="00E947EE"/>
    <w:rsid w:val="00E9537C"/>
    <w:rsid w:val="00E95762"/>
    <w:rsid w:val="00E95FE9"/>
    <w:rsid w:val="00E96402"/>
    <w:rsid w:val="00E96D7C"/>
    <w:rsid w:val="00E97B35"/>
    <w:rsid w:val="00E97BCA"/>
    <w:rsid w:val="00EA063D"/>
    <w:rsid w:val="00EA0859"/>
    <w:rsid w:val="00EA0C1D"/>
    <w:rsid w:val="00EA0C31"/>
    <w:rsid w:val="00EA0E99"/>
    <w:rsid w:val="00EA1234"/>
    <w:rsid w:val="00EA152C"/>
    <w:rsid w:val="00EA15E7"/>
    <w:rsid w:val="00EA2329"/>
    <w:rsid w:val="00EA2907"/>
    <w:rsid w:val="00EA2CB4"/>
    <w:rsid w:val="00EA2CFB"/>
    <w:rsid w:val="00EA2DF8"/>
    <w:rsid w:val="00EA2E5C"/>
    <w:rsid w:val="00EA38C7"/>
    <w:rsid w:val="00EA40D7"/>
    <w:rsid w:val="00EA41DD"/>
    <w:rsid w:val="00EA607A"/>
    <w:rsid w:val="00EA670B"/>
    <w:rsid w:val="00EA6D68"/>
    <w:rsid w:val="00EA7423"/>
    <w:rsid w:val="00EB0922"/>
    <w:rsid w:val="00EB0966"/>
    <w:rsid w:val="00EB139C"/>
    <w:rsid w:val="00EB282B"/>
    <w:rsid w:val="00EB345D"/>
    <w:rsid w:val="00EB40F3"/>
    <w:rsid w:val="00EB4781"/>
    <w:rsid w:val="00EB536D"/>
    <w:rsid w:val="00EB54E7"/>
    <w:rsid w:val="00EB57B6"/>
    <w:rsid w:val="00EB5FF8"/>
    <w:rsid w:val="00EB6A84"/>
    <w:rsid w:val="00EB7BC2"/>
    <w:rsid w:val="00EC0EB9"/>
    <w:rsid w:val="00EC1160"/>
    <w:rsid w:val="00EC28FB"/>
    <w:rsid w:val="00EC314E"/>
    <w:rsid w:val="00EC3422"/>
    <w:rsid w:val="00EC354D"/>
    <w:rsid w:val="00EC3CE1"/>
    <w:rsid w:val="00EC3EE7"/>
    <w:rsid w:val="00EC3FDE"/>
    <w:rsid w:val="00EC4029"/>
    <w:rsid w:val="00EC4092"/>
    <w:rsid w:val="00EC4254"/>
    <w:rsid w:val="00EC4C95"/>
    <w:rsid w:val="00EC4D69"/>
    <w:rsid w:val="00EC4EDA"/>
    <w:rsid w:val="00EC4F21"/>
    <w:rsid w:val="00EC510A"/>
    <w:rsid w:val="00EC52E7"/>
    <w:rsid w:val="00EC563C"/>
    <w:rsid w:val="00EC63A1"/>
    <w:rsid w:val="00EC69F6"/>
    <w:rsid w:val="00EC6C30"/>
    <w:rsid w:val="00EC6D2A"/>
    <w:rsid w:val="00EC7D83"/>
    <w:rsid w:val="00ED0990"/>
    <w:rsid w:val="00ED156E"/>
    <w:rsid w:val="00ED17D7"/>
    <w:rsid w:val="00ED1941"/>
    <w:rsid w:val="00ED1E21"/>
    <w:rsid w:val="00ED2B35"/>
    <w:rsid w:val="00ED33E4"/>
    <w:rsid w:val="00ED42F7"/>
    <w:rsid w:val="00ED4428"/>
    <w:rsid w:val="00ED49F3"/>
    <w:rsid w:val="00ED4AE2"/>
    <w:rsid w:val="00ED5432"/>
    <w:rsid w:val="00ED554B"/>
    <w:rsid w:val="00ED6CF9"/>
    <w:rsid w:val="00ED6D47"/>
    <w:rsid w:val="00ED7567"/>
    <w:rsid w:val="00EE02D8"/>
    <w:rsid w:val="00EE0837"/>
    <w:rsid w:val="00EE0F29"/>
    <w:rsid w:val="00EE1A48"/>
    <w:rsid w:val="00EE25D4"/>
    <w:rsid w:val="00EE27DB"/>
    <w:rsid w:val="00EE2EDE"/>
    <w:rsid w:val="00EE3B39"/>
    <w:rsid w:val="00EE3D8B"/>
    <w:rsid w:val="00EE4617"/>
    <w:rsid w:val="00EE463F"/>
    <w:rsid w:val="00EE4A43"/>
    <w:rsid w:val="00EE4DAB"/>
    <w:rsid w:val="00EE52BB"/>
    <w:rsid w:val="00EE574F"/>
    <w:rsid w:val="00EE6259"/>
    <w:rsid w:val="00EE69D0"/>
    <w:rsid w:val="00EE7B48"/>
    <w:rsid w:val="00EF08B5"/>
    <w:rsid w:val="00EF1F92"/>
    <w:rsid w:val="00EF2199"/>
    <w:rsid w:val="00EF26BC"/>
    <w:rsid w:val="00EF4571"/>
    <w:rsid w:val="00EF4AA9"/>
    <w:rsid w:val="00EF602F"/>
    <w:rsid w:val="00EF69FB"/>
    <w:rsid w:val="00EF796D"/>
    <w:rsid w:val="00F00352"/>
    <w:rsid w:val="00F00FC0"/>
    <w:rsid w:val="00F01048"/>
    <w:rsid w:val="00F01D29"/>
    <w:rsid w:val="00F021C5"/>
    <w:rsid w:val="00F04C4B"/>
    <w:rsid w:val="00F102A9"/>
    <w:rsid w:val="00F103C8"/>
    <w:rsid w:val="00F105AC"/>
    <w:rsid w:val="00F10F9E"/>
    <w:rsid w:val="00F11973"/>
    <w:rsid w:val="00F1235E"/>
    <w:rsid w:val="00F12850"/>
    <w:rsid w:val="00F12A70"/>
    <w:rsid w:val="00F12B4A"/>
    <w:rsid w:val="00F1307B"/>
    <w:rsid w:val="00F13BB5"/>
    <w:rsid w:val="00F13D58"/>
    <w:rsid w:val="00F14E18"/>
    <w:rsid w:val="00F15E2B"/>
    <w:rsid w:val="00F17175"/>
    <w:rsid w:val="00F17C32"/>
    <w:rsid w:val="00F17E36"/>
    <w:rsid w:val="00F20EF0"/>
    <w:rsid w:val="00F20F10"/>
    <w:rsid w:val="00F21A82"/>
    <w:rsid w:val="00F2293C"/>
    <w:rsid w:val="00F22983"/>
    <w:rsid w:val="00F22A97"/>
    <w:rsid w:val="00F24283"/>
    <w:rsid w:val="00F242AF"/>
    <w:rsid w:val="00F25253"/>
    <w:rsid w:val="00F2529D"/>
    <w:rsid w:val="00F2681F"/>
    <w:rsid w:val="00F27C85"/>
    <w:rsid w:val="00F31036"/>
    <w:rsid w:val="00F32246"/>
    <w:rsid w:val="00F32323"/>
    <w:rsid w:val="00F327A9"/>
    <w:rsid w:val="00F32CF3"/>
    <w:rsid w:val="00F32F1B"/>
    <w:rsid w:val="00F33482"/>
    <w:rsid w:val="00F335EC"/>
    <w:rsid w:val="00F33849"/>
    <w:rsid w:val="00F34B5A"/>
    <w:rsid w:val="00F34BE7"/>
    <w:rsid w:val="00F34BF7"/>
    <w:rsid w:val="00F3528B"/>
    <w:rsid w:val="00F35CC0"/>
    <w:rsid w:val="00F3624E"/>
    <w:rsid w:val="00F363EE"/>
    <w:rsid w:val="00F365D9"/>
    <w:rsid w:val="00F36AC1"/>
    <w:rsid w:val="00F36EA9"/>
    <w:rsid w:val="00F36F60"/>
    <w:rsid w:val="00F372DB"/>
    <w:rsid w:val="00F37454"/>
    <w:rsid w:val="00F37725"/>
    <w:rsid w:val="00F37FF8"/>
    <w:rsid w:val="00F40138"/>
    <w:rsid w:val="00F403BA"/>
    <w:rsid w:val="00F4159E"/>
    <w:rsid w:val="00F4182A"/>
    <w:rsid w:val="00F42093"/>
    <w:rsid w:val="00F442CF"/>
    <w:rsid w:val="00F45D4B"/>
    <w:rsid w:val="00F45ED2"/>
    <w:rsid w:val="00F46162"/>
    <w:rsid w:val="00F4651A"/>
    <w:rsid w:val="00F4654A"/>
    <w:rsid w:val="00F469BC"/>
    <w:rsid w:val="00F46A07"/>
    <w:rsid w:val="00F473C5"/>
    <w:rsid w:val="00F474D4"/>
    <w:rsid w:val="00F47AF1"/>
    <w:rsid w:val="00F502DF"/>
    <w:rsid w:val="00F504C7"/>
    <w:rsid w:val="00F505D5"/>
    <w:rsid w:val="00F50727"/>
    <w:rsid w:val="00F509E8"/>
    <w:rsid w:val="00F51594"/>
    <w:rsid w:val="00F51719"/>
    <w:rsid w:val="00F52413"/>
    <w:rsid w:val="00F52421"/>
    <w:rsid w:val="00F52B8E"/>
    <w:rsid w:val="00F53855"/>
    <w:rsid w:val="00F53E34"/>
    <w:rsid w:val="00F548AD"/>
    <w:rsid w:val="00F54ACC"/>
    <w:rsid w:val="00F55468"/>
    <w:rsid w:val="00F55578"/>
    <w:rsid w:val="00F565A0"/>
    <w:rsid w:val="00F57D62"/>
    <w:rsid w:val="00F6048A"/>
    <w:rsid w:val="00F6075B"/>
    <w:rsid w:val="00F60E4E"/>
    <w:rsid w:val="00F6260C"/>
    <w:rsid w:val="00F627D5"/>
    <w:rsid w:val="00F6451F"/>
    <w:rsid w:val="00F64972"/>
    <w:rsid w:val="00F64D50"/>
    <w:rsid w:val="00F65C74"/>
    <w:rsid w:val="00F65FF7"/>
    <w:rsid w:val="00F66396"/>
    <w:rsid w:val="00F665A7"/>
    <w:rsid w:val="00F66605"/>
    <w:rsid w:val="00F66A33"/>
    <w:rsid w:val="00F67D61"/>
    <w:rsid w:val="00F71B9C"/>
    <w:rsid w:val="00F71ED6"/>
    <w:rsid w:val="00F72482"/>
    <w:rsid w:val="00F735A2"/>
    <w:rsid w:val="00F7384F"/>
    <w:rsid w:val="00F741A3"/>
    <w:rsid w:val="00F747F0"/>
    <w:rsid w:val="00F75106"/>
    <w:rsid w:val="00F75272"/>
    <w:rsid w:val="00F75B8F"/>
    <w:rsid w:val="00F76431"/>
    <w:rsid w:val="00F7692D"/>
    <w:rsid w:val="00F76C35"/>
    <w:rsid w:val="00F76CF7"/>
    <w:rsid w:val="00F773CF"/>
    <w:rsid w:val="00F777B2"/>
    <w:rsid w:val="00F77D0E"/>
    <w:rsid w:val="00F80017"/>
    <w:rsid w:val="00F80065"/>
    <w:rsid w:val="00F8150C"/>
    <w:rsid w:val="00F817DB"/>
    <w:rsid w:val="00F8197D"/>
    <w:rsid w:val="00F81A6C"/>
    <w:rsid w:val="00F81ADF"/>
    <w:rsid w:val="00F81DB1"/>
    <w:rsid w:val="00F821DA"/>
    <w:rsid w:val="00F82B38"/>
    <w:rsid w:val="00F83DE7"/>
    <w:rsid w:val="00F83FDA"/>
    <w:rsid w:val="00F84D67"/>
    <w:rsid w:val="00F84F25"/>
    <w:rsid w:val="00F85716"/>
    <w:rsid w:val="00F858B0"/>
    <w:rsid w:val="00F85C0A"/>
    <w:rsid w:val="00F85C61"/>
    <w:rsid w:val="00F860CE"/>
    <w:rsid w:val="00F87001"/>
    <w:rsid w:val="00F87059"/>
    <w:rsid w:val="00F87582"/>
    <w:rsid w:val="00F90590"/>
    <w:rsid w:val="00F9121A"/>
    <w:rsid w:val="00F9149D"/>
    <w:rsid w:val="00F919FF"/>
    <w:rsid w:val="00F92989"/>
    <w:rsid w:val="00F92A28"/>
    <w:rsid w:val="00F92B2A"/>
    <w:rsid w:val="00F9334E"/>
    <w:rsid w:val="00F9420B"/>
    <w:rsid w:val="00F944F0"/>
    <w:rsid w:val="00F94610"/>
    <w:rsid w:val="00F94D8C"/>
    <w:rsid w:val="00F94F91"/>
    <w:rsid w:val="00F95CB3"/>
    <w:rsid w:val="00F96233"/>
    <w:rsid w:val="00F962A7"/>
    <w:rsid w:val="00F96680"/>
    <w:rsid w:val="00F96A9F"/>
    <w:rsid w:val="00F96ED4"/>
    <w:rsid w:val="00F975F5"/>
    <w:rsid w:val="00F976AE"/>
    <w:rsid w:val="00F97AD8"/>
    <w:rsid w:val="00FA020C"/>
    <w:rsid w:val="00FA079E"/>
    <w:rsid w:val="00FA0898"/>
    <w:rsid w:val="00FA0A15"/>
    <w:rsid w:val="00FA1FC1"/>
    <w:rsid w:val="00FA2057"/>
    <w:rsid w:val="00FA249C"/>
    <w:rsid w:val="00FA258E"/>
    <w:rsid w:val="00FA329F"/>
    <w:rsid w:val="00FA355A"/>
    <w:rsid w:val="00FA56A1"/>
    <w:rsid w:val="00FA5E72"/>
    <w:rsid w:val="00FA65AD"/>
    <w:rsid w:val="00FA691C"/>
    <w:rsid w:val="00FA69C3"/>
    <w:rsid w:val="00FA711C"/>
    <w:rsid w:val="00FA7F07"/>
    <w:rsid w:val="00FB023C"/>
    <w:rsid w:val="00FB0F22"/>
    <w:rsid w:val="00FB1C69"/>
    <w:rsid w:val="00FB1E1A"/>
    <w:rsid w:val="00FB206A"/>
    <w:rsid w:val="00FB2CCF"/>
    <w:rsid w:val="00FB37FA"/>
    <w:rsid w:val="00FB3C3E"/>
    <w:rsid w:val="00FB3CBB"/>
    <w:rsid w:val="00FB412E"/>
    <w:rsid w:val="00FB4DEF"/>
    <w:rsid w:val="00FB51FD"/>
    <w:rsid w:val="00FB5699"/>
    <w:rsid w:val="00FB60DA"/>
    <w:rsid w:val="00FB681E"/>
    <w:rsid w:val="00FB749B"/>
    <w:rsid w:val="00FC015A"/>
    <w:rsid w:val="00FC209C"/>
    <w:rsid w:val="00FC31A5"/>
    <w:rsid w:val="00FC3C62"/>
    <w:rsid w:val="00FC4A4F"/>
    <w:rsid w:val="00FC62B9"/>
    <w:rsid w:val="00FC668B"/>
    <w:rsid w:val="00FC6B28"/>
    <w:rsid w:val="00FC7056"/>
    <w:rsid w:val="00FD004E"/>
    <w:rsid w:val="00FD1D54"/>
    <w:rsid w:val="00FD1F4B"/>
    <w:rsid w:val="00FD2651"/>
    <w:rsid w:val="00FD2761"/>
    <w:rsid w:val="00FD27B5"/>
    <w:rsid w:val="00FD2EAE"/>
    <w:rsid w:val="00FD3193"/>
    <w:rsid w:val="00FD342F"/>
    <w:rsid w:val="00FD352A"/>
    <w:rsid w:val="00FD3B82"/>
    <w:rsid w:val="00FD44AE"/>
    <w:rsid w:val="00FD578C"/>
    <w:rsid w:val="00FD5D0E"/>
    <w:rsid w:val="00FD71EF"/>
    <w:rsid w:val="00FD739D"/>
    <w:rsid w:val="00FD7B54"/>
    <w:rsid w:val="00FE0EEA"/>
    <w:rsid w:val="00FE0FAA"/>
    <w:rsid w:val="00FE1338"/>
    <w:rsid w:val="00FE1906"/>
    <w:rsid w:val="00FE1DC2"/>
    <w:rsid w:val="00FE26D1"/>
    <w:rsid w:val="00FE2E96"/>
    <w:rsid w:val="00FE2F13"/>
    <w:rsid w:val="00FE2F70"/>
    <w:rsid w:val="00FE31F1"/>
    <w:rsid w:val="00FE3506"/>
    <w:rsid w:val="00FE3E71"/>
    <w:rsid w:val="00FE5166"/>
    <w:rsid w:val="00FE5711"/>
    <w:rsid w:val="00FE5A61"/>
    <w:rsid w:val="00FE5AB6"/>
    <w:rsid w:val="00FE6070"/>
    <w:rsid w:val="00FE659E"/>
    <w:rsid w:val="00FE6E48"/>
    <w:rsid w:val="00FE70E4"/>
    <w:rsid w:val="00FE70E6"/>
    <w:rsid w:val="00FE73BF"/>
    <w:rsid w:val="00FE7488"/>
    <w:rsid w:val="00FE751D"/>
    <w:rsid w:val="00FE769C"/>
    <w:rsid w:val="00FE7DF7"/>
    <w:rsid w:val="00FF000B"/>
    <w:rsid w:val="00FF0437"/>
    <w:rsid w:val="00FF08AD"/>
    <w:rsid w:val="00FF1178"/>
    <w:rsid w:val="00FF13AA"/>
    <w:rsid w:val="00FF14BB"/>
    <w:rsid w:val="00FF2015"/>
    <w:rsid w:val="00FF3FD2"/>
    <w:rsid w:val="00FF4C4F"/>
    <w:rsid w:val="00FF5D8A"/>
    <w:rsid w:val="00FF64B0"/>
    <w:rsid w:val="00FF79B6"/>
    <w:rsid w:val="00FF7C2C"/>
    <w:rsid w:val="01371C18"/>
    <w:rsid w:val="01AC7DB5"/>
    <w:rsid w:val="01B3185A"/>
    <w:rsid w:val="0226406C"/>
    <w:rsid w:val="02A534B1"/>
    <w:rsid w:val="03364F1D"/>
    <w:rsid w:val="038670D8"/>
    <w:rsid w:val="03E54E1A"/>
    <w:rsid w:val="03EB0DEF"/>
    <w:rsid w:val="03FC55FF"/>
    <w:rsid w:val="043A73BF"/>
    <w:rsid w:val="05A470C5"/>
    <w:rsid w:val="05A872E9"/>
    <w:rsid w:val="061131F6"/>
    <w:rsid w:val="06183A21"/>
    <w:rsid w:val="06B120FE"/>
    <w:rsid w:val="06C401DF"/>
    <w:rsid w:val="075E5F6F"/>
    <w:rsid w:val="07826A93"/>
    <w:rsid w:val="07AA385E"/>
    <w:rsid w:val="07AF5222"/>
    <w:rsid w:val="080502CE"/>
    <w:rsid w:val="08056CEC"/>
    <w:rsid w:val="08394A60"/>
    <w:rsid w:val="08597CBD"/>
    <w:rsid w:val="08A65D3D"/>
    <w:rsid w:val="093C7F40"/>
    <w:rsid w:val="09403153"/>
    <w:rsid w:val="094A3566"/>
    <w:rsid w:val="09944C74"/>
    <w:rsid w:val="0AC82C92"/>
    <w:rsid w:val="0AD13BD9"/>
    <w:rsid w:val="0AEC5D5F"/>
    <w:rsid w:val="0B1832B8"/>
    <w:rsid w:val="0B1F2D3B"/>
    <w:rsid w:val="0BA74DFC"/>
    <w:rsid w:val="0BE95E9A"/>
    <w:rsid w:val="0C1669E9"/>
    <w:rsid w:val="0C8D07BA"/>
    <w:rsid w:val="0CAB56E3"/>
    <w:rsid w:val="0CEE0740"/>
    <w:rsid w:val="0D2C54A4"/>
    <w:rsid w:val="0D5E59FB"/>
    <w:rsid w:val="0E62512A"/>
    <w:rsid w:val="0ED32753"/>
    <w:rsid w:val="0F9C5407"/>
    <w:rsid w:val="0FEF7876"/>
    <w:rsid w:val="10570287"/>
    <w:rsid w:val="109A1377"/>
    <w:rsid w:val="112C1AF8"/>
    <w:rsid w:val="11813E7A"/>
    <w:rsid w:val="12C42318"/>
    <w:rsid w:val="12E94A40"/>
    <w:rsid w:val="12F4776C"/>
    <w:rsid w:val="136A4B6E"/>
    <w:rsid w:val="138330E5"/>
    <w:rsid w:val="14682790"/>
    <w:rsid w:val="149B100C"/>
    <w:rsid w:val="14E61A91"/>
    <w:rsid w:val="152B2DAF"/>
    <w:rsid w:val="157C42A7"/>
    <w:rsid w:val="158D6508"/>
    <w:rsid w:val="162A489A"/>
    <w:rsid w:val="164255DC"/>
    <w:rsid w:val="166C2A45"/>
    <w:rsid w:val="16AC3D21"/>
    <w:rsid w:val="16B35BBB"/>
    <w:rsid w:val="16ED4C79"/>
    <w:rsid w:val="18023FB5"/>
    <w:rsid w:val="18024EAF"/>
    <w:rsid w:val="182037EF"/>
    <w:rsid w:val="183D48E0"/>
    <w:rsid w:val="18DA1C40"/>
    <w:rsid w:val="195A7B01"/>
    <w:rsid w:val="19D5478E"/>
    <w:rsid w:val="1B0E1D9F"/>
    <w:rsid w:val="1B1C762D"/>
    <w:rsid w:val="1B7344F9"/>
    <w:rsid w:val="1BE90C4A"/>
    <w:rsid w:val="1C170F72"/>
    <w:rsid w:val="1C304291"/>
    <w:rsid w:val="1C414037"/>
    <w:rsid w:val="1CB864FB"/>
    <w:rsid w:val="1CE73C78"/>
    <w:rsid w:val="1D0E3790"/>
    <w:rsid w:val="1D3B3409"/>
    <w:rsid w:val="1D9C4DB1"/>
    <w:rsid w:val="1E8F6AD5"/>
    <w:rsid w:val="1EA3166E"/>
    <w:rsid w:val="1EB72EB7"/>
    <w:rsid w:val="1FA52578"/>
    <w:rsid w:val="1FCA6343"/>
    <w:rsid w:val="207D3DBD"/>
    <w:rsid w:val="21495E1C"/>
    <w:rsid w:val="225C78BF"/>
    <w:rsid w:val="22866EAC"/>
    <w:rsid w:val="22A1270B"/>
    <w:rsid w:val="230B5CE1"/>
    <w:rsid w:val="233A28F3"/>
    <w:rsid w:val="236B225F"/>
    <w:rsid w:val="237345E4"/>
    <w:rsid w:val="238E0220"/>
    <w:rsid w:val="23B54AFB"/>
    <w:rsid w:val="23D07150"/>
    <w:rsid w:val="23DC5161"/>
    <w:rsid w:val="23DD5A64"/>
    <w:rsid w:val="24146D11"/>
    <w:rsid w:val="244F6ECB"/>
    <w:rsid w:val="245A2116"/>
    <w:rsid w:val="24846FE7"/>
    <w:rsid w:val="25A400AF"/>
    <w:rsid w:val="25BA78E2"/>
    <w:rsid w:val="25D86336"/>
    <w:rsid w:val="26B33EF9"/>
    <w:rsid w:val="26EB5DEB"/>
    <w:rsid w:val="278802A0"/>
    <w:rsid w:val="27BB238F"/>
    <w:rsid w:val="27CC0B76"/>
    <w:rsid w:val="280F6698"/>
    <w:rsid w:val="283D6079"/>
    <w:rsid w:val="284274AF"/>
    <w:rsid w:val="284E2910"/>
    <w:rsid w:val="28615DF0"/>
    <w:rsid w:val="286242B1"/>
    <w:rsid w:val="2868090A"/>
    <w:rsid w:val="288D278B"/>
    <w:rsid w:val="28C04EE6"/>
    <w:rsid w:val="28D77DB4"/>
    <w:rsid w:val="2907069B"/>
    <w:rsid w:val="296C11CA"/>
    <w:rsid w:val="299E6744"/>
    <w:rsid w:val="2A2473F4"/>
    <w:rsid w:val="2A2E26E5"/>
    <w:rsid w:val="2A327759"/>
    <w:rsid w:val="2A4708A3"/>
    <w:rsid w:val="2A732F2C"/>
    <w:rsid w:val="2AE13BE6"/>
    <w:rsid w:val="2AE17A66"/>
    <w:rsid w:val="2B2030E4"/>
    <w:rsid w:val="2B2E67AB"/>
    <w:rsid w:val="2C3A082B"/>
    <w:rsid w:val="2CC87A8C"/>
    <w:rsid w:val="2CFA2876"/>
    <w:rsid w:val="2DD12614"/>
    <w:rsid w:val="2DF523AC"/>
    <w:rsid w:val="2E2232E9"/>
    <w:rsid w:val="2E7C7562"/>
    <w:rsid w:val="2F6E6D13"/>
    <w:rsid w:val="2F6E7B05"/>
    <w:rsid w:val="2FD11FA1"/>
    <w:rsid w:val="2FDD602E"/>
    <w:rsid w:val="2FE37F63"/>
    <w:rsid w:val="2FF35536"/>
    <w:rsid w:val="2FF867A4"/>
    <w:rsid w:val="30522642"/>
    <w:rsid w:val="30827FC1"/>
    <w:rsid w:val="30923FE3"/>
    <w:rsid w:val="30AC0DA0"/>
    <w:rsid w:val="30D74647"/>
    <w:rsid w:val="311D285C"/>
    <w:rsid w:val="31612D1C"/>
    <w:rsid w:val="317F1D42"/>
    <w:rsid w:val="31A27797"/>
    <w:rsid w:val="31E408B2"/>
    <w:rsid w:val="320C0799"/>
    <w:rsid w:val="322B696F"/>
    <w:rsid w:val="322C7BB2"/>
    <w:rsid w:val="322C7BD8"/>
    <w:rsid w:val="32714E5D"/>
    <w:rsid w:val="330C312B"/>
    <w:rsid w:val="33AE7BCC"/>
    <w:rsid w:val="33D80230"/>
    <w:rsid w:val="33E002C7"/>
    <w:rsid w:val="344D4E0F"/>
    <w:rsid w:val="34AF7BCB"/>
    <w:rsid w:val="34D364C8"/>
    <w:rsid w:val="34D6351C"/>
    <w:rsid w:val="3594583D"/>
    <w:rsid w:val="364F2773"/>
    <w:rsid w:val="36F003AA"/>
    <w:rsid w:val="378E2709"/>
    <w:rsid w:val="37FA2A1C"/>
    <w:rsid w:val="38062FE6"/>
    <w:rsid w:val="382E5618"/>
    <w:rsid w:val="38D74D85"/>
    <w:rsid w:val="39181D32"/>
    <w:rsid w:val="399E6731"/>
    <w:rsid w:val="3AA9374B"/>
    <w:rsid w:val="3B431922"/>
    <w:rsid w:val="3B5E2272"/>
    <w:rsid w:val="3B97203E"/>
    <w:rsid w:val="3C114818"/>
    <w:rsid w:val="3CE603D4"/>
    <w:rsid w:val="3D567113"/>
    <w:rsid w:val="3D890117"/>
    <w:rsid w:val="3E31037E"/>
    <w:rsid w:val="3E7661D0"/>
    <w:rsid w:val="3EB52072"/>
    <w:rsid w:val="3F0A43E4"/>
    <w:rsid w:val="3F1D7AB1"/>
    <w:rsid w:val="3F373F84"/>
    <w:rsid w:val="3F6A1C34"/>
    <w:rsid w:val="3FA26348"/>
    <w:rsid w:val="3FBF0591"/>
    <w:rsid w:val="40101108"/>
    <w:rsid w:val="40947B11"/>
    <w:rsid w:val="41621058"/>
    <w:rsid w:val="41964E89"/>
    <w:rsid w:val="42987065"/>
    <w:rsid w:val="42A901C7"/>
    <w:rsid w:val="430560EC"/>
    <w:rsid w:val="431A0B76"/>
    <w:rsid w:val="43382299"/>
    <w:rsid w:val="43477BC4"/>
    <w:rsid w:val="438330F1"/>
    <w:rsid w:val="43B9619F"/>
    <w:rsid w:val="456B47F6"/>
    <w:rsid w:val="458607FE"/>
    <w:rsid w:val="46D82D26"/>
    <w:rsid w:val="47250F24"/>
    <w:rsid w:val="478C5003"/>
    <w:rsid w:val="47A519E1"/>
    <w:rsid w:val="47D06302"/>
    <w:rsid w:val="483057BF"/>
    <w:rsid w:val="48563811"/>
    <w:rsid w:val="48713EA6"/>
    <w:rsid w:val="487D0736"/>
    <w:rsid w:val="488C3631"/>
    <w:rsid w:val="48935440"/>
    <w:rsid w:val="48A92315"/>
    <w:rsid w:val="492D27BD"/>
    <w:rsid w:val="49673894"/>
    <w:rsid w:val="49736B8D"/>
    <w:rsid w:val="498E4C3C"/>
    <w:rsid w:val="4A035B6B"/>
    <w:rsid w:val="4A4009DF"/>
    <w:rsid w:val="4A8E1F70"/>
    <w:rsid w:val="4B006FCC"/>
    <w:rsid w:val="4B52304A"/>
    <w:rsid w:val="4BD31A5D"/>
    <w:rsid w:val="4C145175"/>
    <w:rsid w:val="4C9A4AA1"/>
    <w:rsid w:val="4D13125D"/>
    <w:rsid w:val="4E1951E0"/>
    <w:rsid w:val="4ECE4815"/>
    <w:rsid w:val="4F4D61AB"/>
    <w:rsid w:val="4F793D39"/>
    <w:rsid w:val="4FEF0A5D"/>
    <w:rsid w:val="4FFE5B7C"/>
    <w:rsid w:val="502E20D9"/>
    <w:rsid w:val="50592A37"/>
    <w:rsid w:val="51B27DE4"/>
    <w:rsid w:val="529067C1"/>
    <w:rsid w:val="533C2F25"/>
    <w:rsid w:val="53793AF8"/>
    <w:rsid w:val="54324F67"/>
    <w:rsid w:val="545E2790"/>
    <w:rsid w:val="5465729F"/>
    <w:rsid w:val="55C105CE"/>
    <w:rsid w:val="56443F92"/>
    <w:rsid w:val="567D697A"/>
    <w:rsid w:val="56BC0A59"/>
    <w:rsid w:val="56EF5718"/>
    <w:rsid w:val="57350CAA"/>
    <w:rsid w:val="586D7D06"/>
    <w:rsid w:val="58894CCC"/>
    <w:rsid w:val="58A30CA7"/>
    <w:rsid w:val="592E117B"/>
    <w:rsid w:val="59794912"/>
    <w:rsid w:val="59D61E68"/>
    <w:rsid w:val="5A6B42E4"/>
    <w:rsid w:val="5A8E63C2"/>
    <w:rsid w:val="5AD6690B"/>
    <w:rsid w:val="5AE33EA5"/>
    <w:rsid w:val="5B99695D"/>
    <w:rsid w:val="5BA91583"/>
    <w:rsid w:val="5C206039"/>
    <w:rsid w:val="5CCA16FC"/>
    <w:rsid w:val="5D1A6372"/>
    <w:rsid w:val="5D6907CC"/>
    <w:rsid w:val="5D8D229F"/>
    <w:rsid w:val="5E1028C2"/>
    <w:rsid w:val="5E3751B8"/>
    <w:rsid w:val="5E85605B"/>
    <w:rsid w:val="5EB34484"/>
    <w:rsid w:val="5F257848"/>
    <w:rsid w:val="5F5F095B"/>
    <w:rsid w:val="5F684015"/>
    <w:rsid w:val="5F9032AB"/>
    <w:rsid w:val="5FA27AD8"/>
    <w:rsid w:val="5FD61E3D"/>
    <w:rsid w:val="6089534B"/>
    <w:rsid w:val="609D4DA4"/>
    <w:rsid w:val="60E73E43"/>
    <w:rsid w:val="60EF4197"/>
    <w:rsid w:val="610E4E55"/>
    <w:rsid w:val="611C1DEC"/>
    <w:rsid w:val="615C3CCA"/>
    <w:rsid w:val="61693530"/>
    <w:rsid w:val="617366F0"/>
    <w:rsid w:val="617567BE"/>
    <w:rsid w:val="6188378B"/>
    <w:rsid w:val="61AB6E5F"/>
    <w:rsid w:val="61C65DBA"/>
    <w:rsid w:val="6209713F"/>
    <w:rsid w:val="622E29B8"/>
    <w:rsid w:val="62B23494"/>
    <w:rsid w:val="62E64CF4"/>
    <w:rsid w:val="63E17D6C"/>
    <w:rsid w:val="63F72DCE"/>
    <w:rsid w:val="641F441F"/>
    <w:rsid w:val="64CE3149"/>
    <w:rsid w:val="64D80922"/>
    <w:rsid w:val="653B2B90"/>
    <w:rsid w:val="65895E79"/>
    <w:rsid w:val="664E0E81"/>
    <w:rsid w:val="665239C1"/>
    <w:rsid w:val="66943B03"/>
    <w:rsid w:val="66FF115B"/>
    <w:rsid w:val="67583A2B"/>
    <w:rsid w:val="676B5B7D"/>
    <w:rsid w:val="682F05C2"/>
    <w:rsid w:val="68351FE3"/>
    <w:rsid w:val="684A515F"/>
    <w:rsid w:val="68D01800"/>
    <w:rsid w:val="6917457E"/>
    <w:rsid w:val="6955123E"/>
    <w:rsid w:val="696059E0"/>
    <w:rsid w:val="696A26EC"/>
    <w:rsid w:val="699537AC"/>
    <w:rsid w:val="69BE2FFE"/>
    <w:rsid w:val="69FB3E05"/>
    <w:rsid w:val="6A3C7EFD"/>
    <w:rsid w:val="6A5C0AF4"/>
    <w:rsid w:val="6A7F2752"/>
    <w:rsid w:val="6AB7796E"/>
    <w:rsid w:val="6B9243CE"/>
    <w:rsid w:val="6BCD4D10"/>
    <w:rsid w:val="6BDC3D71"/>
    <w:rsid w:val="6C053158"/>
    <w:rsid w:val="6CBA4591"/>
    <w:rsid w:val="6CE74D9C"/>
    <w:rsid w:val="6D2F2D47"/>
    <w:rsid w:val="6DAD7273"/>
    <w:rsid w:val="6E181255"/>
    <w:rsid w:val="6E4A7233"/>
    <w:rsid w:val="6E5A2C76"/>
    <w:rsid w:val="6EC35A9B"/>
    <w:rsid w:val="6EC80A88"/>
    <w:rsid w:val="6ED715C8"/>
    <w:rsid w:val="6F674879"/>
    <w:rsid w:val="6F690A73"/>
    <w:rsid w:val="70A20C99"/>
    <w:rsid w:val="70E4211E"/>
    <w:rsid w:val="717939ED"/>
    <w:rsid w:val="71A96D04"/>
    <w:rsid w:val="71D50007"/>
    <w:rsid w:val="71FB6F30"/>
    <w:rsid w:val="7202560F"/>
    <w:rsid w:val="727E1F2B"/>
    <w:rsid w:val="72892DCF"/>
    <w:rsid w:val="72AC34C9"/>
    <w:rsid w:val="72DD5BA8"/>
    <w:rsid w:val="73326A8A"/>
    <w:rsid w:val="747E1DB5"/>
    <w:rsid w:val="753D1CF8"/>
    <w:rsid w:val="75513B6D"/>
    <w:rsid w:val="75A84F75"/>
    <w:rsid w:val="75D445CD"/>
    <w:rsid w:val="764D2BCD"/>
    <w:rsid w:val="76AB0F84"/>
    <w:rsid w:val="76CF6BC9"/>
    <w:rsid w:val="76E27EAF"/>
    <w:rsid w:val="78391F55"/>
    <w:rsid w:val="783F58B4"/>
    <w:rsid w:val="78BA6A91"/>
    <w:rsid w:val="78ED4D72"/>
    <w:rsid w:val="790E244E"/>
    <w:rsid w:val="79295E73"/>
    <w:rsid w:val="79FA3F2A"/>
    <w:rsid w:val="7B244B04"/>
    <w:rsid w:val="7B250B03"/>
    <w:rsid w:val="7B9D7474"/>
    <w:rsid w:val="7BDA6903"/>
    <w:rsid w:val="7D321EEB"/>
    <w:rsid w:val="7DE200F8"/>
    <w:rsid w:val="7E0F0A3E"/>
    <w:rsid w:val="7E677B7D"/>
    <w:rsid w:val="7E725B3F"/>
    <w:rsid w:val="7E8C4063"/>
    <w:rsid w:val="7E8F0A3E"/>
    <w:rsid w:val="7EEE57A9"/>
    <w:rsid w:val="7F5A07C7"/>
    <w:rsid w:val="7FE706BA"/>
    <w:rsid w:val="7FF86BC4"/>
    <w:rsid w:val="CF7B689B"/>
    <w:rsid w:val="F1DB488F"/>
    <w:rsid w:val="FF92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仿宋_GB2312" w:hAnsi="Calibri" w:eastAsia="仿宋_GB2312" w:cs="Times New Roman"/>
      <w:kern w:val="2"/>
      <w:sz w:val="30"/>
      <w:szCs w:val="30"/>
      <w:lang w:val="en-US" w:eastAsia="zh-CN" w:bidi="ar-SA"/>
    </w:rPr>
  </w:style>
  <w:style w:type="paragraph" w:styleId="2">
    <w:name w:val="heading 1"/>
    <w:basedOn w:val="1"/>
    <w:next w:val="1"/>
    <w:link w:val="39"/>
    <w:qFormat/>
    <w:uiPriority w:val="9"/>
    <w:pPr>
      <w:keepNext/>
      <w:keepLines/>
      <w:spacing w:before="204" w:beforeLines="50" w:after="204" w:afterLines="50" w:line="560" w:lineRule="exact"/>
      <w:ind w:firstLine="0" w:firstLineChars="0"/>
      <w:jc w:val="center"/>
      <w:outlineLvl w:val="0"/>
    </w:pPr>
    <w:rPr>
      <w:rFonts w:ascii="仿宋" w:hAnsi="仿宋" w:eastAsia="仿宋"/>
      <w:b/>
      <w:bCs/>
      <w:kern w:val="44"/>
      <w:sz w:val="32"/>
      <w:szCs w:val="32"/>
    </w:rPr>
  </w:style>
  <w:style w:type="paragraph" w:styleId="3">
    <w:name w:val="heading 2"/>
    <w:basedOn w:val="4"/>
    <w:next w:val="1"/>
    <w:link w:val="40"/>
    <w:unhideWhenUsed/>
    <w:qFormat/>
    <w:uiPriority w:val="9"/>
    <w:pPr>
      <w:ind w:firstLine="640" w:firstLineChars="200"/>
      <w:jc w:val="left"/>
      <w:outlineLvl w:val="1"/>
    </w:pPr>
    <w:rPr>
      <w:rFonts w:ascii="黑体" w:hAnsi="黑体" w:eastAsia="黑体" w:cs="Times New Roman"/>
      <w:b w:val="0"/>
      <w:sz w:val="32"/>
      <w:szCs w:val="32"/>
    </w:rPr>
  </w:style>
  <w:style w:type="paragraph" w:styleId="5">
    <w:name w:val="heading 3"/>
    <w:basedOn w:val="1"/>
    <w:next w:val="1"/>
    <w:link w:val="41"/>
    <w:unhideWhenUsed/>
    <w:qFormat/>
    <w:uiPriority w:val="9"/>
    <w:pPr>
      <w:snapToGrid w:val="0"/>
      <w:spacing w:line="560" w:lineRule="exact"/>
      <w:ind w:firstLine="640"/>
      <w:outlineLvl w:val="2"/>
    </w:pPr>
    <w:rPr>
      <w:rFonts w:ascii="楷体" w:hAnsi="楷体" w:eastAsia="楷体"/>
      <w:bCs/>
      <w:sz w:val="32"/>
      <w:szCs w:val="32"/>
    </w:rPr>
  </w:style>
  <w:style w:type="paragraph" w:styleId="6">
    <w:name w:val="heading 4"/>
    <w:basedOn w:val="1"/>
    <w:next w:val="1"/>
    <w:link w:val="5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9"/>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4">
    <w:name w:val="通知公告表单标题"/>
    <w:qFormat/>
    <w:uiPriority w:val="0"/>
    <w:pPr>
      <w:spacing w:line="560" w:lineRule="exact"/>
      <w:jc w:val="center"/>
    </w:pPr>
    <w:rPr>
      <w:rFonts w:ascii="Times New Roman" w:hAnsi="Times New Roman" w:eastAsia="仿宋" w:cs="Garamond"/>
      <w:b/>
      <w:kern w:val="2"/>
      <w:sz w:val="28"/>
      <w:szCs w:val="21"/>
      <w:lang w:val="en-US" w:eastAsia="zh-CN" w:bidi="ar-SA"/>
    </w:rPr>
  </w:style>
  <w:style w:type="paragraph" w:styleId="8">
    <w:name w:val="toc 7"/>
    <w:basedOn w:val="1"/>
    <w:next w:val="1"/>
    <w:unhideWhenUsed/>
    <w:qFormat/>
    <w:uiPriority w:val="39"/>
    <w:pPr>
      <w:ind w:left="2520" w:leftChars="1200"/>
    </w:pPr>
    <w:rPr>
      <w:rFonts w:asciiTheme="minorHAnsi" w:hAnsiTheme="minorHAnsi" w:eastAsiaTheme="minorEastAsia" w:cstheme="minorBidi"/>
    </w:rPr>
  </w:style>
  <w:style w:type="paragraph" w:styleId="9">
    <w:name w:val="Normal Indent"/>
    <w:basedOn w:val="1"/>
    <w:qFormat/>
    <w:uiPriority w:val="99"/>
    <w:pPr>
      <w:adjustRightInd w:val="0"/>
      <w:snapToGrid w:val="0"/>
      <w:spacing w:beforeLines="50" w:afterLines="50" w:line="288" w:lineRule="auto"/>
      <w:ind w:firstLine="200"/>
    </w:pPr>
    <w:rPr>
      <w:rFonts w:ascii="Times New Roman" w:hAnsi="Times New Roman" w:eastAsia="楷体_GB2312"/>
      <w:sz w:val="24"/>
      <w:szCs w:val="24"/>
    </w:rPr>
  </w:style>
  <w:style w:type="paragraph" w:styleId="10">
    <w:name w:val="Document Map"/>
    <w:basedOn w:val="1"/>
    <w:link w:val="49"/>
    <w:semiHidden/>
    <w:unhideWhenUsed/>
    <w:qFormat/>
    <w:uiPriority w:val="99"/>
    <w:rPr>
      <w:rFonts w:ascii="宋体"/>
      <w:kern w:val="0"/>
      <w:sz w:val="18"/>
      <w:szCs w:val="18"/>
      <w:lang w:val="zh-CN"/>
    </w:rPr>
  </w:style>
  <w:style w:type="paragraph" w:styleId="11">
    <w:name w:val="annotation text"/>
    <w:basedOn w:val="1"/>
    <w:link w:val="51"/>
    <w:unhideWhenUsed/>
    <w:qFormat/>
    <w:uiPriority w:val="99"/>
    <w:pPr>
      <w:jc w:val="left"/>
    </w:pPr>
  </w:style>
  <w:style w:type="paragraph" w:styleId="12">
    <w:name w:val="Body Text Indent"/>
    <w:basedOn w:val="1"/>
    <w:link w:val="57"/>
    <w:qFormat/>
    <w:uiPriority w:val="0"/>
    <w:pPr>
      <w:spacing w:line="460" w:lineRule="exact"/>
      <w:ind w:left="106" w:leftChars="38" w:firstLine="792" w:firstLineChars="330"/>
    </w:pPr>
    <w:rPr>
      <w:rFonts w:ascii="楷体_GB2312" w:hAnsi="宋体" w:eastAsia="楷体_GB2312"/>
      <w:iCs/>
      <w:color w:val="000000"/>
      <w:sz w:val="24"/>
      <w:szCs w:val="20"/>
      <w:lang w:val="zh-CN"/>
    </w:rPr>
  </w:style>
  <w:style w:type="paragraph" w:styleId="13">
    <w:name w:val="toc 5"/>
    <w:basedOn w:val="1"/>
    <w:next w:val="1"/>
    <w:unhideWhenUsed/>
    <w:qFormat/>
    <w:uiPriority w:val="39"/>
    <w:pPr>
      <w:ind w:left="1680" w:leftChars="800"/>
    </w:pPr>
    <w:rPr>
      <w:rFonts w:asciiTheme="minorHAnsi" w:hAnsiTheme="minorHAnsi" w:eastAsiaTheme="minorEastAsia" w:cstheme="minorBidi"/>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link w:val="60"/>
    <w:unhideWhenUsed/>
    <w:qFormat/>
    <w:uiPriority w:val="0"/>
    <w:pPr>
      <w:widowControl/>
      <w:jc w:val="left"/>
    </w:pPr>
    <w:rPr>
      <w:rFonts w:ascii="宋体" w:hAnsi="Courier New"/>
      <w:szCs w:val="20"/>
    </w:r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link w:val="55"/>
    <w:semiHidden/>
    <w:unhideWhenUsed/>
    <w:qFormat/>
    <w:uiPriority w:val="99"/>
    <w:pPr>
      <w:ind w:left="100" w:leftChars="2500"/>
    </w:pPr>
  </w:style>
  <w:style w:type="paragraph" w:styleId="18">
    <w:name w:val="Balloon Text"/>
    <w:basedOn w:val="1"/>
    <w:link w:val="47"/>
    <w:semiHidden/>
    <w:unhideWhenUsed/>
    <w:qFormat/>
    <w:uiPriority w:val="99"/>
    <w:rPr>
      <w:kern w:val="0"/>
      <w:sz w:val="18"/>
      <w:szCs w:val="18"/>
      <w:lang w:val="zh-CN"/>
    </w:rPr>
  </w:style>
  <w:style w:type="paragraph" w:styleId="19">
    <w:name w:val="footer"/>
    <w:basedOn w:val="1"/>
    <w:link w:val="44"/>
    <w:unhideWhenUsed/>
    <w:qFormat/>
    <w:uiPriority w:val="99"/>
    <w:pPr>
      <w:tabs>
        <w:tab w:val="center" w:pos="4153"/>
        <w:tab w:val="right" w:pos="8306"/>
      </w:tabs>
      <w:snapToGrid w:val="0"/>
      <w:jc w:val="left"/>
    </w:pPr>
    <w:rPr>
      <w:kern w:val="0"/>
      <w:sz w:val="18"/>
      <w:szCs w:val="18"/>
      <w:lang w:val="zh-CN"/>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1">
    <w:name w:val="toc 1"/>
    <w:basedOn w:val="1"/>
    <w:next w:val="1"/>
    <w:unhideWhenUsed/>
    <w:qFormat/>
    <w:uiPriority w:val="39"/>
    <w:pPr>
      <w:widowControl/>
      <w:tabs>
        <w:tab w:val="right" w:leader="dot" w:pos="8296"/>
      </w:tabs>
      <w:spacing w:after="100" w:line="276" w:lineRule="auto"/>
      <w:ind w:firstLine="0" w:firstLineChars="0"/>
    </w:pPr>
    <w:rPr>
      <w:b/>
      <w:kern w:val="0"/>
      <w:sz w:val="22"/>
    </w:rPr>
  </w:style>
  <w:style w:type="paragraph" w:styleId="22">
    <w:name w:val="toc 4"/>
    <w:basedOn w:val="1"/>
    <w:next w:val="1"/>
    <w:unhideWhenUsed/>
    <w:qFormat/>
    <w:uiPriority w:val="39"/>
    <w:pPr>
      <w:ind w:left="1260" w:leftChars="600"/>
    </w:pPr>
    <w:rPr>
      <w:rFonts w:asciiTheme="minorHAnsi" w:hAnsiTheme="minorHAnsi" w:eastAsiaTheme="minorEastAsia" w:cstheme="minorBidi"/>
    </w:rPr>
  </w:style>
  <w:style w:type="paragraph" w:styleId="23">
    <w:name w:val="footnote text"/>
    <w:basedOn w:val="1"/>
    <w:link w:val="50"/>
    <w:semiHidden/>
    <w:unhideWhenUsed/>
    <w:qFormat/>
    <w:uiPriority w:val="99"/>
    <w:pPr>
      <w:snapToGrid w:val="0"/>
      <w:jc w:val="left"/>
    </w:pPr>
    <w:rPr>
      <w:kern w:val="0"/>
      <w:sz w:val="18"/>
      <w:szCs w:val="18"/>
      <w:lang w:val="zh-CN"/>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toc 2"/>
    <w:basedOn w:val="1"/>
    <w:next w:val="1"/>
    <w:unhideWhenUsed/>
    <w:qFormat/>
    <w:uiPriority w:val="39"/>
    <w:pPr>
      <w:widowControl/>
      <w:tabs>
        <w:tab w:val="right" w:leader="dot" w:pos="8296"/>
      </w:tabs>
      <w:spacing w:line="276" w:lineRule="auto"/>
      <w:ind w:left="221" w:firstLine="64" w:firstLineChars="29"/>
      <w:jc w:val="left"/>
    </w:pPr>
    <w:rPr>
      <w:kern w:val="0"/>
      <w:sz w:val="22"/>
    </w:rPr>
  </w:style>
  <w:style w:type="paragraph" w:styleId="26">
    <w:name w:val="toc 9"/>
    <w:basedOn w:val="1"/>
    <w:next w:val="1"/>
    <w:unhideWhenUsed/>
    <w:qFormat/>
    <w:uiPriority w:val="39"/>
    <w:pPr>
      <w:ind w:left="3360" w:leftChars="1600"/>
    </w:pPr>
    <w:rPr>
      <w:rFonts w:asciiTheme="minorHAnsi" w:hAnsiTheme="minorHAnsi" w:eastAsiaTheme="minorEastAsia" w:cstheme="minorBidi"/>
    </w:rPr>
  </w:style>
  <w:style w:type="paragraph" w:styleId="27">
    <w:name w:val="Normal (Web)"/>
    <w:basedOn w:val="1"/>
    <w:link w:val="64"/>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qFormat/>
    <w:uiPriority w:val="10"/>
    <w:pPr>
      <w:widowControl/>
      <w:jc w:val="left"/>
    </w:pPr>
    <w:rPr>
      <w:rFonts w:ascii="仿宋" w:hAnsi="仿宋" w:eastAsia="仿宋" w:cs="仿宋"/>
      <w:b/>
      <w:sz w:val="32"/>
      <w:szCs w:val="32"/>
    </w:rPr>
  </w:style>
  <w:style w:type="paragraph" w:styleId="29">
    <w:name w:val="annotation subject"/>
    <w:basedOn w:val="11"/>
    <w:next w:val="11"/>
    <w:link w:val="52"/>
    <w:semiHidden/>
    <w:unhideWhenUsed/>
    <w:qFormat/>
    <w:uiPriority w:val="99"/>
    <w:rPr>
      <w:b/>
      <w:bCs/>
      <w:kern w:val="0"/>
      <w:sz w:val="20"/>
      <w:szCs w:val="20"/>
      <w:lang w:val="zh-CN"/>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5">
    <w:name w:val="Hyperlink"/>
    <w:basedOn w:val="32"/>
    <w:unhideWhenUsed/>
    <w:qFormat/>
    <w:uiPriority w:val="99"/>
    <w:rPr>
      <w:color w:val="0000FF"/>
      <w:u w:val="single"/>
    </w:rPr>
  </w:style>
  <w:style w:type="character" w:styleId="36">
    <w:name w:val="annotation reference"/>
    <w:unhideWhenUsed/>
    <w:qFormat/>
    <w:uiPriority w:val="99"/>
    <w:rPr>
      <w:sz w:val="21"/>
      <w:szCs w:val="21"/>
    </w:rPr>
  </w:style>
  <w:style w:type="character" w:styleId="37">
    <w:name w:val="footnote reference"/>
    <w:semiHidden/>
    <w:unhideWhenUsed/>
    <w:qFormat/>
    <w:uiPriority w:val="99"/>
    <w:rPr>
      <w:vertAlign w:val="superscript"/>
    </w:rPr>
  </w:style>
  <w:style w:type="paragraph" w:styleId="38">
    <w:name w:val="List Paragraph"/>
    <w:basedOn w:val="1"/>
    <w:link w:val="45"/>
    <w:qFormat/>
    <w:uiPriority w:val="34"/>
    <w:pPr>
      <w:ind w:firstLine="420"/>
    </w:pPr>
  </w:style>
  <w:style w:type="character" w:customStyle="1" w:styleId="39">
    <w:name w:val="标题 1 Char"/>
    <w:link w:val="2"/>
    <w:qFormat/>
    <w:uiPriority w:val="9"/>
    <w:rPr>
      <w:rFonts w:ascii="仿宋" w:hAnsi="仿宋" w:eastAsia="仿宋"/>
      <w:b/>
      <w:bCs/>
      <w:kern w:val="44"/>
      <w:sz w:val="32"/>
      <w:szCs w:val="32"/>
    </w:rPr>
  </w:style>
  <w:style w:type="character" w:customStyle="1" w:styleId="40">
    <w:name w:val="标题 2 Char"/>
    <w:link w:val="3"/>
    <w:qFormat/>
    <w:uiPriority w:val="9"/>
    <w:rPr>
      <w:rFonts w:ascii="黑体" w:hAnsi="黑体" w:eastAsia="黑体"/>
      <w:kern w:val="2"/>
      <w:sz w:val="32"/>
      <w:szCs w:val="32"/>
    </w:rPr>
  </w:style>
  <w:style w:type="character" w:customStyle="1" w:styleId="41">
    <w:name w:val="标题 3 Char"/>
    <w:link w:val="5"/>
    <w:qFormat/>
    <w:uiPriority w:val="9"/>
    <w:rPr>
      <w:rFonts w:ascii="楷体" w:hAnsi="楷体" w:eastAsia="楷体"/>
      <w:bCs/>
      <w:kern w:val="2"/>
      <w:sz w:val="32"/>
      <w:szCs w:val="32"/>
    </w:rPr>
  </w:style>
  <w:style w:type="paragraph" w:customStyle="1" w:styleId="4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43">
    <w:name w:val="页眉 Char"/>
    <w:link w:val="20"/>
    <w:qFormat/>
    <w:uiPriority w:val="99"/>
    <w:rPr>
      <w:sz w:val="18"/>
      <w:szCs w:val="18"/>
    </w:rPr>
  </w:style>
  <w:style w:type="character" w:customStyle="1" w:styleId="44">
    <w:name w:val="页脚 Char"/>
    <w:link w:val="19"/>
    <w:qFormat/>
    <w:uiPriority w:val="99"/>
    <w:rPr>
      <w:sz w:val="18"/>
      <w:szCs w:val="18"/>
    </w:rPr>
  </w:style>
  <w:style w:type="character" w:customStyle="1" w:styleId="45">
    <w:name w:val="列出段落 Char"/>
    <w:link w:val="38"/>
    <w:qFormat/>
    <w:uiPriority w:val="34"/>
  </w:style>
  <w:style w:type="paragraph" w:customStyle="1" w:styleId="46">
    <w:name w:val="TOC 标题1"/>
    <w:basedOn w:val="2"/>
    <w:next w:val="1"/>
    <w:semiHidden/>
    <w:unhideWhenUsed/>
    <w:qFormat/>
    <w:uiPriority w:val="39"/>
    <w:pPr>
      <w:outlineLvl w:val="9"/>
    </w:pPr>
  </w:style>
  <w:style w:type="character" w:customStyle="1" w:styleId="47">
    <w:name w:val="批注框文本 Char"/>
    <w:link w:val="18"/>
    <w:semiHidden/>
    <w:qFormat/>
    <w:uiPriority w:val="99"/>
    <w:rPr>
      <w:sz w:val="18"/>
      <w:szCs w:val="18"/>
    </w:rPr>
  </w:style>
  <w:style w:type="paragraph" w:customStyle="1" w:styleId="48">
    <w:name w:val="Normal0"/>
    <w:qFormat/>
    <w:uiPriority w:val="0"/>
    <w:rPr>
      <w:rFonts w:ascii="Times New Roman" w:hAnsi="Times New Roman" w:eastAsia="宋体" w:cs="Times New Roman"/>
      <w:lang w:val="en-US" w:eastAsia="en-US" w:bidi="ar-SA"/>
    </w:rPr>
  </w:style>
  <w:style w:type="character" w:customStyle="1" w:styleId="49">
    <w:name w:val="文档结构图 Char"/>
    <w:link w:val="10"/>
    <w:semiHidden/>
    <w:qFormat/>
    <w:uiPriority w:val="99"/>
    <w:rPr>
      <w:rFonts w:ascii="宋体" w:eastAsia="宋体"/>
      <w:sz w:val="18"/>
      <w:szCs w:val="18"/>
    </w:rPr>
  </w:style>
  <w:style w:type="character" w:customStyle="1" w:styleId="50">
    <w:name w:val="脚注文本 Char"/>
    <w:link w:val="23"/>
    <w:semiHidden/>
    <w:qFormat/>
    <w:uiPriority w:val="99"/>
    <w:rPr>
      <w:sz w:val="18"/>
      <w:szCs w:val="18"/>
    </w:rPr>
  </w:style>
  <w:style w:type="character" w:customStyle="1" w:styleId="51">
    <w:name w:val="批注文字 Char"/>
    <w:basedOn w:val="32"/>
    <w:link w:val="11"/>
    <w:qFormat/>
    <w:uiPriority w:val="99"/>
  </w:style>
  <w:style w:type="character" w:customStyle="1" w:styleId="52">
    <w:name w:val="批注主题 Char"/>
    <w:link w:val="29"/>
    <w:semiHidden/>
    <w:qFormat/>
    <w:uiPriority w:val="99"/>
    <w:rPr>
      <w:b/>
      <w:bCs/>
    </w:rPr>
  </w:style>
  <w:style w:type="paragraph" w:customStyle="1" w:styleId="53">
    <w:name w:val="正文样式"/>
    <w:basedOn w:val="38"/>
    <w:link w:val="54"/>
    <w:qFormat/>
    <w:uiPriority w:val="0"/>
    <w:pPr>
      <w:spacing w:beforeLines="100" w:afterLines="50" w:line="360" w:lineRule="auto"/>
      <w:ind w:left="1260" w:leftChars="600" w:firstLine="0" w:firstLineChars="0"/>
    </w:pPr>
    <w:rPr>
      <w:rFonts w:hAnsi="Times New Roman"/>
      <w:kern w:val="0"/>
      <w:sz w:val="28"/>
      <w:szCs w:val="28"/>
      <w:lang w:val="zh-CN"/>
    </w:rPr>
  </w:style>
  <w:style w:type="character" w:customStyle="1" w:styleId="54">
    <w:name w:val="正文样式 Char"/>
    <w:link w:val="53"/>
    <w:qFormat/>
    <w:uiPriority w:val="0"/>
    <w:rPr>
      <w:rFonts w:ascii="仿宋_GB2312" w:hAnsi="Times New Roman" w:eastAsia="仿宋_GB2312" w:cs="Times New Roman"/>
      <w:sz w:val="28"/>
      <w:szCs w:val="28"/>
    </w:rPr>
  </w:style>
  <w:style w:type="character" w:customStyle="1" w:styleId="55">
    <w:name w:val="日期 Char"/>
    <w:basedOn w:val="32"/>
    <w:link w:val="17"/>
    <w:semiHidden/>
    <w:qFormat/>
    <w:uiPriority w:val="99"/>
  </w:style>
  <w:style w:type="paragraph" w:customStyle="1" w:styleId="56">
    <w:name w:val="修订1"/>
    <w:hidden/>
    <w:semiHidden/>
    <w:qFormat/>
    <w:uiPriority w:val="99"/>
    <w:rPr>
      <w:rFonts w:ascii="Calibri" w:hAnsi="Calibri" w:eastAsia="宋体" w:cs="Times New Roman"/>
      <w:kern w:val="2"/>
      <w:sz w:val="21"/>
      <w:szCs w:val="22"/>
      <w:lang w:val="en-US" w:eastAsia="zh-CN" w:bidi="ar-SA"/>
    </w:rPr>
  </w:style>
  <w:style w:type="character" w:customStyle="1" w:styleId="57">
    <w:name w:val="正文文本缩进 Char"/>
    <w:link w:val="12"/>
    <w:qFormat/>
    <w:uiPriority w:val="0"/>
    <w:rPr>
      <w:rFonts w:ascii="楷体_GB2312" w:hAnsi="宋体" w:eastAsia="楷体_GB2312"/>
      <w:iCs/>
      <w:color w:val="000000"/>
      <w:kern w:val="2"/>
      <w:sz w:val="24"/>
      <w:lang w:val="zh-CN" w:eastAsia="zh-CN"/>
    </w:rPr>
  </w:style>
  <w:style w:type="character" w:customStyle="1" w:styleId="58">
    <w:name w:val="标题 4 Char"/>
    <w:basedOn w:val="32"/>
    <w:link w:val="6"/>
    <w:qFormat/>
    <w:uiPriority w:val="9"/>
    <w:rPr>
      <w:rFonts w:asciiTheme="majorHAnsi" w:hAnsiTheme="majorHAnsi" w:eastAsiaTheme="majorEastAsia" w:cstheme="majorBidi"/>
      <w:b/>
      <w:bCs/>
      <w:kern w:val="2"/>
      <w:sz w:val="28"/>
      <w:szCs w:val="28"/>
    </w:rPr>
  </w:style>
  <w:style w:type="character" w:customStyle="1" w:styleId="59">
    <w:name w:val="标题 5 Char"/>
    <w:basedOn w:val="32"/>
    <w:link w:val="7"/>
    <w:qFormat/>
    <w:uiPriority w:val="9"/>
    <w:rPr>
      <w:b/>
      <w:bCs/>
      <w:kern w:val="2"/>
      <w:sz w:val="28"/>
      <w:szCs w:val="28"/>
    </w:rPr>
  </w:style>
  <w:style w:type="character" w:customStyle="1" w:styleId="60">
    <w:name w:val="纯文本 Char"/>
    <w:basedOn w:val="32"/>
    <w:link w:val="15"/>
    <w:qFormat/>
    <w:uiPriority w:val="0"/>
    <w:rPr>
      <w:rFonts w:ascii="宋体" w:hAnsi="Courier New"/>
      <w:kern w:val="2"/>
      <w:sz w:val="21"/>
    </w:rPr>
  </w:style>
  <w:style w:type="paragraph" w:styleId="61">
    <w:name w:val="No Spacing"/>
    <w:qFormat/>
    <w:uiPriority w:val="1"/>
    <w:pPr>
      <w:widowControl w:val="0"/>
      <w:ind w:firstLine="600" w:firstLineChars="200"/>
      <w:jc w:val="both"/>
    </w:pPr>
    <w:rPr>
      <w:rFonts w:ascii="仿宋_GB2312" w:hAnsi="Calibri" w:eastAsia="仿宋_GB2312" w:cs="Times New Roman"/>
      <w:kern w:val="2"/>
      <w:sz w:val="30"/>
      <w:szCs w:val="30"/>
      <w:lang w:val="en-US" w:eastAsia="zh-CN" w:bidi="ar-SA"/>
    </w:rPr>
  </w:style>
  <w:style w:type="paragraph" w:customStyle="1" w:styleId="62">
    <w:name w:val="TOC 标题11"/>
    <w:basedOn w:val="2"/>
    <w:next w:val="1"/>
    <w:unhideWhenUsed/>
    <w:qFormat/>
    <w:uiPriority w:val="39"/>
    <w:pPr>
      <w:widowControl/>
      <w:spacing w:before="480" w:line="276" w:lineRule="auto"/>
      <w:jc w:val="left"/>
      <w:outlineLvl w:val="9"/>
    </w:pPr>
    <w:rPr>
      <w:rFonts w:ascii="Calibri Light" w:hAnsi="Calibri Light" w:eastAsia="宋体"/>
      <w:color w:val="2E74B5"/>
      <w:kern w:val="0"/>
      <w:sz w:val="28"/>
      <w:szCs w:val="28"/>
    </w:rPr>
  </w:style>
  <w:style w:type="paragraph" w:customStyle="1" w:styleId="63">
    <w:name w:val="修订2"/>
    <w:hidden/>
    <w:unhideWhenUsed/>
    <w:qFormat/>
    <w:uiPriority w:val="99"/>
    <w:rPr>
      <w:rFonts w:ascii="仿宋_GB2312" w:hAnsi="Calibri" w:eastAsia="仿宋_GB2312" w:cs="Times New Roman"/>
      <w:kern w:val="2"/>
      <w:sz w:val="30"/>
      <w:szCs w:val="30"/>
      <w:lang w:val="en-US" w:eastAsia="zh-CN" w:bidi="ar-SA"/>
    </w:rPr>
  </w:style>
  <w:style w:type="character" w:customStyle="1" w:styleId="64">
    <w:name w:val="普通(网站) Char"/>
    <w:basedOn w:val="32"/>
    <w:link w:val="27"/>
    <w:qFormat/>
    <w:uiPriority w:val="0"/>
    <w:rPr>
      <w:rFonts w:ascii="宋体" w:hAnsi="宋体" w:eastAsia="仿宋_GB2312" w:cs="宋体"/>
      <w:sz w:val="24"/>
      <w:szCs w:val="24"/>
    </w:rPr>
  </w:style>
  <w:style w:type="character" w:customStyle="1" w:styleId="65">
    <w:name w:val="Highlighted Variable"/>
    <w:qFormat/>
    <w:uiPriority w:val="0"/>
    <w:rPr>
      <w:color w:val="0000FF"/>
    </w:rPr>
  </w:style>
  <w:style w:type="table" w:customStyle="1" w:styleId="66">
    <w:name w:val="网格型1"/>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修订3"/>
    <w:hidden/>
    <w:unhideWhenUsed/>
    <w:qFormat/>
    <w:uiPriority w:val="99"/>
    <w:rPr>
      <w:rFonts w:ascii="仿宋_GB2312" w:hAnsi="Calibri" w:eastAsia="仿宋_GB2312" w:cs="Times New Roman"/>
      <w:kern w:val="2"/>
      <w:sz w:val="30"/>
      <w:szCs w:val="30"/>
      <w:lang w:val="en-US" w:eastAsia="zh-CN" w:bidi="ar-SA"/>
    </w:rPr>
  </w:style>
  <w:style w:type="paragraph" w:customStyle="1" w:styleId="68">
    <w:name w:val="Revision"/>
    <w:hidden/>
    <w:unhideWhenUsed/>
    <w:qFormat/>
    <w:uiPriority w:val="99"/>
    <w:rPr>
      <w:rFonts w:ascii="仿宋_GB2312" w:hAnsi="Calibri"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StyleName="APA" SelectedStyle="\APA.XSL"/>
</file>

<file path=customXml/item3.xml><?xml version="1.0" encoding="utf-8"?>
<ct:contentTypeSchema xmlns:ct="http://schemas.microsoft.com/office/2006/metadata/contentType" xmlns:ma="http://schemas.microsoft.com/office/2006/metadata/properties/metaAttributes" contentTypeName="深交所文档中心(New)" contentTypeDescription="" _="" versionID="75f70b8c12025c49fb82c580f0127d31" contentTypeID="0x010100BFF86933982D954699BF75D6EEFACEE401008F598E7BA4788947AF492DCDF6522C8E" contentTypeScope="" contentTypeVersion="3">
  <xsd:schema xmlns:xsd="http://www.w3.org/2001/XMLSchema" xmlns:ma="http://schemas.microsoft.com/office/2006/metadata/properties/metaAttributes" targetNamespace="http://schemas.microsoft.com/office/2006/metadata/properties" ma:fieldsID="99b3010e303baa2781c908718ffb767e" _="" ma:root="true">
    <xsd:import xmlns:xsd="http://www.w3.org/2001/XMLSchema" namespace="e3ed7b3c-58ad-40ee-af63-61e00a681d7c"/>
    <xsd:import xmlns:xsd="http://www.w3.org/2001/XMLSchema" namespace="5df33f2c-abb3-4242-bea9-ecc009f23325"/>
    <xsd:import xmlns:xsd="http://www.w3.org/2001/XMLSchema" namespace="af7764ec-d5b1-43f8-8c99-7b7a1c02a389"/>
    <xsd:import xmlns:xsd="http://www.w3.org/2001/XMLSchema" namespace="2ee3fe5c-7b5c-477c-b578-e3b15c18279f"/>
    <xsd:import xmlns:xsd="http://www.w3.org/2001/XMLSchema" namespace="c708a2cf-f3d7-4c87-801a-68274f70690b"/>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oc0407afe9724b418f0de539c436b47b" minOccurs="0"/>
                <xsd:element xmlns:xsd="http://www.w3.org/2001/XMLSchema" ref="ns2:Draftman" minOccurs="0"/>
                <xsd:element xmlns:xsd="http://www.w3.org/2001/XMLSchema" ref="ns2:k974182db0524a0cb83c9e5eb5e404b2" minOccurs="0"/>
                <xsd:element xmlns:xsd="http://www.w3.org/2001/XMLSchema" ref="ns2:PublicationType" minOccurs="0"/>
                <xsd:element xmlns:xsd="http://www.w3.org/2001/XMLSchema" ref="ns2:PublicationRange" minOccurs="0"/>
                <xsd:element xmlns:xsd="http://www.w3.org/2001/XMLSchema" ref="ns3:文件字号" minOccurs="0"/>
                <xsd:element xmlns:xsd="http://www.w3.org/2001/XMLSchema" ref="ns2:Dense" minOccurs="0"/>
                <xsd:element xmlns:xsd="http://www.w3.org/2001/XMLSchema" ref="ns2:DisInHome" minOccurs="0"/>
                <xsd:element xmlns:xsd="http://www.w3.org/2001/XMLSchema" ref="ns3:点击" minOccurs="0"/>
                <xsd:element xmlns:xsd="http://www.w3.org/2001/XMLSchema" ref="ns2:WeekViewCount" minOccurs="0"/>
                <xsd:element xmlns:xsd="http://www.w3.org/2001/XMLSchema" ref="ns2:MonthViewCount" minOccurs="0"/>
                <xsd:element xmlns:xsd="http://www.w3.org/2001/XMLSchema" ref="ns2:Likes" minOccurs="0"/>
                <xsd:element xmlns:xsd="http://www.w3.org/2001/XMLSchema" ref="ns4:TaxCatchAll" minOccurs="0"/>
                <xsd:element xmlns:xsd="http://www.w3.org/2001/XMLSchema" ref="ns4:TaxCatchAllLabel"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5:分类" minOccurs="0"/>
                <xsd:element xmlns:xsd="http://www.w3.org/2001/XMLSchema" ref="ns5:部门" minOccurs="0"/>
                <xsd:element xmlns:xsd="http://www.w3.org/2001/XMLSchema" ref="ns6:EntryTime" minOccurs="0"/>
                <xsd:element xmlns:xsd="http://www.w3.org/2001/XMLSchema" ref="ns4:生效日期" minOccurs="0"/>
              </xsd:all>
            </xsd:complexType>
          </xsd:element>
        </xsd:sequence>
      </xsd:complexType>
    </xsd:element>
  </xsd:schema>
  <xsd:schema xmlns:xsd="http://www.w3.org/2001/XMLSchema" targetNamespace="e3ed7b3c-58ad-40ee-af63-61e00a681d7c"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sspId="e8c9348b-b9cf-4df2-b253-2f2ee5e24a93" ma:displayName="所属分类" name="oc0407afe9724b418f0de539c436b47b" ma:anchorId="00000000-0000-0000-0000-000000000000" ma:fieldId="{8c0407af-e972-4b41-8f0d-e539c436b47b}" ma:index="2" ma:taxonomyFieldName="ClassificationOfTheGenus" ma:internalName="oc0407afe9724b418f0de539c436b47b" ma:open="false" ma:taxonomy="true" nillable="true" ma:default="" ma:isKeyword="false" ma:taxonomyMulti="true" ma:termSetId="bc42af1c-9e9d-4eb4-ab5d-4c4cba118b07">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displayName="起草人" name="Draftman" ma:readOnly="false" ma:SharePointGroup="0" ma:index="4" ma:list="UserInfo" ma:internalName="Draftman" ma:SearchPeopleOnly="false" nillable="true" ma:showField="ImnName">
      <xsd:complexType xmlns:xsd="http://www.w3.org/2001/XMLSchema">
        <xsd:complexContent xmlns:xsd="http://www.w3.org/2001/XMLSchema">
          <xsd:extension xmlns:xsd="http://www.w3.org/2001/XMLSchema" base="dms:UserMulti">
            <xsd:sequence xmlns:xsd="http://www.w3.org/2001/XMLSchema">
              <xsd:element xmlns:xsd="http://www.w3.org/2001/XMLSchema" name="UserInfo" maxOccurs="unbounded" minOccurs="0">
                <xsd:complexType xmlns:xsd="http://www.w3.org/2001/XMLSchema">
                  <xsd:sequence xmlns:xsd="http://www.w3.org/2001/XMLSchema">
                    <xsd:element xmlns:xsd="http://www.w3.org/2001/XMLSchema" name="DisplayName" type="xsd:string" minOccurs="0"/>
                    <xsd:element xmlns:xsd="http://www.w3.org/2001/XMLSchema" name="AccountId" nillable="true" type="dms:UserId" minOccurs="0"/>
                    <xsd:element xmlns:xsd="http://www.w3.org/2001/XMLSchema" name="AccountType" type="xsd:string" minOccurs="0"/>
                  </xsd:sequence>
                </xsd:complexType>
              </xsd:element>
            </xsd:sequence>
          </xsd:extension>
        </xsd:complexContent>
      </xsd:complexType>
    </xsd:element>
    <xsd:element xmlns:xsd="http://www.w3.org/2001/XMLSchema" xmlns:ma="http://schemas.microsoft.com/office/2006/metadata/properties/metaAttributes" ma:sspId="e8c9348b-b9cf-4df2-b253-2f2ee5e24a93" ma:displayName="起草部门" name="k974182db0524a0cb83c9e5eb5e404b2" ma:anchorId="00000000-0000-0000-0000-000000000000" ma:fieldId="{4974182d-b052-4a0c-b83c-9e5eb5e404b2}" ma:index="5" ma:taxonomyFieldName="DraftingDepartment" ma:internalName="k974182db0524a0cb83c9e5eb5e404b2" ma:open="false" ma:taxonomy="true" nillable="true" ma:default="" ma:isKeyword="false" ma:taxonomyMulti="true" ma:termSetId="ce49cd3b-d345-4b1a-9323-2626858f3c0d">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displayName="发布类型" name="PublicationType" ma:format="RadioButtons" ma:index="7" ma:internalName="PublicationType" nillable="true">
      <xsd:simpleType xmlns:xsd="http://www.w3.org/2001/XMLSchema">
        <xsd:restriction xmlns:xsd="http://www.w3.org/2001/XMLSchema" base="dms:Choice">
          <xsd:enumeration xmlns:xsd="http://www.w3.org/2001/XMLSchema" value="全体人员"/>
          <xsd:enumeration xmlns:xsd="http://www.w3.org/2001/XMLSchema" value="限定范围"/>
          <xsd:enumeration xmlns:xsd="http://www.w3.org/2001/XMLSchema" value="自定义"/>
        </xsd:restriction>
      </xsd:simpleType>
    </xsd:element>
    <xsd:element xmlns:xsd="http://www.w3.org/2001/XMLSchema" xmlns:ma="http://schemas.microsoft.com/office/2006/metadata/properties/metaAttributes" ma:displayName="发布范围" name="PublicationRange" ma:readOnly="false" ma:SharePointGroup="0" ma:index="8" ma:list="UserInfo" ma:internalName="PublicationRange" ma:SearchPeopleOnly="false" nillable="true" ma:showField="ImnName">
      <xsd:complexType xmlns:xsd="http://www.w3.org/2001/XMLSchema">
        <xsd:complexContent xmlns:xsd="http://www.w3.org/2001/XMLSchema">
          <xsd:extension xmlns:xsd="http://www.w3.org/2001/XMLSchema" base="dms:UserMulti">
            <xsd:sequence xmlns:xsd="http://www.w3.org/2001/XMLSchema">
              <xsd:element xmlns:xsd="http://www.w3.org/2001/XMLSchema" name="UserInfo" maxOccurs="unbounded" minOccurs="0">
                <xsd:complexType xmlns:xsd="http://www.w3.org/2001/XMLSchema">
                  <xsd:sequence xmlns:xsd="http://www.w3.org/2001/XMLSchema">
                    <xsd:element xmlns:xsd="http://www.w3.org/2001/XMLSchema" name="DisplayName" type="xsd:string" minOccurs="0"/>
                    <xsd:element xmlns:xsd="http://www.w3.org/2001/XMLSchema" name="AccountId" nillable="true" type="dms:UserId" minOccurs="0"/>
                    <xsd:element xmlns:xsd="http://www.w3.org/2001/XMLSchema" name="AccountType" type="xsd:string" minOccurs="0"/>
                  </xsd:sequence>
                </xsd:complexType>
              </xsd:element>
            </xsd:sequence>
          </xsd:extension>
        </xsd:complexContent>
      </xsd:complexType>
    </xsd:element>
    <xsd:element xmlns:xsd="http://www.w3.org/2001/XMLSchema" xmlns:ma="http://schemas.microsoft.com/office/2006/metadata/properties/metaAttributes" ma:displayName="密级" name="Dense" ma:format="RadioButtons" ma:index="10" ma:internalName="Dense" nillable="true" ma:default="内部使用">
      <xsd:simpleType xmlns:xsd="http://www.w3.org/2001/XMLSchema">
        <xsd:restriction xmlns:xsd="http://www.w3.org/2001/XMLSchema" base="dms:Choice">
          <xsd:enumeration xmlns:xsd="http://www.w3.org/2001/XMLSchema" value="内部使用"/>
          <xsd:enumeration xmlns:xsd="http://www.w3.org/2001/XMLSchema" value="所内秘密"/>
          <xsd:enumeration xmlns:xsd="http://www.w3.org/2001/XMLSchema" value="所内机密"/>
        </xsd:restriction>
      </xsd:simpleType>
    </xsd:element>
    <xsd:element xmlns:xsd="http://www.w3.org/2001/XMLSchema" xmlns:ma="http://schemas.microsoft.com/office/2006/metadata/properties/metaAttributes" ma:displayName="首页显示" name="DisInHome" ma:format="RadioButtons" ma:index="11" ma:internalName="DisInHome" nillable="true" ma:default="否">
      <xsd:simpleType xmlns:xsd="http://www.w3.org/2001/XMLSchema">
        <xsd:restriction xmlns:xsd="http://www.w3.org/2001/XMLSchema" base="dms:Choice">
          <xsd:enumeration xmlns:xsd="http://www.w3.org/2001/XMLSchema" value="是"/>
          <xsd:enumeration xmlns:xsd="http://www.w3.org/2001/XMLSchema" value="否"/>
        </xsd:restriction>
      </xsd:simpleType>
    </xsd:element>
    <xsd:element xmlns:xsd="http://www.w3.org/2001/XMLSchema" xmlns:ma="http://schemas.microsoft.com/office/2006/metadata/properties/metaAttributes" ma:displayName="周点击" name="WeekViewCount" ma:index="13" ma:internalName="WeekViewCount" nillable="true">
      <xsd:simpleType xmlns:xsd="http://www.w3.org/2001/XMLSchema">
        <xsd:restriction xmlns:xsd="http://www.w3.org/2001/XMLSchema" base="dms:Unknown"/>
      </xsd:simpleType>
    </xsd:element>
    <xsd:element xmlns:xsd="http://www.w3.org/2001/XMLSchema" xmlns:ma="http://schemas.microsoft.com/office/2006/metadata/properties/metaAttributes" ma:displayName="月点击" name="MonthViewCount" ma:index="14" ma:internalName="MonthViewCount" nillable="true">
      <xsd:simpleType xmlns:xsd="http://www.w3.org/2001/XMLSchema">
        <xsd:restriction xmlns:xsd="http://www.w3.org/2001/XMLSchema" base="dms:Unknown"/>
      </xsd:simpleType>
    </xsd:element>
    <xsd:element xmlns:xsd="http://www.w3.org/2001/XMLSchema" xmlns:ma="http://schemas.microsoft.com/office/2006/metadata/properties/metaAttributes" ma:displayName="点赞" name="Likes" ma:index="15" ma:internalName="Likes" nillable="true">
      <xsd:simpleType xmlns:xsd="http://www.w3.org/2001/XMLSchema">
        <xsd:restriction xmlns:xsd="http://www.w3.org/2001/XMLSchema" base="dms:Unknown"/>
      </xsd:simpleType>
    </xsd:element>
  </xsd:schema>
  <xsd:schema xmlns:xsd="http://www.w3.org/2001/XMLSchema" targetNamespace="5df33f2c-abb3-4242-bea9-ecc009f23325"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文件字号" name="文件字号" ma:readOnly="false" ma:index="9" ma:internalName="_x6587__x4ef6__x5b57__x53f7_" nillable="true">
      <xsd:simpleType xmlns:xsd="http://www.w3.org/2001/XMLSchema">
        <xsd:restriction xmlns:xsd="http://www.w3.org/2001/XMLSchema" base="dms:Text"/>
      </xsd:simpleType>
    </xsd:element>
    <xsd:element xmlns:xsd="http://www.w3.org/2001/XMLSchema" xmlns:ma="http://schemas.microsoft.com/office/2006/metadata/properties/metaAttributes" ma:displayName="点击" name="点击" ma:index="12" ma:internalName="_x70b9__x51fb_" nillable="true">
      <xsd:simpleType xmlns:xsd="http://www.w3.org/2001/XMLSchema">
        <xsd:restriction xmlns:xsd="http://www.w3.org/2001/XMLSchema" base="dms:Unknown"/>
      </xsd:simpleType>
    </xsd:element>
    <xsd:element xmlns:xsd="http://www.w3.org/2001/XMLSchema" xmlns:ma="http://schemas.microsoft.com/office/2006/metadata/properties/metaAttributes" ma:displayName="文档 ID 值" name="_dlc_DocId" ma:readOnly="true" ma:description="分配至此项的文档 ID 值。" ma:index="18" ma:internalName="_dlc_DocId" nillable="true">
      <xsd:simpleType xmlns:xsd="http://www.w3.org/2001/XMLSchema">
        <xsd:restriction xmlns:xsd="http://www.w3.org/2001/XMLSchema" base="dms:Text"/>
      </xsd:simpleType>
    </xsd:element>
    <xsd:element xmlns:xsd="http://www.w3.org/2001/XMLSchema" xmlns:ma="http://schemas.microsoft.com/office/2006/metadata/properties/metaAttributes" ma:displayName="文档 ID" name="_dlc_DocIdUrl" ma:readOnly="true" ma:description="此文档的永久链接。" ma:index="19" ma:internalName="_dlc_DocIdUrl" ma:hidden="true" nillable="true">
      <xsd:complexType xmlns:xsd="http://www.w3.org/2001/XMLSchema">
        <xsd:complexContent xmlns:xsd="http://www.w3.org/2001/XMLSchema">
          <xsd:extension xmlns:xsd="http://www.w3.org/2001/XMLSchema" base="dms:URL">
            <xsd:sequence xmlns:xsd="http://www.w3.org/2001/XMLSchema">
              <xsd:element xmlns:xsd="http://www.w3.org/2001/XMLSchema" name="Url" nillable="true" type="dms:ValidUrl" minOccurs="0"/>
              <xsd:element xmlns:xsd="http://www.w3.org/2001/XMLSchema" name="Description" nillable="true" type="xsd:string"/>
            </xsd:sequence>
          </xsd:extension>
        </xsd:complexContent>
      </xsd:complexType>
    </xsd:element>
    <xsd:element xmlns:xsd="http://www.w3.org/2001/XMLSchema" xmlns:ma="http://schemas.microsoft.com/office/2006/metadata/properties/metaAttributes" ma:displayName="永久 ID" name="_dlc_DocIdPersistId" ma:readOnly="true" ma:description="在添加过程中保留 ID。" ma:index="20" ma:internalName="_dlc_DocIdPersistId" ma:hidden="true" nillable="true">
      <xsd:simpleType xmlns:xsd="http://www.w3.org/2001/XMLSchema">
        <xsd:restriction xmlns:xsd="http://www.w3.org/2001/XMLSchema" base="dms:Boolean"/>
      </xsd:simpleType>
    </xsd:element>
  </xsd:schema>
  <xsd:schema xmlns:xsd="http://www.w3.org/2001/XMLSchema" targetNamespace="af7764ec-d5b1-43f8-8c99-7b7a1c02a389"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分类捕捉所有”列" name="TaxCatchAll" ma:web="af7764ec-d5b1-43f8-8c99-7b7a1c02a389" ma:index="16" ma:list="{3dbca74f-b806-474e-a183-1f255db7da76}" ma:internalName="TaxCatchAll" ma:hidden="true" nillable="true" ma:showField="CatchAllData">
      <xsd:complexType xmlns:xsd="http://www.w3.org/2001/XMLSchema">
        <xsd:complexContent xmlns:xsd="http://www.w3.org/2001/XMLSchema">
          <xsd:extension xmlns:xsd="http://www.w3.org/2001/XMLSchema" base="dms:MultiChoiceLookup">
            <xsd:sequence xmlns:xsd="http://www.w3.org/2001/XMLSchema">
              <xsd:element xmlns:xsd="http://www.w3.org/2001/XMLSchema" name="Value" nillable="true" maxOccurs="unbounded" type="dms:Lookup" minOccurs="0"/>
            </xsd:sequence>
          </xsd:extension>
        </xsd:complexContent>
      </xsd:complexType>
    </xsd:element>
    <xsd:element xmlns:xsd="http://www.w3.org/2001/XMLSchema" xmlns:ma="http://schemas.microsoft.com/office/2006/metadata/properties/metaAttributes" ma:displayName="“分类捕捉所有”列1" name="TaxCatchAllLabel" ma:readOnly="true" ma:web="af7764ec-d5b1-43f8-8c99-7b7a1c02a389" ma:index="17" ma:list="{3dbca74f-b806-474e-a183-1f255db7da76}" ma:internalName="TaxCatchAllLabel" ma:hidden="true" nillable="true" ma:showField="CatchAllDataLabel">
      <xsd:complexType xmlns:xsd="http://www.w3.org/2001/XMLSchema">
        <xsd:complexContent xmlns:xsd="http://www.w3.org/2001/XMLSchema">
          <xsd:extension xmlns:xsd="http://www.w3.org/2001/XMLSchema" base="dms:MultiChoiceLookup">
            <xsd:sequence xmlns:xsd="http://www.w3.org/2001/XMLSchema">
              <xsd:element xmlns:xsd="http://www.w3.org/2001/XMLSchema" name="Value" nillable="true" maxOccurs="unbounded" type="dms:Lookup" minOccurs="0"/>
            </xsd:sequence>
          </xsd:extension>
        </xsd:complexContent>
      </xsd:complexType>
    </xsd:element>
    <xsd:element xmlns:xsd="http://www.w3.org/2001/XMLSchema" xmlns:ma="http://schemas.microsoft.com/office/2006/metadata/properties/metaAttributes" ma:displayName="生效日期" name="生效日期" ma:format="DateOnly" ma:index="24" ma:internalName="_x751f__x6548__x65e5__x671f_" nillable="true">
      <xsd:simpleType xmlns:xsd="http://www.w3.org/2001/XMLSchema">
        <xsd:restriction xmlns:xsd="http://www.w3.org/2001/XMLSchema" base="dms:DateTime"/>
      </xsd:simpleType>
    </xsd:element>
  </xsd:schema>
  <xsd:schema xmlns:xsd="http://www.w3.org/2001/XMLSchema" targetNamespace="2ee3fe5c-7b5c-477c-b578-e3b15c18279f"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分类" name="分类" ma:index="21" ma:internalName="classification" nillable="true">
      <xsd:simpleType xmlns:xsd="http://www.w3.org/2001/XMLSchema">
        <xsd:restriction xmlns:xsd="http://www.w3.org/2001/XMLSchema" base="dms:Note"/>
      </xsd:simpleType>
    </xsd:element>
    <xsd:element xmlns:xsd="http://www.w3.org/2001/XMLSchema" xmlns:ma="http://schemas.microsoft.com/office/2006/metadata/properties/metaAttributes" ma:displayName="部门" name="部门" ma:index="22" ma:internalName="dept" nillable="true">
      <xsd:simpleType xmlns:xsd="http://www.w3.org/2001/XMLSchema">
        <xsd:restriction xmlns:xsd="http://www.w3.org/2001/XMLSchema" base="dms:Text"/>
      </xsd:simpleType>
    </xsd:element>
  </xsd:schema>
  <xsd:schema xmlns:xsd="http://www.w3.org/2001/XMLSchema" targetNamespace="c708a2cf-f3d7-4c87-801a-68274f70690b"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生效日期" name="EntryTime" ma:format="DateOnly" ma:index="23" ma:internalName="EntryTime" nillable="true">
      <xsd:simpleType xmlns:xsd="http://www.w3.org/2001/XMLSchema">
        <xsd:restriction xmlns:xsd="http://www.w3.org/2001/XMLSchema" base="dms:DateTime"/>
      </xsd:simpleType>
    </xsd:element>
  </xsd:schema>
  <xsd:schema xmlns:xsd="http://www.w3.org/2001/XMLSchema" targetNamespace="http://schemas.openxmlformats.org/package/2006/metadata/core-properties" elementFormDefault="qualified" attributeFormDefault="unqualified" blockDefault="#all">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name="coreProperties" type="CT_coreProperties"/>
    <xsd:complexType xmlns:xsd="http://www.w3.org/2001/XMLSchema" name="CT_coreProperties">
      <xsd:all xmlns:xsd="http://www.w3.org/2001/XMLSchema">
        <xsd:element xmlns:xsd="http://www.w3.org/2001/XMLSchema" maxOccurs="1" ref="dc:creator" minOccurs="0"/>
        <xsd:element xmlns:xsd="http://www.w3.org/2001/XMLSchema" maxOccurs="1" ref="dcterms:created" minOccurs="0"/>
        <xsd:element xmlns:xsd="http://www.w3.org/2001/XMLSchema" maxOccurs="1" ref="dc:identifier" minOccurs="0"/>
        <xsd:element xmlns:xsd="http://www.w3.org/2001/XMLSchema" name="contentType" maxOccurs="1" type="xsd:string" minOccurs="0"/>
        <xsd:element xmlns:xsd="http://www.w3.org/2001/XMLSchema" xmlns:ma="http://schemas.microsoft.com/office/2006/metadata/properties/metaAttributes" ma:displayName="标题" ma:index="0" maxOccurs="1" ref="dc:title" minOccurs="0"/>
        <xsd:element xmlns:xsd="http://www.w3.org/2001/XMLSchema" maxOccurs="1" ref="dc:subject" minOccurs="0"/>
        <xsd:element xmlns:xsd="http://www.w3.org/2001/XMLSchema" maxOccurs="1" ref="dc:description" minOccurs="0"/>
        <xsd:element xmlns:xsd="http://www.w3.org/2001/XMLSchema" name="keywords" maxOccurs="1" type="xsd:string" minOccurs="0"/>
        <xsd:element xmlns:xsd="http://www.w3.org/2001/XMLSchema" maxOccurs="1" ref="dc:language" minOccurs="0"/>
        <xsd:element xmlns:xsd="http://www.w3.org/2001/XMLSchema" name="category" maxOccurs="1" type="xsd:string" minOccurs="0"/>
        <xsd:element xmlns:xsd="http://www.w3.org/2001/XMLSchema" name="version" maxOccurs="1" type="xsd:string" minOccurs="0"/>
        <xsd:element xmlns:xsd="http://www.w3.org/2001/XMLSchema" name="revision" maxOccurs="1" type="xsd:string"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name="lastModifiedBy" maxOccurs="1" type="xsd:string" minOccurs="0"/>
        <xsd:element xmlns:xsd="http://www.w3.org/2001/XMLSchema" maxOccurs="1" ref="dcterms:modified" minOccurs="0"/>
        <xsd:element xmlns:xsd="http://www.w3.org/2001/XMLSchema" name="contentStatus" maxOccurs="1" type="xsd:string" minOccurs="0"/>
      </xsd:all>
    </xsd:complexType>
  </xsd:schema>
  <xs:schema xmlns:xs="http://www.w3.org/2001/XMLSchema" targetNamespace="http://schemas.microsoft.com/office/infopath/2007/PartnerControls" elementFormDefault="qualified" attributeFormDefault="un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maxOccurs="unbounded" ref="pc:BDCEntity"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maxOccurs="unbounded" ref="pc:TermInfo"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name="TermName" type="xs:string"/>
    <xs:element xmlns:xs="http://www.w3.org/2001/XMLSchema" name="TermId" type="xs:string"/>
  </xs:schema>
</ct:contentTypeSchema>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9888A-C8E0-4481-867E-D606012C503E}">
  <ds:schemaRefs/>
</ds:datastoreItem>
</file>

<file path=customXml/itemProps3.xml><?xml version="1.0" encoding="utf-8"?>
<ds:datastoreItem xmlns:ds="http://schemas.openxmlformats.org/officeDocument/2006/customXml" ds:itemID="{58A8278D-C575-4EB9-A7C6-1BEA50267F21}">
  <ds:schemaRefs/>
</ds:datastoreItem>
</file>

<file path=customXml/itemProps4.xml><?xml version="1.0" encoding="utf-8"?>
<ds:datastoreItem xmlns:ds="http://schemas.openxmlformats.org/officeDocument/2006/customXml" ds:itemID="{6D5F462C-73DC-4254-ABB6-452A1BE3F3D6}">
  <ds:schemaRefs/>
</ds:datastoreItem>
</file>

<file path=customXml/itemProps5.xml><?xml version="1.0" encoding="utf-8"?>
<ds:datastoreItem xmlns:ds="http://schemas.openxmlformats.org/officeDocument/2006/customXml" ds:itemID="{DE61C0A5-1B21-4349-952A-8B432E6DA7F1}">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26</Pages>
  <Words>2003</Words>
  <Characters>11418</Characters>
  <Lines>95</Lines>
  <Paragraphs>26</Paragraphs>
  <TotalTime>0</TotalTime>
  <ScaleCrop>false</ScaleCrop>
  <LinksUpToDate>false</LinksUpToDate>
  <CharactersWithSpaces>13395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2023-01-05T18:18:00Z</dcterms:created>
  <dc:creator>xwp</dc:creator>
  <cp:lastModifiedBy>xxfb01</cp:lastModifiedBy>
  <cp:lastPrinted>2026-05-18T22:44:00Z</cp:lastPrinted>
  <dcterms:modified xsi:type="dcterms:W3CDTF">2026-05-22T03:20:38Z</dcterms:modified>
  <dc:title>深证会[2021]282号附件：深圳证券交易所股票期权试点做市商业务指南（2021年修订）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
  </property>
  <property fmtid="{D5CDD505-2E9C-101B-9397-08002B2CF9AE}" pid="4" name="DraftingDepartment">
    <vt:lpwstr/>
  </property>
  <property fmtid="{D5CDD505-2E9C-101B-9397-08002B2CF9AE}" pid="5" name="KSOProductBuildVer">
    <vt:lpwstr>2052-11.8.2.12094</vt:lpwstr>
  </property>
  <property fmtid="{D5CDD505-2E9C-101B-9397-08002B2CF9AE}" pid="6" name="DisInHome">
    <vt:lpwstr>否</vt:lpwstr>
  </property>
  <property fmtid="{D5CDD505-2E9C-101B-9397-08002B2CF9AE}" pid="7" name="点击">
    <vt:lpwstr/>
  </property>
  <property fmtid="{D5CDD505-2E9C-101B-9397-08002B2CF9AE}" pid="8" name="Likes">
    <vt:lpwstr/>
  </property>
  <property fmtid="{D5CDD505-2E9C-101B-9397-08002B2CF9AE}" pid="9" name="文件字号">
    <vt:lpwstr/>
  </property>
  <property fmtid="{D5CDD505-2E9C-101B-9397-08002B2CF9AE}" pid="10" name="WeekViewCount">
    <vt:lpwstr/>
  </property>
  <property fmtid="{D5CDD505-2E9C-101B-9397-08002B2CF9AE}" pid="11" name="classification">
    <vt:lpwstr/>
  </property>
  <property fmtid="{D5CDD505-2E9C-101B-9397-08002B2CF9AE}" pid="12" name="k974182db0524a0cb83c9e5eb5e404b2">
    <vt:lpwstr/>
  </property>
  <property fmtid="{D5CDD505-2E9C-101B-9397-08002B2CF9AE}" pid="13" name="PublicationRange">
    <vt:lpwstr/>
  </property>
  <property fmtid="{D5CDD505-2E9C-101B-9397-08002B2CF9AE}" pid="14" name="MonthViewCount">
    <vt:lpwstr/>
  </property>
  <property fmtid="{D5CDD505-2E9C-101B-9397-08002B2CF9AE}" pid="15" name="dept">
    <vt:lpwstr/>
  </property>
  <property fmtid="{D5CDD505-2E9C-101B-9397-08002B2CF9AE}" pid="16" name="oc0407afe9724b418f0de539c436b47b">
    <vt:lpwstr/>
  </property>
  <property fmtid="{D5CDD505-2E9C-101B-9397-08002B2CF9AE}" pid="17" name="TaxCatchAll">
    <vt:lpwstr/>
  </property>
  <property fmtid="{D5CDD505-2E9C-101B-9397-08002B2CF9AE}" pid="18" name="Draftman">
    <vt:lpwstr/>
  </property>
  <property fmtid="{D5CDD505-2E9C-101B-9397-08002B2CF9AE}" pid="19" name="Dense">
    <vt:lpwstr>内部使用</vt:lpwstr>
  </property>
  <property fmtid="{D5CDD505-2E9C-101B-9397-08002B2CF9AE}" pid="20" name="生效日期">
    <vt:lpwstr/>
  </property>
  <property fmtid="{D5CDD505-2E9C-101B-9397-08002B2CF9AE}" pid="21" name="PublicationType">
    <vt:lpwstr/>
  </property>
  <property fmtid="{D5CDD505-2E9C-101B-9397-08002B2CF9AE}" pid="22" name="EntryTime">
    <vt:lpwstr/>
  </property>
  <property fmtid="{D5CDD505-2E9C-101B-9397-08002B2CF9AE}" pid="23" name="ICV">
    <vt:lpwstr>0FEDFBD0F2E24CC6979EDB9E3B88EAA2</vt:lpwstr>
  </property>
</Properties>
</file>