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cs="Times New Roman"/>
          <w:sz w:val="32"/>
          <w:szCs w:val="32"/>
        </w:rPr>
      </w:pPr>
      <w:bookmarkStart w:id="146" w:name="_GoBack"/>
      <w:bookmarkEnd w:id="146"/>
      <w:r>
        <w:rPr>
          <w:rFonts w:hint="eastAsia" w:ascii="黑体" w:hAnsi="黑体" w:eastAsia="黑体" w:cs="Times New Roman"/>
          <w:sz w:val="32"/>
          <w:szCs w:val="32"/>
        </w:rPr>
        <w:t>附件</w:t>
      </w:r>
    </w:p>
    <w:p>
      <w:pPr>
        <w:spacing w:line="360" w:lineRule="auto"/>
        <w:jc w:val="both"/>
        <w:rPr>
          <w:rFonts w:ascii="宋体" w:hAnsi="宋体" w:eastAsia="宋体" w:cs="Times New Roman"/>
          <w:b/>
          <w:sz w:val="36"/>
          <w:szCs w:val="36"/>
        </w:rPr>
      </w:pPr>
    </w:p>
    <w:p>
      <w:pPr>
        <w:snapToGrid w:val="0"/>
        <w:jc w:val="center"/>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深圳证券交易所债券交易业务指南第2号</w:t>
      </w:r>
    </w:p>
    <w:p>
      <w:pPr>
        <w:snapToGrid w:val="0"/>
        <w:jc w:val="center"/>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——债券质押式协议回购（202</w:t>
      </w:r>
      <w:r>
        <w:rPr>
          <w:rFonts w:hint="eastAsia" w:ascii="方正小标宋简体" w:hAnsi="方正小标宋简体" w:eastAsia="方正小标宋简体" w:cs="方正小标宋简体"/>
          <w:sz w:val="44"/>
          <w:szCs w:val="40"/>
          <w:lang w:val="en-US" w:eastAsia="zh-CN"/>
        </w:rPr>
        <w:t>6</w:t>
      </w:r>
      <w:r>
        <w:rPr>
          <w:rFonts w:hint="eastAsia" w:ascii="方正小标宋简体" w:hAnsi="方正小标宋简体" w:eastAsia="方正小标宋简体" w:cs="方正小标宋简体"/>
          <w:sz w:val="44"/>
          <w:szCs w:val="40"/>
        </w:rPr>
        <w:t>年修订）</w:t>
      </w:r>
    </w:p>
    <w:p>
      <w:pPr>
        <w:jc w:val="center"/>
        <w:rPr>
          <w:rFonts w:ascii="Times New Roman" w:hAnsi="Times New Roman" w:eastAsia="楷体" w:cs="Times New Roman"/>
          <w:sz w:val="24"/>
          <w:szCs w:val="24"/>
        </w:rPr>
      </w:pPr>
    </w:p>
    <w:p>
      <w:pPr>
        <w:jc w:val="center"/>
        <w:rPr>
          <w:rFonts w:ascii="宋体" w:hAnsi="宋体" w:eastAsia="宋体" w:cs="Times New Roman"/>
          <w:bCs/>
          <w:sz w:val="32"/>
          <w:szCs w:val="32"/>
        </w:rPr>
      </w:pPr>
      <w:r>
        <w:rPr>
          <w:rFonts w:hint="eastAsia" w:ascii="宋体" w:hAnsi="宋体" w:eastAsia="宋体" w:cs="Times New Roman"/>
          <w:bCs/>
          <w:sz w:val="32"/>
          <w:szCs w:val="32"/>
        </w:rPr>
        <w:t>版本及修订说明</w:t>
      </w:r>
    </w:p>
    <w:tbl>
      <w:tblPr>
        <w:tblStyle w:val="21"/>
        <w:tblW w:w="7050" w:type="dxa"/>
        <w:tblInd w:w="8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rPr>
                <w:rFonts w:ascii="宋体" w:hAnsi="宋体" w:eastAsia="宋体" w:cs="Times New Roman"/>
                <w:bCs/>
                <w:sz w:val="28"/>
                <w:szCs w:val="28"/>
              </w:rPr>
            </w:pPr>
            <w:r>
              <w:rPr>
                <w:rFonts w:hint="eastAsia" w:ascii="宋体" w:hAnsi="宋体" w:eastAsia="宋体" w:cs="Times New Roman"/>
                <w:bCs/>
                <w:sz w:val="28"/>
                <w:szCs w:val="28"/>
              </w:rPr>
              <w:t>发布日期</w:t>
            </w:r>
          </w:p>
        </w:tc>
        <w:tc>
          <w:tcPr>
            <w:tcW w:w="5250" w:type="dxa"/>
          </w:tcPr>
          <w:p>
            <w:pPr>
              <w:rPr>
                <w:rFonts w:ascii="宋体" w:hAnsi="宋体" w:eastAsia="宋体" w:cs="Times New Roman"/>
                <w:bCs/>
                <w:sz w:val="28"/>
                <w:szCs w:val="28"/>
              </w:rPr>
            </w:pPr>
            <w:r>
              <w:rPr>
                <w:rFonts w:hint="eastAsia" w:ascii="宋体" w:hAnsi="宋体" w:eastAsia="宋体" w:cs="Times New Roman"/>
                <w:bCs/>
                <w:sz w:val="28"/>
                <w:szCs w:val="28"/>
              </w:rPr>
              <w:t>版本及主要修订内容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rPr>
                <w:rFonts w:ascii="宋体" w:hAnsi="宋体" w:eastAsia="宋体" w:cs="Times New Roman"/>
                <w:bCs/>
                <w:sz w:val="28"/>
                <w:szCs w:val="28"/>
              </w:rPr>
            </w:pPr>
            <w:r>
              <w:rPr>
                <w:rFonts w:hint="eastAsia" w:ascii="宋体" w:hAnsi="宋体" w:eastAsia="宋体" w:cs="Times New Roman"/>
                <w:bCs/>
                <w:sz w:val="28"/>
                <w:szCs w:val="28"/>
              </w:rPr>
              <w:t>2021/5/7</w:t>
            </w:r>
          </w:p>
        </w:tc>
        <w:tc>
          <w:tcPr>
            <w:tcW w:w="5250" w:type="dxa"/>
          </w:tcPr>
          <w:p>
            <w:pPr>
              <w:rPr>
                <w:rFonts w:ascii="宋体" w:hAnsi="宋体" w:eastAsia="宋体" w:cs="Times New Roman"/>
                <w:bCs/>
                <w:sz w:val="28"/>
                <w:szCs w:val="28"/>
              </w:rPr>
            </w:pPr>
            <w:r>
              <w:rPr>
                <w:rFonts w:hint="eastAsia" w:ascii="宋体" w:hAnsi="宋体" w:eastAsia="宋体" w:cs="Times New Roman"/>
                <w:bCs/>
                <w:sz w:val="28"/>
                <w:szCs w:val="28"/>
              </w:rPr>
              <w:t>首次发布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rPr>
                <w:rFonts w:ascii="宋体" w:hAnsi="宋体" w:eastAsia="宋体" w:cs="Times New Roman"/>
                <w:bCs/>
                <w:sz w:val="28"/>
                <w:szCs w:val="28"/>
              </w:rPr>
            </w:pPr>
            <w:r>
              <w:rPr>
                <w:rFonts w:hint="eastAsia" w:ascii="宋体" w:hAnsi="宋体" w:eastAsia="宋体" w:cs="Times New Roman"/>
                <w:bCs/>
                <w:sz w:val="28"/>
                <w:szCs w:val="28"/>
              </w:rPr>
              <w:t>2023</w:t>
            </w:r>
            <w:r>
              <w:rPr>
                <w:rFonts w:ascii="宋体" w:hAnsi="宋体" w:eastAsia="宋体" w:cs="Times New Roman"/>
                <w:bCs/>
                <w:sz w:val="28"/>
                <w:szCs w:val="28"/>
              </w:rPr>
              <w:t>/</w:t>
            </w:r>
            <w:r>
              <w:rPr>
                <w:rFonts w:hint="eastAsia" w:ascii="宋体" w:hAnsi="宋体" w:eastAsia="宋体" w:cs="Times New Roman"/>
                <w:bCs/>
                <w:sz w:val="28"/>
                <w:szCs w:val="28"/>
                <w:lang w:val="en-US" w:eastAsia="zh-CN"/>
              </w:rPr>
              <w:t>8</w:t>
            </w:r>
            <w:r>
              <w:rPr>
                <w:rFonts w:ascii="宋体" w:hAnsi="宋体" w:eastAsia="宋体" w:cs="Times New Roman"/>
                <w:bCs/>
                <w:sz w:val="28"/>
                <w:szCs w:val="28"/>
              </w:rPr>
              <w:t>/</w:t>
            </w:r>
            <w:r>
              <w:rPr>
                <w:rFonts w:hint="eastAsia" w:ascii="宋体" w:hAnsi="宋体" w:eastAsia="宋体" w:cs="Times New Roman"/>
                <w:bCs/>
                <w:sz w:val="28"/>
                <w:szCs w:val="28"/>
                <w:lang w:val="en-US" w:eastAsia="zh-CN"/>
              </w:rPr>
              <w:t>15</w:t>
            </w:r>
          </w:p>
        </w:tc>
        <w:tc>
          <w:tcPr>
            <w:tcW w:w="5250" w:type="dxa"/>
          </w:tcPr>
          <w:p>
            <w:pPr>
              <w:rPr>
                <w:rFonts w:ascii="宋体" w:hAnsi="宋体" w:eastAsia="宋体" w:cs="Times New Roman"/>
                <w:bCs/>
                <w:sz w:val="28"/>
                <w:szCs w:val="28"/>
              </w:rPr>
            </w:pPr>
            <w:r>
              <w:rPr>
                <w:rFonts w:hint="eastAsia" w:ascii="宋体" w:hAnsi="宋体" w:eastAsia="宋体" w:cs="Times New Roman"/>
                <w:bCs/>
                <w:sz w:val="28"/>
                <w:szCs w:val="28"/>
              </w:rPr>
              <w:t>根据《深圳证券交易所债券交易业务指引第</w:t>
            </w:r>
            <w:r>
              <w:rPr>
                <w:rFonts w:ascii="宋体" w:hAnsi="宋体" w:eastAsia="宋体" w:cs="Times New Roman"/>
                <w:bCs/>
                <w:sz w:val="28"/>
                <w:szCs w:val="28"/>
              </w:rPr>
              <w:t>4号——债券质押式协议回购风险控制》</w:t>
            </w:r>
            <w:r>
              <w:rPr>
                <w:rFonts w:hint="eastAsia" w:ascii="宋体" w:hAnsi="宋体" w:eastAsia="宋体" w:cs="Times New Roman"/>
                <w:bCs/>
                <w:sz w:val="28"/>
                <w:szCs w:val="28"/>
              </w:rPr>
              <w:t>相关要求进行修订，包括调整业务申报要素、规范风险控制措施等内容。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rPr>
                <w:rFonts w:hint="default" w:ascii="宋体" w:hAnsi="宋体" w:eastAsia="宋体" w:cs="Times New Roman"/>
                <w:bCs/>
                <w:sz w:val="28"/>
                <w:szCs w:val="28"/>
                <w:lang w:val="en-US" w:eastAsia="zh-CN"/>
              </w:rPr>
            </w:pPr>
            <w:r>
              <w:rPr>
                <w:rFonts w:hint="eastAsia" w:ascii="宋体" w:hAnsi="宋体" w:eastAsia="宋体" w:cs="Times New Roman"/>
                <w:bCs/>
                <w:sz w:val="28"/>
                <w:szCs w:val="28"/>
                <w:lang w:val="en-US" w:eastAsia="zh-CN"/>
              </w:rPr>
              <w:t>2026/5/22</w:t>
            </w:r>
          </w:p>
        </w:tc>
        <w:tc>
          <w:tcPr>
            <w:tcW w:w="5250" w:type="dxa"/>
          </w:tcPr>
          <w:p>
            <w:pPr>
              <w:rPr>
                <w:rFonts w:hint="eastAsia" w:ascii="宋体" w:hAnsi="宋体" w:eastAsia="宋体" w:cs="Times New Roman"/>
                <w:bCs/>
                <w:sz w:val="28"/>
                <w:szCs w:val="28"/>
              </w:rPr>
            </w:pPr>
            <w:r>
              <w:rPr>
                <w:rFonts w:hint="eastAsia" w:ascii="宋体" w:hAnsi="宋体" w:eastAsia="宋体" w:cs="Times New Roman"/>
                <w:bCs/>
                <w:sz w:val="28"/>
                <w:szCs w:val="28"/>
              </w:rPr>
              <w:t>根据《</w:t>
            </w:r>
            <w:r>
              <w:rPr>
                <w:rFonts w:hint="eastAsia" w:ascii="宋体" w:hAnsi="宋体" w:eastAsia="宋体" w:cs="Times New Roman"/>
                <w:bCs/>
                <w:sz w:val="28"/>
                <w:szCs w:val="28"/>
                <w:lang w:eastAsia="zh-CN"/>
              </w:rPr>
              <w:t>关于发布</w:t>
            </w:r>
            <w:r>
              <w:rPr>
                <w:rFonts w:hint="eastAsia" w:ascii="宋体" w:hAnsi="宋体" w:eastAsia="宋体" w:cs="Times New Roman"/>
                <w:bCs/>
                <w:sz w:val="28"/>
                <w:szCs w:val="28"/>
                <w:lang w:val="en-US" w:eastAsia="zh-CN"/>
              </w:rPr>
              <w:t>&lt;</w:t>
            </w:r>
            <w:r>
              <w:rPr>
                <w:rFonts w:hint="eastAsia" w:ascii="宋体" w:hAnsi="宋体" w:eastAsia="宋体" w:cs="Times New Roman"/>
                <w:bCs/>
                <w:sz w:val="28"/>
                <w:szCs w:val="28"/>
              </w:rPr>
              <w:t>深圳证券交易所债券交易业务指引第4号——债券质押式协议回购风险控制</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2026年修订</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&gt;</w:t>
            </w:r>
            <w:r>
              <w:rPr>
                <w:rFonts w:hint="eastAsia" w:ascii="宋体" w:hAnsi="宋体" w:eastAsia="宋体" w:cs="Times New Roman"/>
                <w:bCs/>
                <w:sz w:val="28"/>
                <w:szCs w:val="28"/>
                <w:lang w:eastAsia="zh-CN"/>
              </w:rPr>
              <w:t>及有关事项</w:t>
            </w:r>
            <w:r>
              <w:rPr>
                <w:rFonts w:hint="eastAsia" w:ascii="宋体" w:hAnsi="宋体" w:eastAsia="宋体" w:cs="Times New Roman"/>
                <w:bCs/>
                <w:sz w:val="28"/>
                <w:szCs w:val="28"/>
              </w:rPr>
              <w:t>的通知</w:t>
            </w:r>
            <w:r>
              <w:rPr>
                <w:rFonts w:ascii="宋体" w:hAnsi="宋体" w:eastAsia="宋体" w:cs="Times New Roman"/>
                <w:bCs/>
                <w:sz w:val="28"/>
                <w:szCs w:val="28"/>
              </w:rPr>
              <w:t>》</w:t>
            </w:r>
            <w:r>
              <w:rPr>
                <w:rFonts w:hint="eastAsia" w:ascii="宋体" w:hAnsi="宋体" w:eastAsia="宋体" w:cs="Times New Roman"/>
                <w:bCs/>
                <w:sz w:val="28"/>
                <w:szCs w:val="28"/>
              </w:rPr>
              <w:t>《关于债券交易型开放式基金纳入债券质押式协议回购交易的通知》相关要求进行修订，包括</w:t>
            </w:r>
            <w:r>
              <w:rPr>
                <w:rFonts w:hint="eastAsia" w:ascii="宋体" w:hAnsi="宋体" w:eastAsia="宋体" w:cs="Times New Roman"/>
                <w:bCs/>
                <w:sz w:val="28"/>
                <w:szCs w:val="28"/>
                <w:lang w:eastAsia="zh-CN"/>
              </w:rPr>
              <w:t>提交解除质押场外结算相关材料、债券</w:t>
            </w:r>
            <w:r>
              <w:rPr>
                <w:rFonts w:hint="eastAsia" w:ascii="宋体" w:hAnsi="宋体" w:eastAsia="宋体" w:cs="Times New Roman"/>
                <w:bCs/>
                <w:sz w:val="28"/>
                <w:szCs w:val="28"/>
                <w:lang w:val="en-US" w:eastAsia="zh-CN"/>
              </w:rPr>
              <w:t>ETF纳入质押券范围</w:t>
            </w:r>
            <w:r>
              <w:rPr>
                <w:rFonts w:hint="eastAsia" w:ascii="宋体" w:hAnsi="宋体" w:eastAsia="宋体" w:cs="Times New Roman"/>
                <w:bCs/>
                <w:sz w:val="28"/>
                <w:szCs w:val="28"/>
              </w:rPr>
              <w:t>等内容。</w:t>
            </w:r>
          </w:p>
        </w:tc>
      </w:tr>
    </w:tbl>
    <w:p>
      <w:pPr>
        <w:jc w:val="center"/>
        <w:rPr>
          <w:rFonts w:hint="eastAsia" w:ascii="仿宋" w:hAnsi="仿宋" w:eastAsia="仿宋" w:cs="Times New Roman"/>
          <w:sz w:val="32"/>
          <w:szCs w:val="32"/>
        </w:rPr>
      </w:pPr>
    </w:p>
    <w:p>
      <w:pPr>
        <w:jc w:val="center"/>
        <w:rPr>
          <w:rFonts w:ascii="仿宋" w:hAnsi="仿宋" w:eastAsia="仿宋" w:cs="Times New Roman"/>
          <w:sz w:val="32"/>
          <w:szCs w:val="32"/>
        </w:rPr>
      </w:pPr>
      <w:r>
        <w:rPr>
          <w:rFonts w:hint="eastAsia" w:ascii="仿宋" w:hAnsi="仿宋" w:eastAsia="仿宋" w:cs="Times New Roman"/>
          <w:sz w:val="32"/>
          <w:szCs w:val="32"/>
        </w:rPr>
        <w:t>二○二</w:t>
      </w:r>
      <w:r>
        <w:rPr>
          <w:rFonts w:hint="eastAsia" w:ascii="仿宋" w:hAnsi="仿宋" w:eastAsia="仿宋" w:cs="Times New Roman"/>
          <w:sz w:val="32"/>
          <w:szCs w:val="32"/>
          <w:lang w:eastAsia="zh-CN"/>
        </w:rPr>
        <w:t>六</w:t>
      </w:r>
      <w:r>
        <w:rPr>
          <w:rFonts w:ascii="仿宋" w:hAnsi="仿宋" w:eastAsia="仿宋" w:cs="Times New Roman"/>
          <w:sz w:val="32"/>
          <w:szCs w:val="32"/>
        </w:rPr>
        <w:t>年</w:t>
      </w:r>
      <w:r>
        <w:rPr>
          <w:rFonts w:hint="eastAsia" w:ascii="仿宋" w:hAnsi="仿宋" w:eastAsia="仿宋" w:cs="Times New Roman"/>
          <w:sz w:val="32"/>
          <w:szCs w:val="32"/>
          <w:lang w:eastAsia="zh-CN"/>
        </w:rPr>
        <w:t>五</w:t>
      </w:r>
      <w:r>
        <w:rPr>
          <w:rFonts w:ascii="仿宋" w:hAnsi="仿宋" w:eastAsia="仿宋" w:cs="Times New Roman"/>
          <w:sz w:val="32"/>
          <w:szCs w:val="32"/>
        </w:rPr>
        <w:t>月</w:t>
      </w:r>
    </w:p>
    <w:p>
      <w:pPr>
        <w:widowControl/>
        <w:jc w:val="left"/>
        <w:rPr>
          <w:rFonts w:ascii="宋体" w:hAnsi="宋体" w:eastAsia="宋体" w:cs="Times New Roman"/>
          <w:b/>
          <w:sz w:val="28"/>
          <w:szCs w:val="28"/>
        </w:rPr>
      </w:pPr>
      <w:r>
        <w:rPr>
          <w:rFonts w:ascii="宋体" w:hAnsi="宋体" w:eastAsia="宋体" w:cs="Times New Roman"/>
          <w:b/>
          <w:sz w:val="28"/>
          <w:szCs w:val="28"/>
        </w:rPr>
        <w:br w:type="page"/>
      </w:r>
    </w:p>
    <w:sdt>
      <w:sdtPr>
        <w:rPr>
          <w:rFonts w:hint="eastAsia" w:ascii="仿宋" w:hAnsi="仿宋" w:eastAsia="仿宋" w:cs="仿宋"/>
          <w:b w:val="0"/>
          <w:bCs w:val="0"/>
          <w:color w:val="auto"/>
          <w:kern w:val="2"/>
          <w:sz w:val="32"/>
          <w:szCs w:val="32"/>
          <w:lang w:val="zh-CN" w:eastAsia="zh-CN" w:bidi="ar-SA"/>
        </w:rPr>
        <w:id w:val="147465402"/>
        <w15:color w:val="DBDBDB"/>
        <w:docPartObj>
          <w:docPartGallery w:val="Table of Contents"/>
          <w:docPartUnique/>
        </w:docPartObj>
      </w:sdtPr>
      <w:sdtEndPr>
        <w:rPr>
          <w:rFonts w:hint="eastAsia" w:ascii="仿宋" w:hAnsi="仿宋" w:eastAsia="仿宋" w:cs="仿宋"/>
          <w:b w:val="0"/>
          <w:bCs w:val="0"/>
          <w:color w:val="auto"/>
          <w:kern w:val="2"/>
          <w:sz w:val="32"/>
          <w:szCs w:val="32"/>
          <w:lang w:val="zh-CN" w:eastAsia="zh-CN" w:bidi="ar-SA"/>
        </w:rPr>
      </w:sdtEndPr>
      <w:sdtContent>
        <w:p>
          <w:pPr>
            <w:pStyle w:val="45"/>
            <w:spacing w:line="560" w:lineRule="exact"/>
            <w:jc w:val="center"/>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目录</w:t>
          </w:r>
        </w:p>
        <w:p>
          <w:pPr>
            <w:pStyle w:val="15"/>
            <w:tabs>
              <w:tab w:val="right" w:leader="dot" w:pos="8306"/>
            </w:tabs>
            <w:spacing w:line="560" w:lineRule="exact"/>
            <w:rPr>
              <w:rFonts w:ascii="仿宋" w:hAnsi="仿宋" w:eastAsia="仿宋" w:cs="仿宋"/>
              <w:sz w:val="32"/>
              <w:szCs w:val="32"/>
            </w:rPr>
          </w:pPr>
          <w:r>
            <w:fldChar w:fldCharType="begin"/>
          </w:r>
          <w:r>
            <w:instrText xml:space="preserve">TOC \o "1-3" \h \u </w:instrText>
          </w:r>
          <w:r>
            <w:fldChar w:fldCharType="separate"/>
          </w:r>
          <w:r>
            <w:rPr>
              <w:rFonts w:ascii="仿宋" w:hAnsi="仿宋" w:eastAsia="仿宋" w:cs="仿宋"/>
              <w:sz w:val="32"/>
              <w:szCs w:val="32"/>
            </w:rPr>
            <w:fldChar w:fldCharType="begin"/>
          </w:r>
          <w:r>
            <w:rPr>
              <w:rFonts w:ascii="仿宋" w:hAnsi="仿宋" w:eastAsia="仿宋" w:cs="仿宋"/>
              <w:sz w:val="32"/>
              <w:szCs w:val="32"/>
            </w:rPr>
            <w:instrText xml:space="preserve"> HYPERLINK \l _Toc19442 </w:instrText>
          </w:r>
          <w:r>
            <w:rPr>
              <w:rFonts w:ascii="仿宋" w:hAnsi="仿宋" w:eastAsia="仿宋" w:cs="仿宋"/>
              <w:sz w:val="32"/>
              <w:szCs w:val="32"/>
            </w:rPr>
            <w:fldChar w:fldCharType="separate"/>
          </w:r>
          <w:r>
            <w:rPr>
              <w:rFonts w:hint="default" w:ascii="仿宋" w:hAnsi="仿宋" w:eastAsia="仿宋" w:cs="仿宋"/>
              <w:sz w:val="32"/>
              <w:szCs w:val="32"/>
              <w:lang w:eastAsia="zh-CN"/>
            </w:rPr>
            <w:t>第</w:t>
          </w:r>
          <w:r>
            <w:rPr>
              <w:rFonts w:hint="default" w:ascii="仿宋" w:hAnsi="仿宋" w:eastAsia="仿宋" w:cs="仿宋"/>
              <w:bCs w:val="0"/>
              <w:kern w:val="0"/>
              <w:sz w:val="32"/>
              <w:szCs w:val="32"/>
            </w:rPr>
            <w:t>一</w:t>
          </w:r>
          <w:r>
            <w:rPr>
              <w:rFonts w:ascii="仿宋" w:hAnsi="仿宋" w:eastAsia="仿宋" w:cs="仿宋"/>
              <w:bCs w:val="0"/>
              <w:kern w:val="0"/>
              <w:sz w:val="32"/>
              <w:szCs w:val="32"/>
            </w:rPr>
            <w:t>章 业务开展前准备</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_Toc19442 \h </w:instrText>
          </w:r>
          <w:r>
            <w:rPr>
              <w:rFonts w:ascii="仿宋" w:hAnsi="仿宋" w:eastAsia="仿宋" w:cs="仿宋"/>
              <w:sz w:val="32"/>
              <w:szCs w:val="32"/>
            </w:rPr>
            <w:fldChar w:fldCharType="separate"/>
          </w:r>
          <w:r>
            <w:rPr>
              <w:rFonts w:ascii="仿宋" w:hAnsi="仿宋" w:eastAsia="仿宋" w:cs="仿宋"/>
              <w:sz w:val="32"/>
              <w:szCs w:val="32"/>
            </w:rPr>
            <w:t>5</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_Toc8994 </w:instrText>
          </w:r>
          <w:r>
            <w:rPr>
              <w:rFonts w:ascii="仿宋" w:hAnsi="仿宋" w:eastAsia="仿宋" w:cs="仿宋"/>
              <w:sz w:val="32"/>
              <w:szCs w:val="32"/>
            </w:rPr>
            <w:fldChar w:fldCharType="separate"/>
          </w:r>
          <w:r>
            <w:rPr>
              <w:rFonts w:hint="eastAsia" w:ascii="黑体" w:hAnsi="黑体" w:eastAsia="黑体" w:cs="黑体"/>
              <w:sz w:val="32"/>
              <w:szCs w:val="32"/>
            </w:rPr>
            <w:t>一、投资者适当性报备</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_Toc8994 \h </w:instrText>
          </w:r>
          <w:r>
            <w:rPr>
              <w:rFonts w:ascii="仿宋" w:hAnsi="仿宋" w:eastAsia="仿宋" w:cs="仿宋"/>
              <w:sz w:val="32"/>
              <w:szCs w:val="32"/>
            </w:rPr>
            <w:fldChar w:fldCharType="separate"/>
          </w:r>
          <w:r>
            <w:rPr>
              <w:rFonts w:ascii="仿宋" w:hAnsi="仿宋" w:eastAsia="仿宋" w:cs="仿宋"/>
              <w:sz w:val="32"/>
              <w:szCs w:val="32"/>
            </w:rPr>
            <w:t>5</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_Toc32172 </w:instrText>
          </w:r>
          <w:r>
            <w:rPr>
              <w:rFonts w:ascii="仿宋" w:hAnsi="仿宋" w:eastAsia="仿宋" w:cs="仿宋"/>
              <w:sz w:val="32"/>
              <w:szCs w:val="32"/>
            </w:rPr>
            <w:fldChar w:fldCharType="separate"/>
          </w:r>
          <w:r>
            <w:rPr>
              <w:rFonts w:hint="eastAsia" w:ascii="黑体" w:hAnsi="黑体" w:eastAsia="黑体" w:cs="黑体"/>
              <w:sz w:val="32"/>
              <w:szCs w:val="32"/>
            </w:rPr>
            <w:t>二、主协议签署及备案</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_Toc32172 \h </w:instrText>
          </w:r>
          <w:r>
            <w:rPr>
              <w:rFonts w:ascii="仿宋" w:hAnsi="仿宋" w:eastAsia="仿宋" w:cs="仿宋"/>
              <w:sz w:val="32"/>
              <w:szCs w:val="32"/>
            </w:rPr>
            <w:fldChar w:fldCharType="separate"/>
          </w:r>
          <w:r>
            <w:rPr>
              <w:rFonts w:ascii="仿宋" w:hAnsi="仿宋" w:eastAsia="仿宋" w:cs="仿宋"/>
              <w:sz w:val="32"/>
              <w:szCs w:val="32"/>
            </w:rPr>
            <w:t>5</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_Toc1069 </w:instrText>
          </w:r>
          <w:r>
            <w:rPr>
              <w:rFonts w:ascii="仿宋" w:hAnsi="仿宋" w:eastAsia="仿宋" w:cs="仿宋"/>
              <w:sz w:val="32"/>
              <w:szCs w:val="32"/>
            </w:rPr>
            <w:fldChar w:fldCharType="separate"/>
          </w:r>
          <w:r>
            <w:rPr>
              <w:rFonts w:hint="default" w:ascii="仿宋" w:hAnsi="仿宋" w:eastAsia="仿宋" w:cs="仿宋"/>
              <w:sz w:val="32"/>
              <w:szCs w:val="32"/>
            </w:rPr>
            <w:t>（一）主协议签署要求</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_Toc1069 \h </w:instrText>
          </w:r>
          <w:r>
            <w:rPr>
              <w:rFonts w:ascii="仿宋" w:hAnsi="仿宋" w:eastAsia="仿宋" w:cs="仿宋"/>
              <w:sz w:val="32"/>
              <w:szCs w:val="32"/>
            </w:rPr>
            <w:fldChar w:fldCharType="separate"/>
          </w:r>
          <w:r>
            <w:rPr>
              <w:rFonts w:ascii="仿宋" w:hAnsi="仿宋" w:eastAsia="仿宋" w:cs="仿宋"/>
              <w:sz w:val="32"/>
              <w:szCs w:val="32"/>
            </w:rPr>
            <w:t>5</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_Toc19197 </w:instrText>
          </w:r>
          <w:r>
            <w:rPr>
              <w:rFonts w:ascii="仿宋" w:hAnsi="仿宋" w:eastAsia="仿宋" w:cs="仿宋"/>
              <w:sz w:val="32"/>
              <w:szCs w:val="32"/>
            </w:rPr>
            <w:fldChar w:fldCharType="separate"/>
          </w:r>
          <w:r>
            <w:rPr>
              <w:rFonts w:hint="default" w:ascii="仿宋" w:hAnsi="仿宋" w:eastAsia="仿宋" w:cs="仿宋"/>
              <w:sz w:val="32"/>
              <w:szCs w:val="32"/>
            </w:rPr>
            <w:t>（二）主协议备案方式</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_Toc19197 \h </w:instrText>
          </w:r>
          <w:r>
            <w:rPr>
              <w:rFonts w:ascii="仿宋" w:hAnsi="仿宋" w:eastAsia="仿宋" w:cs="仿宋"/>
              <w:sz w:val="32"/>
              <w:szCs w:val="32"/>
            </w:rPr>
            <w:fldChar w:fldCharType="separate"/>
          </w:r>
          <w:r>
            <w:rPr>
              <w:rFonts w:ascii="仿宋" w:hAnsi="仿宋" w:eastAsia="仿宋" w:cs="仿宋"/>
              <w:sz w:val="32"/>
              <w:szCs w:val="32"/>
            </w:rPr>
            <w:t>5</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_Toc20872 </w:instrText>
          </w:r>
          <w:r>
            <w:rPr>
              <w:rFonts w:ascii="仿宋" w:hAnsi="仿宋" w:eastAsia="仿宋" w:cs="仿宋"/>
              <w:sz w:val="32"/>
              <w:szCs w:val="32"/>
            </w:rPr>
            <w:fldChar w:fldCharType="separate"/>
          </w:r>
          <w:r>
            <w:rPr>
              <w:rFonts w:hint="default" w:ascii="仿宋" w:hAnsi="仿宋" w:eastAsia="仿宋" w:cs="仿宋"/>
              <w:sz w:val="32"/>
              <w:szCs w:val="32"/>
            </w:rPr>
            <w:t>（三）主协议签署方名单披露</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_Toc20872 \h </w:instrText>
          </w:r>
          <w:r>
            <w:rPr>
              <w:rFonts w:ascii="仿宋" w:hAnsi="仿宋" w:eastAsia="仿宋" w:cs="仿宋"/>
              <w:sz w:val="32"/>
              <w:szCs w:val="32"/>
            </w:rPr>
            <w:fldChar w:fldCharType="separate"/>
          </w:r>
          <w:r>
            <w:rPr>
              <w:rFonts w:ascii="仿宋" w:hAnsi="仿宋" w:eastAsia="仿宋" w:cs="仿宋"/>
              <w:sz w:val="32"/>
              <w:szCs w:val="32"/>
            </w:rPr>
            <w:t>6</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_Toc12071 </w:instrText>
          </w:r>
          <w:r>
            <w:rPr>
              <w:rFonts w:ascii="仿宋" w:hAnsi="仿宋" w:eastAsia="仿宋" w:cs="仿宋"/>
              <w:sz w:val="32"/>
              <w:szCs w:val="32"/>
            </w:rPr>
            <w:fldChar w:fldCharType="separate"/>
          </w:r>
          <w:r>
            <w:rPr>
              <w:rFonts w:hint="default" w:ascii="仿宋" w:hAnsi="仿宋" w:eastAsia="仿宋" w:cs="仿宋"/>
              <w:sz w:val="32"/>
              <w:szCs w:val="32"/>
            </w:rPr>
            <w:t>（四）签署补充协议</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_Toc12071 \h </w:instrText>
          </w:r>
          <w:r>
            <w:rPr>
              <w:rFonts w:ascii="仿宋" w:hAnsi="仿宋" w:eastAsia="仿宋" w:cs="仿宋"/>
              <w:sz w:val="32"/>
              <w:szCs w:val="32"/>
            </w:rPr>
            <w:fldChar w:fldCharType="separate"/>
          </w:r>
          <w:r>
            <w:rPr>
              <w:rFonts w:ascii="仿宋" w:hAnsi="仿宋" w:eastAsia="仿宋" w:cs="仿宋"/>
              <w:sz w:val="32"/>
              <w:szCs w:val="32"/>
            </w:rPr>
            <w:t>6</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_Toc31738 </w:instrText>
          </w:r>
          <w:r>
            <w:rPr>
              <w:rFonts w:ascii="仿宋" w:hAnsi="仿宋" w:eastAsia="仿宋" w:cs="仿宋"/>
              <w:sz w:val="32"/>
              <w:szCs w:val="32"/>
            </w:rPr>
            <w:fldChar w:fldCharType="separate"/>
          </w:r>
          <w:r>
            <w:rPr>
              <w:rFonts w:hint="eastAsia" w:ascii="黑体" w:hAnsi="黑体" w:eastAsia="黑体" w:cs="黑体"/>
              <w:sz w:val="32"/>
              <w:szCs w:val="32"/>
            </w:rPr>
            <w:t>三、债券交易账户信息报备</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_Toc31738 \h </w:instrText>
          </w:r>
          <w:r>
            <w:rPr>
              <w:rFonts w:ascii="仿宋" w:hAnsi="仿宋" w:eastAsia="仿宋" w:cs="仿宋"/>
              <w:sz w:val="32"/>
              <w:szCs w:val="32"/>
            </w:rPr>
            <w:fldChar w:fldCharType="separate"/>
          </w:r>
          <w:r>
            <w:rPr>
              <w:rFonts w:ascii="仿宋" w:hAnsi="仿宋" w:eastAsia="仿宋" w:cs="仿宋"/>
              <w:sz w:val="32"/>
              <w:szCs w:val="32"/>
            </w:rPr>
            <w:t>7</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_Toc30750 </w:instrText>
          </w:r>
          <w:r>
            <w:rPr>
              <w:rFonts w:ascii="仿宋" w:hAnsi="仿宋" w:eastAsia="仿宋" w:cs="仿宋"/>
              <w:sz w:val="32"/>
              <w:szCs w:val="32"/>
            </w:rPr>
            <w:fldChar w:fldCharType="separate"/>
          </w:r>
          <w:r>
            <w:rPr>
              <w:rFonts w:hint="eastAsia" w:ascii="黑体" w:hAnsi="黑体" w:eastAsia="黑体" w:cs="黑体"/>
              <w:sz w:val="32"/>
              <w:szCs w:val="32"/>
            </w:rPr>
            <w:t>四、通过交易终端申报的相关设置</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_Toc30750 \h </w:instrText>
          </w:r>
          <w:r>
            <w:rPr>
              <w:rFonts w:ascii="仿宋" w:hAnsi="仿宋" w:eastAsia="仿宋" w:cs="仿宋"/>
              <w:sz w:val="32"/>
              <w:szCs w:val="32"/>
            </w:rPr>
            <w:fldChar w:fldCharType="separate"/>
          </w:r>
          <w:r>
            <w:rPr>
              <w:rFonts w:ascii="仿宋" w:hAnsi="仿宋" w:eastAsia="仿宋" w:cs="仿宋"/>
              <w:sz w:val="32"/>
              <w:szCs w:val="32"/>
            </w:rPr>
            <w:t>7</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_Toc24779 </w:instrText>
          </w:r>
          <w:r>
            <w:rPr>
              <w:rFonts w:ascii="仿宋" w:hAnsi="仿宋" w:eastAsia="仿宋" w:cs="仿宋"/>
              <w:sz w:val="32"/>
              <w:szCs w:val="32"/>
            </w:rPr>
            <w:fldChar w:fldCharType="separate"/>
          </w:r>
          <w:r>
            <w:rPr>
              <w:rFonts w:hint="default" w:ascii="仿宋" w:hAnsi="仿宋" w:eastAsia="仿宋" w:cs="仿宋"/>
              <w:bCs w:val="0"/>
              <w:kern w:val="0"/>
              <w:sz w:val="32"/>
              <w:szCs w:val="32"/>
            </w:rPr>
            <w:t>第二章</w:t>
          </w:r>
          <w:r>
            <w:rPr>
              <w:rFonts w:hint="default" w:ascii="仿宋" w:hAnsi="仿宋" w:eastAsia="仿宋" w:cs="仿宋"/>
              <w:bCs w:val="0"/>
              <w:kern w:val="0"/>
              <w:sz w:val="32"/>
              <w:szCs w:val="32"/>
              <w:lang w:val="en-US" w:eastAsia="zh-CN"/>
            </w:rPr>
            <w:t xml:space="preserve"> </w:t>
          </w:r>
          <w:r>
            <w:rPr>
              <w:rFonts w:ascii="仿宋" w:hAnsi="仿宋" w:eastAsia="仿宋" w:cs="仿宋"/>
              <w:bCs w:val="0"/>
              <w:kern w:val="0"/>
              <w:sz w:val="32"/>
              <w:szCs w:val="32"/>
            </w:rPr>
            <w:t>交易安排</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_Toc24779 \h </w:instrText>
          </w:r>
          <w:r>
            <w:rPr>
              <w:rFonts w:ascii="仿宋" w:hAnsi="仿宋" w:eastAsia="仿宋" w:cs="仿宋"/>
              <w:sz w:val="32"/>
              <w:szCs w:val="32"/>
            </w:rPr>
            <w:fldChar w:fldCharType="separate"/>
          </w:r>
          <w:r>
            <w:rPr>
              <w:rFonts w:ascii="仿宋" w:hAnsi="仿宋" w:eastAsia="仿宋" w:cs="仿宋"/>
              <w:sz w:val="32"/>
              <w:szCs w:val="32"/>
            </w:rPr>
            <w:t>8</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_Toc16549 </w:instrText>
          </w:r>
          <w:r>
            <w:rPr>
              <w:rFonts w:ascii="仿宋" w:hAnsi="仿宋" w:eastAsia="仿宋" w:cs="仿宋"/>
              <w:sz w:val="32"/>
              <w:szCs w:val="32"/>
            </w:rPr>
            <w:fldChar w:fldCharType="separate"/>
          </w:r>
          <w:r>
            <w:rPr>
              <w:rFonts w:hint="eastAsia" w:ascii="黑体" w:hAnsi="黑体" w:eastAsia="黑体" w:cs="黑体"/>
              <w:sz w:val="32"/>
              <w:szCs w:val="32"/>
            </w:rPr>
            <w:t>一、交易时间</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_Toc16549 \h </w:instrText>
          </w:r>
          <w:r>
            <w:rPr>
              <w:rFonts w:ascii="仿宋" w:hAnsi="仿宋" w:eastAsia="仿宋" w:cs="仿宋"/>
              <w:sz w:val="32"/>
              <w:szCs w:val="32"/>
            </w:rPr>
            <w:fldChar w:fldCharType="separate"/>
          </w:r>
          <w:r>
            <w:rPr>
              <w:rFonts w:ascii="仿宋" w:hAnsi="仿宋" w:eastAsia="仿宋" w:cs="仿宋"/>
              <w:sz w:val="32"/>
              <w:szCs w:val="32"/>
            </w:rPr>
            <w:t>8</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_Toc32743 </w:instrText>
          </w:r>
          <w:r>
            <w:rPr>
              <w:rFonts w:ascii="仿宋" w:hAnsi="仿宋" w:eastAsia="仿宋" w:cs="仿宋"/>
              <w:sz w:val="32"/>
              <w:szCs w:val="32"/>
            </w:rPr>
            <w:fldChar w:fldCharType="separate"/>
          </w:r>
          <w:r>
            <w:rPr>
              <w:rFonts w:hint="eastAsia" w:ascii="黑体" w:hAnsi="黑体" w:eastAsia="黑体" w:cs="黑体"/>
              <w:sz w:val="32"/>
              <w:szCs w:val="32"/>
            </w:rPr>
            <w:t>二、质押券范围</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_Toc32743 \h </w:instrText>
          </w:r>
          <w:r>
            <w:rPr>
              <w:rFonts w:ascii="仿宋" w:hAnsi="仿宋" w:eastAsia="仿宋" w:cs="仿宋"/>
              <w:sz w:val="32"/>
              <w:szCs w:val="32"/>
            </w:rPr>
            <w:fldChar w:fldCharType="separate"/>
          </w:r>
          <w:r>
            <w:rPr>
              <w:rFonts w:ascii="仿宋" w:hAnsi="仿宋" w:eastAsia="仿宋" w:cs="仿宋"/>
              <w:sz w:val="32"/>
              <w:szCs w:val="32"/>
            </w:rPr>
            <w:t>8</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_Toc24676 </w:instrText>
          </w:r>
          <w:r>
            <w:rPr>
              <w:rFonts w:ascii="仿宋" w:hAnsi="仿宋" w:eastAsia="仿宋" w:cs="仿宋"/>
              <w:sz w:val="32"/>
              <w:szCs w:val="32"/>
            </w:rPr>
            <w:fldChar w:fldCharType="separate"/>
          </w:r>
          <w:r>
            <w:rPr>
              <w:rFonts w:hint="default" w:ascii="仿宋" w:hAnsi="仿宋" w:eastAsia="仿宋" w:cs="仿宋"/>
              <w:sz w:val="32"/>
              <w:szCs w:val="32"/>
            </w:rPr>
            <w:t>（一）质押券类别</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_Toc24676 \h </w:instrText>
          </w:r>
          <w:r>
            <w:rPr>
              <w:rFonts w:ascii="仿宋" w:hAnsi="仿宋" w:eastAsia="仿宋" w:cs="仿宋"/>
              <w:sz w:val="32"/>
              <w:szCs w:val="32"/>
            </w:rPr>
            <w:fldChar w:fldCharType="separate"/>
          </w:r>
          <w:r>
            <w:rPr>
              <w:rFonts w:ascii="仿宋" w:hAnsi="仿宋" w:eastAsia="仿宋" w:cs="仿宋"/>
              <w:sz w:val="32"/>
              <w:szCs w:val="32"/>
            </w:rPr>
            <w:t>8</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_Toc29714 </w:instrText>
          </w:r>
          <w:r>
            <w:rPr>
              <w:rFonts w:ascii="仿宋" w:hAnsi="仿宋" w:eastAsia="仿宋" w:cs="仿宋"/>
              <w:sz w:val="32"/>
              <w:szCs w:val="32"/>
            </w:rPr>
            <w:fldChar w:fldCharType="separate"/>
          </w:r>
          <w:r>
            <w:rPr>
              <w:rFonts w:hint="default" w:ascii="仿宋" w:hAnsi="仿宋" w:eastAsia="仿宋" w:cs="仿宋"/>
              <w:sz w:val="32"/>
              <w:szCs w:val="32"/>
            </w:rPr>
            <w:t>（二）其他要求</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_Toc29714 \h </w:instrText>
          </w:r>
          <w:r>
            <w:rPr>
              <w:rFonts w:ascii="仿宋" w:hAnsi="仿宋" w:eastAsia="仿宋" w:cs="仿宋"/>
              <w:sz w:val="32"/>
              <w:szCs w:val="32"/>
            </w:rPr>
            <w:fldChar w:fldCharType="separate"/>
          </w:r>
          <w:r>
            <w:rPr>
              <w:rFonts w:ascii="仿宋" w:hAnsi="仿宋" w:eastAsia="仿宋" w:cs="仿宋"/>
              <w:sz w:val="32"/>
              <w:szCs w:val="32"/>
            </w:rPr>
            <w:t>8</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_Toc10694 </w:instrText>
          </w:r>
          <w:r>
            <w:rPr>
              <w:rFonts w:ascii="仿宋" w:hAnsi="仿宋" w:eastAsia="仿宋" w:cs="仿宋"/>
              <w:sz w:val="32"/>
              <w:szCs w:val="32"/>
            </w:rPr>
            <w:fldChar w:fldCharType="separate"/>
          </w:r>
          <w:r>
            <w:rPr>
              <w:rFonts w:hint="eastAsia" w:ascii="黑体" w:hAnsi="黑体" w:eastAsia="黑体" w:cs="黑体"/>
              <w:sz w:val="32"/>
              <w:szCs w:val="32"/>
            </w:rPr>
            <w:t>三、交易申报</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_Toc10694 \h </w:instrText>
          </w:r>
          <w:r>
            <w:rPr>
              <w:rFonts w:ascii="仿宋" w:hAnsi="仿宋" w:eastAsia="仿宋" w:cs="仿宋"/>
              <w:sz w:val="32"/>
              <w:szCs w:val="32"/>
            </w:rPr>
            <w:fldChar w:fldCharType="separate"/>
          </w:r>
          <w:r>
            <w:rPr>
              <w:rFonts w:ascii="仿宋" w:hAnsi="仿宋" w:eastAsia="仿宋" w:cs="仿宋"/>
              <w:sz w:val="32"/>
              <w:szCs w:val="32"/>
            </w:rPr>
            <w:t>9</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_Toc17889 </w:instrText>
          </w:r>
          <w:r>
            <w:rPr>
              <w:rFonts w:ascii="仿宋" w:hAnsi="仿宋" w:eastAsia="仿宋" w:cs="仿宋"/>
              <w:sz w:val="32"/>
              <w:szCs w:val="32"/>
            </w:rPr>
            <w:fldChar w:fldCharType="separate"/>
          </w:r>
          <w:r>
            <w:rPr>
              <w:rFonts w:hint="default" w:ascii="仿宋" w:hAnsi="仿宋" w:eastAsia="仿宋" w:cs="仿宋"/>
              <w:sz w:val="32"/>
              <w:szCs w:val="32"/>
            </w:rPr>
            <w:t>（一）初始交易申报</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_Toc17889 \h </w:instrText>
          </w:r>
          <w:r>
            <w:rPr>
              <w:rFonts w:ascii="仿宋" w:hAnsi="仿宋" w:eastAsia="仿宋" w:cs="仿宋"/>
              <w:sz w:val="32"/>
              <w:szCs w:val="32"/>
            </w:rPr>
            <w:fldChar w:fldCharType="separate"/>
          </w:r>
          <w:r>
            <w:rPr>
              <w:rFonts w:ascii="仿宋" w:hAnsi="仿宋" w:eastAsia="仿宋" w:cs="仿宋"/>
              <w:sz w:val="32"/>
              <w:szCs w:val="32"/>
            </w:rPr>
            <w:t>9</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_Toc19352 </w:instrText>
          </w:r>
          <w:r>
            <w:rPr>
              <w:rFonts w:ascii="仿宋" w:hAnsi="仿宋" w:eastAsia="仿宋" w:cs="仿宋"/>
              <w:sz w:val="32"/>
              <w:szCs w:val="32"/>
            </w:rPr>
            <w:fldChar w:fldCharType="separate"/>
          </w:r>
          <w:r>
            <w:rPr>
              <w:rFonts w:hint="default" w:ascii="仿宋" w:hAnsi="仿宋" w:eastAsia="仿宋" w:cs="仿宋"/>
              <w:sz w:val="32"/>
              <w:szCs w:val="32"/>
            </w:rPr>
            <w:t>（二）质押券变更申报</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_Toc19352 \h </w:instrText>
          </w:r>
          <w:r>
            <w:rPr>
              <w:rFonts w:ascii="仿宋" w:hAnsi="仿宋" w:eastAsia="仿宋" w:cs="仿宋"/>
              <w:sz w:val="32"/>
              <w:szCs w:val="32"/>
            </w:rPr>
            <w:fldChar w:fldCharType="separate"/>
          </w:r>
          <w:r>
            <w:rPr>
              <w:rFonts w:ascii="仿宋" w:hAnsi="仿宋" w:eastAsia="仿宋" w:cs="仿宋"/>
              <w:sz w:val="32"/>
              <w:szCs w:val="32"/>
            </w:rPr>
            <w:t>12</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_Toc14162 </w:instrText>
          </w:r>
          <w:r>
            <w:rPr>
              <w:rFonts w:ascii="仿宋" w:hAnsi="仿宋" w:eastAsia="仿宋" w:cs="仿宋"/>
              <w:sz w:val="32"/>
              <w:szCs w:val="32"/>
            </w:rPr>
            <w:fldChar w:fldCharType="separate"/>
          </w:r>
          <w:r>
            <w:rPr>
              <w:rFonts w:hint="default" w:ascii="仿宋" w:hAnsi="仿宋" w:eastAsia="仿宋" w:cs="仿宋"/>
              <w:sz w:val="32"/>
              <w:szCs w:val="32"/>
            </w:rPr>
            <w:t>（</w:t>
          </w:r>
          <w:r>
            <w:rPr>
              <w:rFonts w:hint="default" w:ascii="仿宋" w:hAnsi="仿宋" w:eastAsia="仿宋" w:cs="仿宋"/>
              <w:sz w:val="32"/>
              <w:szCs w:val="32"/>
              <w:lang w:eastAsia="zh-CN"/>
            </w:rPr>
            <w:t>三</w:t>
          </w:r>
          <w:r>
            <w:rPr>
              <w:rFonts w:hint="default" w:ascii="仿宋" w:hAnsi="仿宋" w:eastAsia="仿宋" w:cs="仿宋"/>
              <w:sz w:val="32"/>
              <w:szCs w:val="32"/>
            </w:rPr>
            <w:t>）购回交易申报</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_Toc14162 \h </w:instrText>
          </w:r>
          <w:r>
            <w:rPr>
              <w:rFonts w:ascii="仿宋" w:hAnsi="仿宋" w:eastAsia="仿宋" w:cs="仿宋"/>
              <w:sz w:val="32"/>
              <w:szCs w:val="32"/>
            </w:rPr>
            <w:fldChar w:fldCharType="separate"/>
          </w:r>
          <w:r>
            <w:rPr>
              <w:rFonts w:ascii="仿宋" w:hAnsi="仿宋" w:eastAsia="仿宋" w:cs="仿宋"/>
              <w:sz w:val="32"/>
              <w:szCs w:val="32"/>
            </w:rPr>
            <w:t>13</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_Toc7353 </w:instrText>
          </w:r>
          <w:r>
            <w:rPr>
              <w:rFonts w:ascii="仿宋" w:hAnsi="仿宋" w:eastAsia="仿宋" w:cs="仿宋"/>
              <w:sz w:val="32"/>
              <w:szCs w:val="32"/>
            </w:rPr>
            <w:fldChar w:fldCharType="separate"/>
          </w:r>
          <w:r>
            <w:rPr>
              <w:rFonts w:hint="default" w:ascii="仿宋" w:hAnsi="仿宋" w:eastAsia="仿宋" w:cs="仿宋"/>
              <w:sz w:val="32"/>
              <w:szCs w:val="32"/>
            </w:rPr>
            <w:t>（</w:t>
          </w:r>
          <w:r>
            <w:rPr>
              <w:rFonts w:hint="default" w:ascii="仿宋" w:hAnsi="仿宋" w:eastAsia="仿宋" w:cs="仿宋"/>
              <w:sz w:val="32"/>
              <w:szCs w:val="32"/>
              <w:lang w:eastAsia="zh-CN"/>
            </w:rPr>
            <w:t>四</w:t>
          </w:r>
          <w:r>
            <w:rPr>
              <w:rFonts w:hint="default" w:ascii="仿宋" w:hAnsi="仿宋" w:eastAsia="仿宋" w:cs="仿宋"/>
              <w:sz w:val="32"/>
              <w:szCs w:val="32"/>
            </w:rPr>
            <w:t>）到期续做申报</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_Toc7353 \h </w:instrText>
          </w:r>
          <w:r>
            <w:rPr>
              <w:rFonts w:ascii="仿宋" w:hAnsi="仿宋" w:eastAsia="仿宋" w:cs="仿宋"/>
              <w:sz w:val="32"/>
              <w:szCs w:val="32"/>
            </w:rPr>
            <w:fldChar w:fldCharType="separate"/>
          </w:r>
          <w:r>
            <w:rPr>
              <w:rFonts w:ascii="仿宋" w:hAnsi="仿宋" w:eastAsia="仿宋" w:cs="仿宋"/>
              <w:sz w:val="32"/>
              <w:szCs w:val="32"/>
            </w:rPr>
            <w:t>14</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_Toc21809 </w:instrText>
          </w:r>
          <w:r>
            <w:rPr>
              <w:rFonts w:ascii="仿宋" w:hAnsi="仿宋" w:eastAsia="仿宋" w:cs="仿宋"/>
              <w:sz w:val="32"/>
              <w:szCs w:val="32"/>
            </w:rPr>
            <w:fldChar w:fldCharType="separate"/>
          </w:r>
          <w:r>
            <w:rPr>
              <w:rFonts w:hint="eastAsia" w:ascii="黑体" w:hAnsi="黑体" w:eastAsia="黑体" w:cs="黑体"/>
              <w:sz w:val="32"/>
              <w:szCs w:val="32"/>
            </w:rPr>
            <w:t>四、结算</w:t>
          </w:r>
          <w:r>
            <w:rPr>
              <w:rFonts w:hint="eastAsia" w:ascii="黑体" w:hAnsi="黑体" w:eastAsia="黑体" w:cs="黑体"/>
              <w:sz w:val="32"/>
              <w:szCs w:val="32"/>
              <w:lang w:eastAsia="zh-CN"/>
            </w:rPr>
            <w:t>方式</w:t>
          </w:r>
          <w:r>
            <w:rPr>
              <w:rFonts w:hint="eastAsia" w:ascii="黑体" w:hAnsi="黑体" w:eastAsia="黑体" w:cs="黑体"/>
              <w:sz w:val="32"/>
              <w:szCs w:val="32"/>
            </w:rPr>
            <w:t>与用券效率</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_Toc21809 \h </w:instrText>
          </w:r>
          <w:r>
            <w:rPr>
              <w:rFonts w:ascii="仿宋" w:hAnsi="仿宋" w:eastAsia="仿宋" w:cs="仿宋"/>
              <w:sz w:val="32"/>
              <w:szCs w:val="32"/>
            </w:rPr>
            <w:fldChar w:fldCharType="separate"/>
          </w:r>
          <w:r>
            <w:rPr>
              <w:rFonts w:ascii="仿宋" w:hAnsi="仿宋" w:eastAsia="仿宋" w:cs="仿宋"/>
              <w:sz w:val="32"/>
              <w:szCs w:val="32"/>
            </w:rPr>
            <w:t>15</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_Toc17590 </w:instrText>
          </w:r>
          <w:r>
            <w:rPr>
              <w:rFonts w:ascii="仿宋" w:hAnsi="仿宋" w:eastAsia="仿宋" w:cs="仿宋"/>
              <w:sz w:val="32"/>
              <w:szCs w:val="32"/>
            </w:rPr>
            <w:fldChar w:fldCharType="separate"/>
          </w:r>
          <w:r>
            <w:rPr>
              <w:rFonts w:hint="eastAsia" w:ascii="黑体" w:hAnsi="黑体" w:eastAsia="黑体" w:cs="黑体"/>
              <w:sz w:val="32"/>
              <w:szCs w:val="32"/>
            </w:rPr>
            <w:t>五、质押券孳息及相关权利行使安排</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_Toc17590 \h </w:instrText>
          </w:r>
          <w:r>
            <w:rPr>
              <w:rFonts w:ascii="仿宋" w:hAnsi="仿宋" w:eastAsia="仿宋" w:cs="仿宋"/>
              <w:sz w:val="32"/>
              <w:szCs w:val="32"/>
            </w:rPr>
            <w:fldChar w:fldCharType="separate"/>
          </w:r>
          <w:r>
            <w:rPr>
              <w:rFonts w:ascii="仿宋" w:hAnsi="仿宋" w:eastAsia="仿宋" w:cs="仿宋"/>
              <w:sz w:val="32"/>
              <w:szCs w:val="32"/>
            </w:rPr>
            <w:t>16</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_Toc26123 </w:instrText>
          </w:r>
          <w:r>
            <w:rPr>
              <w:rFonts w:ascii="仿宋" w:hAnsi="仿宋" w:eastAsia="仿宋" w:cs="仿宋"/>
              <w:sz w:val="32"/>
              <w:szCs w:val="32"/>
            </w:rPr>
            <w:fldChar w:fldCharType="separate"/>
          </w:r>
          <w:r>
            <w:rPr>
              <w:rFonts w:hint="default" w:ascii="仿宋" w:hAnsi="仿宋" w:eastAsia="仿宋" w:cs="仿宋"/>
              <w:bCs w:val="0"/>
              <w:kern w:val="0"/>
              <w:sz w:val="32"/>
              <w:szCs w:val="32"/>
            </w:rPr>
            <w:t>第三章</w:t>
          </w:r>
          <w:r>
            <w:rPr>
              <w:rFonts w:hint="default" w:ascii="仿宋" w:hAnsi="仿宋" w:eastAsia="仿宋" w:cs="仿宋"/>
              <w:bCs w:val="0"/>
              <w:kern w:val="0"/>
              <w:sz w:val="32"/>
              <w:szCs w:val="32"/>
              <w:lang w:val="en-US" w:eastAsia="zh-CN"/>
            </w:rPr>
            <w:t xml:space="preserve"> </w:t>
          </w:r>
          <w:r>
            <w:rPr>
              <w:rFonts w:hint="default" w:ascii="仿宋" w:hAnsi="仿宋" w:eastAsia="仿宋" w:cs="仿宋"/>
              <w:bCs w:val="0"/>
              <w:kern w:val="0"/>
              <w:sz w:val="32"/>
              <w:szCs w:val="32"/>
            </w:rPr>
            <w:t>风险控制和处置安排</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_Toc26123 \h </w:instrText>
          </w:r>
          <w:r>
            <w:rPr>
              <w:rFonts w:ascii="仿宋" w:hAnsi="仿宋" w:eastAsia="仿宋" w:cs="仿宋"/>
              <w:sz w:val="32"/>
              <w:szCs w:val="32"/>
            </w:rPr>
            <w:fldChar w:fldCharType="separate"/>
          </w:r>
          <w:r>
            <w:rPr>
              <w:rFonts w:ascii="仿宋" w:hAnsi="仿宋" w:eastAsia="仿宋" w:cs="仿宋"/>
              <w:sz w:val="32"/>
              <w:szCs w:val="32"/>
            </w:rPr>
            <w:t>17</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_Toc14078 </w:instrText>
          </w:r>
          <w:r>
            <w:rPr>
              <w:rFonts w:ascii="仿宋" w:hAnsi="仿宋" w:eastAsia="仿宋" w:cs="仿宋"/>
              <w:sz w:val="32"/>
              <w:szCs w:val="32"/>
            </w:rPr>
            <w:fldChar w:fldCharType="separate"/>
          </w:r>
          <w:r>
            <w:rPr>
              <w:rFonts w:hint="eastAsia" w:ascii="黑体" w:hAnsi="黑体" w:eastAsia="黑体" w:cs="黑体"/>
              <w:bCs w:val="0"/>
              <w:sz w:val="32"/>
              <w:szCs w:val="32"/>
            </w:rPr>
            <w:t>一、风险控制安排</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_Toc14078 \h </w:instrText>
          </w:r>
          <w:r>
            <w:rPr>
              <w:rFonts w:ascii="仿宋" w:hAnsi="仿宋" w:eastAsia="仿宋" w:cs="仿宋"/>
              <w:sz w:val="32"/>
              <w:szCs w:val="32"/>
            </w:rPr>
            <w:fldChar w:fldCharType="separate"/>
          </w:r>
          <w:r>
            <w:rPr>
              <w:rFonts w:ascii="仿宋" w:hAnsi="仿宋" w:eastAsia="仿宋" w:cs="仿宋"/>
              <w:sz w:val="32"/>
              <w:szCs w:val="32"/>
            </w:rPr>
            <w:t>17</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_Toc29955 </w:instrText>
          </w:r>
          <w:r>
            <w:rPr>
              <w:rFonts w:ascii="仿宋" w:hAnsi="仿宋" w:eastAsia="仿宋" w:cs="仿宋"/>
              <w:sz w:val="32"/>
              <w:szCs w:val="32"/>
            </w:rPr>
            <w:fldChar w:fldCharType="separate"/>
          </w:r>
          <w:r>
            <w:rPr>
              <w:rFonts w:hint="default" w:ascii="仿宋" w:hAnsi="仿宋" w:eastAsia="仿宋" w:cs="仿宋"/>
              <w:sz w:val="32"/>
              <w:szCs w:val="32"/>
            </w:rPr>
            <w:t>（一）参与机构风险控制管理要求</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_Toc29955 \h </w:instrText>
          </w:r>
          <w:r>
            <w:rPr>
              <w:rFonts w:ascii="仿宋" w:hAnsi="仿宋" w:eastAsia="仿宋" w:cs="仿宋"/>
              <w:sz w:val="32"/>
              <w:szCs w:val="32"/>
            </w:rPr>
            <w:fldChar w:fldCharType="separate"/>
          </w:r>
          <w:r>
            <w:rPr>
              <w:rFonts w:ascii="仿宋" w:hAnsi="仿宋" w:eastAsia="仿宋" w:cs="仿宋"/>
              <w:sz w:val="32"/>
              <w:szCs w:val="32"/>
            </w:rPr>
            <w:t>17</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_Toc31045 </w:instrText>
          </w:r>
          <w:r>
            <w:rPr>
              <w:rFonts w:ascii="仿宋" w:hAnsi="仿宋" w:eastAsia="仿宋" w:cs="仿宋"/>
              <w:sz w:val="32"/>
              <w:szCs w:val="32"/>
            </w:rPr>
            <w:fldChar w:fldCharType="separate"/>
          </w:r>
          <w:r>
            <w:rPr>
              <w:rFonts w:hint="default" w:ascii="仿宋" w:hAnsi="仿宋" w:eastAsia="仿宋" w:cs="仿宋"/>
              <w:sz w:val="32"/>
              <w:szCs w:val="32"/>
            </w:rPr>
            <w:t>（二）</w:t>
          </w:r>
          <w:r>
            <w:rPr>
              <w:rFonts w:hint="default" w:ascii="仿宋" w:hAnsi="仿宋" w:eastAsia="仿宋" w:cs="仿宋"/>
              <w:sz w:val="32"/>
              <w:szCs w:val="32"/>
              <w:lang w:eastAsia="zh-CN"/>
            </w:rPr>
            <w:t>融资主体</w:t>
          </w:r>
          <w:r>
            <w:rPr>
              <w:rFonts w:hint="default" w:ascii="仿宋" w:hAnsi="仿宋" w:eastAsia="仿宋" w:cs="仿宋"/>
              <w:sz w:val="32"/>
              <w:szCs w:val="32"/>
            </w:rPr>
            <w:t>数据报送机制</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_Toc31045 \h </w:instrText>
          </w:r>
          <w:r>
            <w:rPr>
              <w:rFonts w:ascii="仿宋" w:hAnsi="仿宋" w:eastAsia="仿宋" w:cs="仿宋"/>
              <w:sz w:val="32"/>
              <w:szCs w:val="32"/>
            </w:rPr>
            <w:fldChar w:fldCharType="separate"/>
          </w:r>
          <w:r>
            <w:rPr>
              <w:rFonts w:ascii="仿宋" w:hAnsi="仿宋" w:eastAsia="仿宋" w:cs="仿宋"/>
              <w:sz w:val="32"/>
              <w:szCs w:val="32"/>
            </w:rPr>
            <w:t>17</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_Toc32444 </w:instrText>
          </w:r>
          <w:r>
            <w:rPr>
              <w:rFonts w:ascii="仿宋" w:hAnsi="仿宋" w:eastAsia="仿宋" w:cs="仿宋"/>
              <w:sz w:val="32"/>
              <w:szCs w:val="32"/>
            </w:rPr>
            <w:fldChar w:fldCharType="separate"/>
          </w:r>
          <w:r>
            <w:rPr>
              <w:rFonts w:hint="default" w:ascii="仿宋" w:hAnsi="仿宋" w:eastAsia="仿宋" w:cs="仿宋"/>
              <w:sz w:val="32"/>
              <w:szCs w:val="32"/>
            </w:rPr>
            <w:t>（三）业务联络人机制</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_Toc32444 \h </w:instrText>
          </w:r>
          <w:r>
            <w:rPr>
              <w:rFonts w:ascii="仿宋" w:hAnsi="仿宋" w:eastAsia="仿宋" w:cs="仿宋"/>
              <w:sz w:val="32"/>
              <w:szCs w:val="32"/>
            </w:rPr>
            <w:fldChar w:fldCharType="separate"/>
          </w:r>
          <w:r>
            <w:rPr>
              <w:rFonts w:ascii="仿宋" w:hAnsi="仿宋" w:eastAsia="仿宋" w:cs="仿宋"/>
              <w:sz w:val="32"/>
              <w:szCs w:val="32"/>
            </w:rPr>
            <w:t>18</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_Toc4115 </w:instrText>
          </w:r>
          <w:r>
            <w:rPr>
              <w:rFonts w:ascii="仿宋" w:hAnsi="仿宋" w:eastAsia="仿宋" w:cs="仿宋"/>
              <w:sz w:val="32"/>
              <w:szCs w:val="32"/>
            </w:rPr>
            <w:fldChar w:fldCharType="separate"/>
          </w:r>
          <w:r>
            <w:rPr>
              <w:rFonts w:hint="eastAsia" w:ascii="黑体" w:hAnsi="黑体" w:eastAsia="黑体" w:cs="黑体"/>
              <w:bCs w:val="0"/>
              <w:sz w:val="32"/>
              <w:szCs w:val="32"/>
            </w:rPr>
            <w:t>二、风险处置安排</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_Toc4115 \h </w:instrText>
          </w:r>
          <w:r>
            <w:rPr>
              <w:rFonts w:ascii="仿宋" w:hAnsi="仿宋" w:eastAsia="仿宋" w:cs="仿宋"/>
              <w:sz w:val="32"/>
              <w:szCs w:val="32"/>
            </w:rPr>
            <w:fldChar w:fldCharType="separate"/>
          </w:r>
          <w:r>
            <w:rPr>
              <w:rFonts w:ascii="仿宋" w:hAnsi="仿宋" w:eastAsia="仿宋" w:cs="仿宋"/>
              <w:sz w:val="32"/>
              <w:szCs w:val="32"/>
            </w:rPr>
            <w:t>18</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_Toc11652 </w:instrText>
          </w:r>
          <w:r>
            <w:rPr>
              <w:rFonts w:ascii="仿宋" w:hAnsi="仿宋" w:eastAsia="仿宋" w:cs="仿宋"/>
              <w:sz w:val="32"/>
              <w:szCs w:val="32"/>
            </w:rPr>
            <w:fldChar w:fldCharType="separate"/>
          </w:r>
          <w:r>
            <w:rPr>
              <w:rFonts w:hint="default" w:ascii="仿宋" w:hAnsi="仿宋" w:eastAsia="仿宋" w:cs="仿宋"/>
              <w:sz w:val="32"/>
              <w:szCs w:val="32"/>
            </w:rPr>
            <w:t>（一）违约报备</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_Toc11652 \h </w:instrText>
          </w:r>
          <w:r>
            <w:rPr>
              <w:rFonts w:ascii="仿宋" w:hAnsi="仿宋" w:eastAsia="仿宋" w:cs="仿宋"/>
              <w:sz w:val="32"/>
              <w:szCs w:val="32"/>
            </w:rPr>
            <w:fldChar w:fldCharType="separate"/>
          </w:r>
          <w:r>
            <w:rPr>
              <w:rFonts w:ascii="仿宋" w:hAnsi="仿宋" w:eastAsia="仿宋" w:cs="仿宋"/>
              <w:sz w:val="32"/>
              <w:szCs w:val="32"/>
            </w:rPr>
            <w:t>18</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_Toc31935 </w:instrText>
          </w:r>
          <w:r>
            <w:rPr>
              <w:rFonts w:ascii="仿宋" w:hAnsi="仿宋" w:eastAsia="仿宋" w:cs="仿宋"/>
              <w:sz w:val="32"/>
              <w:szCs w:val="32"/>
            </w:rPr>
            <w:fldChar w:fldCharType="separate"/>
          </w:r>
          <w:r>
            <w:rPr>
              <w:rFonts w:hint="default" w:ascii="仿宋" w:hAnsi="仿宋" w:eastAsia="仿宋" w:cs="仿宋"/>
              <w:sz w:val="32"/>
              <w:szCs w:val="32"/>
            </w:rPr>
            <w:t>（二）解除质押</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_Toc31935 \h </w:instrText>
          </w:r>
          <w:r>
            <w:rPr>
              <w:rFonts w:ascii="仿宋" w:hAnsi="仿宋" w:eastAsia="仿宋" w:cs="仿宋"/>
              <w:sz w:val="32"/>
              <w:szCs w:val="32"/>
            </w:rPr>
            <w:fldChar w:fldCharType="separate"/>
          </w:r>
          <w:r>
            <w:rPr>
              <w:rFonts w:ascii="仿宋" w:hAnsi="仿宋" w:eastAsia="仿宋" w:cs="仿宋"/>
              <w:sz w:val="32"/>
              <w:szCs w:val="32"/>
            </w:rPr>
            <w:t>18</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_Toc1176 </w:instrText>
          </w:r>
          <w:r>
            <w:rPr>
              <w:rFonts w:ascii="仿宋" w:hAnsi="仿宋" w:eastAsia="仿宋" w:cs="仿宋"/>
              <w:sz w:val="32"/>
              <w:szCs w:val="32"/>
            </w:rPr>
            <w:fldChar w:fldCharType="separate"/>
          </w:r>
          <w:r>
            <w:rPr>
              <w:rFonts w:hint="default" w:ascii="仿宋" w:hAnsi="仿宋" w:eastAsia="仿宋" w:cs="仿宋"/>
              <w:sz w:val="32"/>
              <w:szCs w:val="32"/>
            </w:rPr>
            <w:t>（三）质押券处置安排</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_Toc1176 \h </w:instrText>
          </w:r>
          <w:r>
            <w:rPr>
              <w:rFonts w:ascii="仿宋" w:hAnsi="仿宋" w:eastAsia="仿宋" w:cs="仿宋"/>
              <w:sz w:val="32"/>
              <w:szCs w:val="32"/>
            </w:rPr>
            <w:fldChar w:fldCharType="separate"/>
          </w:r>
          <w:r>
            <w:rPr>
              <w:rFonts w:ascii="仿宋" w:hAnsi="仿宋" w:eastAsia="仿宋" w:cs="仿宋"/>
              <w:sz w:val="32"/>
              <w:szCs w:val="32"/>
            </w:rPr>
            <w:t>19</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_Toc2019 </w:instrText>
          </w:r>
          <w:r>
            <w:rPr>
              <w:rFonts w:ascii="仿宋" w:hAnsi="仿宋" w:eastAsia="仿宋" w:cs="仿宋"/>
              <w:sz w:val="32"/>
              <w:szCs w:val="32"/>
            </w:rPr>
            <w:fldChar w:fldCharType="separate"/>
          </w:r>
          <w:r>
            <w:rPr>
              <w:rFonts w:ascii="仿宋" w:hAnsi="仿宋" w:eastAsia="仿宋" w:cs="仿宋"/>
              <w:sz w:val="32"/>
              <w:szCs w:val="32"/>
            </w:rPr>
            <w:t>第</w:t>
          </w:r>
          <w:r>
            <w:rPr>
              <w:rFonts w:hint="default" w:ascii="仿宋" w:hAnsi="仿宋" w:eastAsia="仿宋" w:cs="仿宋"/>
              <w:sz w:val="32"/>
              <w:szCs w:val="32"/>
            </w:rPr>
            <w:t>四</w:t>
          </w:r>
          <w:r>
            <w:rPr>
              <w:rFonts w:ascii="仿宋" w:hAnsi="仿宋" w:eastAsia="仿宋" w:cs="仿宋"/>
              <w:sz w:val="32"/>
              <w:szCs w:val="32"/>
            </w:rPr>
            <w:t xml:space="preserve">章 </w:t>
          </w:r>
          <w:r>
            <w:rPr>
              <w:rFonts w:hint="default" w:ascii="仿宋" w:hAnsi="仿宋" w:eastAsia="仿宋" w:cs="仿宋"/>
              <w:sz w:val="32"/>
              <w:szCs w:val="32"/>
            </w:rPr>
            <w:t>信息披露</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_Toc2019 \h </w:instrText>
          </w:r>
          <w:r>
            <w:rPr>
              <w:rFonts w:ascii="仿宋" w:hAnsi="仿宋" w:eastAsia="仿宋" w:cs="仿宋"/>
              <w:sz w:val="32"/>
              <w:szCs w:val="32"/>
            </w:rPr>
            <w:fldChar w:fldCharType="separate"/>
          </w:r>
          <w:r>
            <w:rPr>
              <w:rFonts w:ascii="仿宋" w:hAnsi="仿宋" w:eastAsia="仿宋" w:cs="仿宋"/>
              <w:sz w:val="32"/>
              <w:szCs w:val="32"/>
            </w:rPr>
            <w:t>20</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_Toc31531 </w:instrText>
          </w:r>
          <w:r>
            <w:rPr>
              <w:rFonts w:ascii="仿宋" w:hAnsi="仿宋" w:eastAsia="仿宋" w:cs="仿宋"/>
              <w:sz w:val="32"/>
              <w:szCs w:val="32"/>
            </w:rPr>
            <w:fldChar w:fldCharType="separate"/>
          </w:r>
          <w:r>
            <w:rPr>
              <w:rFonts w:hint="default" w:ascii="仿宋" w:hAnsi="仿宋" w:eastAsia="仿宋" w:cs="仿宋"/>
              <w:sz w:val="32"/>
              <w:szCs w:val="32"/>
              <w:lang w:eastAsia="zh-CN"/>
            </w:rPr>
            <w:t>附件</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_Toc31531 \h </w:instrText>
          </w:r>
          <w:r>
            <w:rPr>
              <w:rFonts w:ascii="仿宋" w:hAnsi="仿宋" w:eastAsia="仿宋" w:cs="仿宋"/>
              <w:sz w:val="32"/>
              <w:szCs w:val="32"/>
            </w:rPr>
            <w:fldChar w:fldCharType="separate"/>
          </w:r>
          <w:r>
            <w:rPr>
              <w:rFonts w:ascii="仿宋" w:hAnsi="仿宋" w:eastAsia="仿宋" w:cs="仿宋"/>
              <w:sz w:val="32"/>
              <w:szCs w:val="32"/>
            </w:rPr>
            <w:t>2</w:t>
          </w:r>
          <w:r>
            <w:rPr>
              <w:rFonts w:hint="default" w:ascii="仿宋" w:hAnsi="仿宋" w:eastAsia="仿宋" w:cs="仿宋"/>
              <w:sz w:val="32"/>
              <w:szCs w:val="32"/>
              <w:lang w:val="en-US" w:eastAsia="zh-CN"/>
            </w:rPr>
            <w:t>1</w:t>
          </w:r>
          <w:r>
            <w:rPr>
              <w:rFonts w:ascii="仿宋" w:hAnsi="仿宋" w:eastAsia="仿宋" w:cs="仿宋"/>
              <w:sz w:val="32"/>
              <w:szCs w:val="32"/>
            </w:rPr>
            <w:fldChar w:fldCharType="end"/>
          </w:r>
          <w:r>
            <w:rPr>
              <w:rFonts w:ascii="仿宋" w:hAnsi="仿宋" w:eastAsia="仿宋" w:cs="仿宋"/>
              <w:sz w:val="32"/>
              <w:szCs w:val="32"/>
            </w:rPr>
            <w:fldChar w:fldCharType="end"/>
          </w:r>
        </w:p>
        <w:p>
          <w:pPr>
            <w:pStyle w:val="15"/>
            <w:tabs>
              <w:tab w:val="right" w:leader="dot" w:pos="8306"/>
            </w:tabs>
            <w:spacing w:line="560" w:lineRule="exact"/>
          </w:pPr>
          <w:r>
            <w:rPr>
              <w:rFonts w:ascii="仿宋" w:hAnsi="仿宋" w:eastAsia="仿宋" w:cs="仿宋"/>
              <w:sz w:val="32"/>
              <w:szCs w:val="32"/>
            </w:rPr>
            <w:fldChar w:fldCharType="begin"/>
          </w:r>
          <w:r>
            <w:rPr>
              <w:rFonts w:ascii="仿宋" w:hAnsi="仿宋" w:eastAsia="仿宋" w:cs="仿宋"/>
              <w:sz w:val="32"/>
              <w:szCs w:val="32"/>
            </w:rPr>
            <w:instrText xml:space="preserve"> HYPERLINK \l _Toc199 </w:instrText>
          </w:r>
          <w:r>
            <w:rPr>
              <w:rFonts w:ascii="仿宋" w:hAnsi="仿宋" w:eastAsia="仿宋" w:cs="仿宋"/>
              <w:sz w:val="32"/>
              <w:szCs w:val="32"/>
            </w:rPr>
            <w:fldChar w:fldCharType="separate"/>
          </w:r>
          <w:r>
            <w:rPr>
              <w:rFonts w:hint="default" w:ascii="仿宋" w:hAnsi="仿宋" w:eastAsia="仿宋" w:cs="仿宋"/>
              <w:sz w:val="32"/>
              <w:szCs w:val="32"/>
            </w:rPr>
            <w:t>协议回购出资人信息披露意愿表</w:t>
          </w:r>
          <w:r>
            <w:rPr>
              <w:rFonts w:ascii="仿宋" w:hAnsi="仿宋" w:eastAsia="仿宋" w:cs="仿宋"/>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_Toc199 \h </w:instrText>
          </w:r>
          <w:r>
            <w:rPr>
              <w:rFonts w:ascii="仿宋" w:hAnsi="仿宋" w:eastAsia="仿宋" w:cs="仿宋"/>
              <w:sz w:val="32"/>
              <w:szCs w:val="32"/>
            </w:rPr>
            <w:fldChar w:fldCharType="separate"/>
          </w:r>
          <w:r>
            <w:rPr>
              <w:rFonts w:ascii="仿宋" w:hAnsi="仿宋" w:eastAsia="仿宋" w:cs="仿宋"/>
              <w:sz w:val="32"/>
              <w:szCs w:val="32"/>
            </w:rPr>
            <w:t>2</w:t>
          </w:r>
          <w:r>
            <w:rPr>
              <w:rFonts w:hint="default" w:ascii="仿宋" w:hAnsi="仿宋" w:eastAsia="仿宋" w:cs="仿宋"/>
              <w:sz w:val="32"/>
              <w:szCs w:val="32"/>
              <w:lang w:val="en-US" w:eastAsia="zh-CN"/>
            </w:rPr>
            <w:t>1</w:t>
          </w:r>
          <w:r>
            <w:rPr>
              <w:rFonts w:ascii="仿宋" w:hAnsi="仿宋" w:eastAsia="仿宋" w:cs="仿宋"/>
              <w:sz w:val="32"/>
              <w:szCs w:val="32"/>
            </w:rPr>
            <w:fldChar w:fldCharType="end"/>
          </w:r>
          <w:r>
            <w:rPr>
              <w:rFonts w:ascii="仿宋" w:hAnsi="仿宋" w:eastAsia="仿宋" w:cs="仿宋"/>
              <w:sz w:val="32"/>
              <w:szCs w:val="32"/>
            </w:rPr>
            <w:fldChar w:fldCharType="end"/>
          </w:r>
        </w:p>
        <w:p>
          <w:r>
            <w:fldChar w:fldCharType="end"/>
          </w:r>
        </w:p>
      </w:sdtContent>
    </w:sdt>
    <w:p>
      <w:pPr>
        <w:widowControl/>
        <w:spacing w:line="560" w:lineRule="exact"/>
        <w:ind w:firstLine="565" w:firstLineChars="201"/>
        <w:jc w:val="left"/>
        <w:rPr>
          <w:rFonts w:ascii="宋体" w:hAnsi="宋体" w:eastAsia="宋体" w:cs="Times New Roman"/>
          <w:b/>
          <w:sz w:val="28"/>
          <w:szCs w:val="28"/>
        </w:rPr>
      </w:pPr>
    </w:p>
    <w:p>
      <w:pPr>
        <w:widowControl/>
        <w:spacing w:line="560" w:lineRule="exact"/>
        <w:ind w:firstLine="562" w:firstLineChars="200"/>
        <w:jc w:val="both"/>
        <w:rPr>
          <w:rFonts w:ascii="仿宋" w:hAnsi="仿宋" w:eastAsia="仿宋" w:cs="Times New Roman"/>
          <w:sz w:val="32"/>
          <w:szCs w:val="32"/>
        </w:rPr>
      </w:pPr>
      <w:r>
        <w:rPr>
          <w:rFonts w:ascii="宋体" w:hAnsi="宋体" w:eastAsia="宋体" w:cs="Times New Roman"/>
          <w:b/>
          <w:sz w:val="28"/>
          <w:szCs w:val="28"/>
        </w:rPr>
        <w:br w:type="page"/>
      </w:r>
      <w:r>
        <w:rPr>
          <w:rFonts w:hint="eastAsia" w:ascii="仿宋" w:hAnsi="仿宋" w:eastAsia="仿宋" w:cs="Times New Roman"/>
          <w:sz w:val="32"/>
          <w:szCs w:val="32"/>
        </w:rPr>
        <w:t>为便于深圳证券交易所（以下简称本所）市场参与者了解和掌握债券质押式协议回购（以下简称协议回购）交易机制安排，熟悉协议回购交易环节操作流程</w:t>
      </w:r>
      <w:r>
        <w:rPr>
          <w:rFonts w:ascii="仿宋" w:hAnsi="仿宋" w:eastAsia="仿宋" w:cs="Times New Roman"/>
          <w:sz w:val="32"/>
          <w:szCs w:val="32"/>
        </w:rPr>
        <w:t>，</w:t>
      </w:r>
      <w:r>
        <w:rPr>
          <w:rFonts w:hint="eastAsia" w:ascii="仿宋" w:hAnsi="仿宋" w:eastAsia="仿宋" w:cs="Times New Roman"/>
          <w:sz w:val="32"/>
          <w:szCs w:val="32"/>
        </w:rPr>
        <w:t>根据《深圳证券交易所债券质押式协议回购交易业务办法》</w:t>
      </w:r>
      <w:r>
        <w:rPr>
          <w:rFonts w:ascii="仿宋" w:hAnsi="仿宋" w:eastAsia="仿宋" w:cs="Times New Roman"/>
          <w:sz w:val="32"/>
          <w:szCs w:val="32"/>
        </w:rPr>
        <w:t>（以下简称《办法》）</w:t>
      </w:r>
      <w:r>
        <w:rPr>
          <w:rFonts w:hint="eastAsia" w:ascii="仿宋" w:hAnsi="仿宋" w:eastAsia="仿宋" w:cs="Times New Roman"/>
          <w:sz w:val="32"/>
          <w:szCs w:val="32"/>
          <w:lang w:eastAsia="zh-CN"/>
        </w:rPr>
        <w:t>、</w:t>
      </w:r>
      <w:r>
        <w:rPr>
          <w:rFonts w:hint="eastAsia" w:ascii="仿宋" w:hAnsi="仿宋" w:eastAsia="仿宋" w:cs="Times New Roman"/>
          <w:sz w:val="32"/>
          <w:szCs w:val="32"/>
        </w:rPr>
        <w:t>《深圳证券交易所债券交易业务指引第</w:t>
      </w:r>
      <w:r>
        <w:rPr>
          <w:rFonts w:ascii="仿宋" w:hAnsi="仿宋" w:eastAsia="仿宋" w:cs="Times New Roman"/>
          <w:sz w:val="32"/>
          <w:szCs w:val="32"/>
        </w:rPr>
        <w:t>4号——债券质押式协议回购风险控制</w:t>
      </w:r>
      <w:r>
        <w:rPr>
          <w:rFonts w:hint="eastAsia" w:ascii="仿宋" w:hAnsi="仿宋" w:eastAsia="仿宋" w:cs="Times New Roman"/>
          <w:sz w:val="32"/>
          <w:szCs w:val="32"/>
        </w:rPr>
        <w:t>》（以下简称《风控指引》）等</w:t>
      </w:r>
      <w:r>
        <w:rPr>
          <w:rFonts w:ascii="仿宋" w:hAnsi="仿宋" w:eastAsia="仿宋" w:cs="Times New Roman"/>
          <w:sz w:val="32"/>
          <w:szCs w:val="32"/>
        </w:rPr>
        <w:t>制定本指南。</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本指南自</w:t>
      </w:r>
      <w:r>
        <w:rPr>
          <w:rFonts w:ascii="仿宋" w:hAnsi="仿宋" w:eastAsia="仿宋" w:cs="Times New Roman"/>
          <w:b/>
          <w:sz w:val="32"/>
          <w:szCs w:val="32"/>
        </w:rPr>
        <w:t>202</w:t>
      </w:r>
      <w:r>
        <w:rPr>
          <w:rFonts w:hint="eastAsia" w:ascii="仿宋" w:hAnsi="仿宋" w:eastAsia="仿宋" w:cs="Times New Roman"/>
          <w:b/>
          <w:sz w:val="32"/>
          <w:szCs w:val="32"/>
          <w:lang w:val="en-US" w:eastAsia="zh-CN"/>
        </w:rPr>
        <w:t>6</w:t>
      </w:r>
      <w:r>
        <w:rPr>
          <w:rFonts w:ascii="仿宋" w:hAnsi="仿宋" w:eastAsia="仿宋" w:cs="Times New Roman"/>
          <w:b/>
          <w:sz w:val="32"/>
          <w:szCs w:val="32"/>
        </w:rPr>
        <w:t>年</w:t>
      </w:r>
      <w:r>
        <w:rPr>
          <w:rFonts w:hint="eastAsia" w:ascii="仿宋" w:hAnsi="仿宋" w:eastAsia="仿宋" w:cs="Times New Roman"/>
          <w:b/>
          <w:sz w:val="32"/>
          <w:szCs w:val="32"/>
          <w:lang w:val="en-US" w:eastAsia="zh-CN"/>
        </w:rPr>
        <w:t>5</w:t>
      </w:r>
      <w:r>
        <w:rPr>
          <w:rFonts w:ascii="仿宋" w:hAnsi="仿宋" w:eastAsia="仿宋" w:cs="Times New Roman"/>
          <w:b/>
          <w:sz w:val="32"/>
          <w:szCs w:val="32"/>
        </w:rPr>
        <w:t>月</w:t>
      </w:r>
      <w:r>
        <w:rPr>
          <w:rFonts w:hint="eastAsia" w:ascii="仿宋" w:hAnsi="仿宋" w:eastAsia="仿宋" w:cs="Times New Roman"/>
          <w:b/>
          <w:sz w:val="32"/>
          <w:szCs w:val="32"/>
          <w:lang w:val="en-US" w:eastAsia="zh-CN"/>
        </w:rPr>
        <w:t>22</w:t>
      </w:r>
      <w:r>
        <w:rPr>
          <w:rFonts w:hint="eastAsia" w:ascii="仿宋" w:hAnsi="仿宋" w:eastAsia="仿宋" w:cs="Times New Roman"/>
          <w:b/>
          <w:sz w:val="32"/>
          <w:szCs w:val="32"/>
        </w:rPr>
        <w:t>日起施行</w:t>
      </w:r>
      <w:r>
        <w:rPr>
          <w:rFonts w:hint="eastAsia" w:ascii="仿宋" w:hAnsi="仿宋" w:eastAsia="仿宋" w:cs="Times New Roman"/>
          <w:sz w:val="32"/>
          <w:szCs w:val="32"/>
        </w:rPr>
        <w:t>，适用于在本所开展的协议回购业务</w:t>
      </w:r>
      <w:r>
        <w:rPr>
          <w:rFonts w:hint="eastAsia" w:ascii="仿宋" w:hAnsi="仿宋" w:eastAsia="仿宋" w:cs="Times New Roman"/>
          <w:b w:val="0"/>
          <w:bCs/>
          <w:sz w:val="32"/>
          <w:szCs w:val="32"/>
        </w:rPr>
        <w:t>。</w:t>
      </w:r>
      <w:r>
        <w:rPr>
          <w:rFonts w:hint="eastAsia" w:ascii="仿宋" w:hAnsi="仿宋" w:eastAsia="仿宋" w:cs="Times New Roman"/>
          <w:sz w:val="32"/>
          <w:szCs w:val="32"/>
        </w:rPr>
        <w:t>协议</w:t>
      </w:r>
      <w:r>
        <w:rPr>
          <w:rFonts w:ascii="仿宋" w:hAnsi="仿宋" w:eastAsia="仿宋" w:cs="Times New Roman"/>
          <w:sz w:val="32"/>
          <w:szCs w:val="32"/>
        </w:rPr>
        <w:t>回购业务流程包括业务开展前准备、业务实施等环节。其中，业务开展前准备包括</w:t>
      </w:r>
      <w:r>
        <w:rPr>
          <w:rFonts w:hint="eastAsia" w:ascii="仿宋" w:hAnsi="仿宋" w:eastAsia="仿宋" w:cs="Times New Roman"/>
          <w:sz w:val="32"/>
          <w:szCs w:val="32"/>
        </w:rPr>
        <w:t>投资者适当性报备、主协议</w:t>
      </w:r>
      <w:r>
        <w:rPr>
          <w:rFonts w:ascii="仿宋" w:hAnsi="仿宋" w:eastAsia="仿宋" w:cs="Times New Roman"/>
          <w:sz w:val="32"/>
          <w:szCs w:val="32"/>
        </w:rPr>
        <w:t>签署</w:t>
      </w:r>
      <w:r>
        <w:rPr>
          <w:rFonts w:hint="eastAsia" w:ascii="仿宋" w:hAnsi="仿宋" w:eastAsia="仿宋" w:cs="Times New Roman"/>
          <w:sz w:val="32"/>
          <w:szCs w:val="32"/>
        </w:rPr>
        <w:t>及备案、债券交易账户信息报备</w:t>
      </w:r>
      <w:r>
        <w:rPr>
          <w:rFonts w:ascii="仿宋" w:hAnsi="仿宋" w:eastAsia="仿宋" w:cs="Times New Roman"/>
          <w:sz w:val="32"/>
          <w:szCs w:val="32"/>
        </w:rPr>
        <w:t>等；业务实施</w:t>
      </w:r>
      <w:r>
        <w:rPr>
          <w:rFonts w:hint="eastAsia" w:ascii="仿宋" w:hAnsi="仿宋" w:eastAsia="仿宋" w:cs="Times New Roman"/>
          <w:sz w:val="32"/>
          <w:szCs w:val="32"/>
        </w:rPr>
        <w:t>主要</w:t>
      </w:r>
      <w:r>
        <w:rPr>
          <w:rFonts w:ascii="仿宋" w:hAnsi="仿宋" w:eastAsia="仿宋" w:cs="Times New Roman"/>
          <w:sz w:val="32"/>
          <w:szCs w:val="32"/>
        </w:rPr>
        <w:t>包括</w:t>
      </w:r>
      <w:r>
        <w:rPr>
          <w:rFonts w:hint="eastAsia" w:ascii="仿宋" w:hAnsi="仿宋" w:eastAsia="仿宋" w:cs="Times New Roman"/>
          <w:sz w:val="32"/>
          <w:szCs w:val="32"/>
        </w:rPr>
        <w:t>协议</w:t>
      </w:r>
      <w:r>
        <w:rPr>
          <w:rFonts w:ascii="仿宋" w:hAnsi="仿宋" w:eastAsia="仿宋" w:cs="Times New Roman"/>
          <w:sz w:val="32"/>
          <w:szCs w:val="32"/>
        </w:rPr>
        <w:t>回购的交易</w:t>
      </w:r>
      <w:r>
        <w:rPr>
          <w:rFonts w:hint="eastAsia" w:ascii="仿宋" w:hAnsi="仿宋" w:eastAsia="仿宋" w:cs="Times New Roman"/>
          <w:sz w:val="32"/>
          <w:szCs w:val="32"/>
          <w:lang w:eastAsia="zh-CN"/>
        </w:rPr>
        <w:t>结算</w:t>
      </w:r>
      <w:r>
        <w:rPr>
          <w:rFonts w:hint="eastAsia" w:ascii="仿宋" w:hAnsi="仿宋" w:eastAsia="仿宋" w:cs="Times New Roman"/>
          <w:sz w:val="32"/>
          <w:szCs w:val="32"/>
        </w:rPr>
        <w:t>安排</w:t>
      </w:r>
      <w:r>
        <w:rPr>
          <w:rFonts w:ascii="仿宋" w:hAnsi="仿宋" w:eastAsia="仿宋" w:cs="Times New Roman"/>
          <w:sz w:val="32"/>
          <w:szCs w:val="32"/>
        </w:rPr>
        <w:t>。</w:t>
      </w:r>
      <w:r>
        <w:rPr>
          <w:rFonts w:hint="eastAsia" w:ascii="仿宋" w:hAnsi="仿宋" w:eastAsia="仿宋" w:cs="Times New Roman"/>
          <w:sz w:val="32"/>
          <w:szCs w:val="32"/>
        </w:rPr>
        <w:t>此外，本指南还包</w:t>
      </w:r>
      <w:r>
        <w:rPr>
          <w:rFonts w:hint="eastAsia" w:ascii="仿宋" w:hAnsi="仿宋" w:eastAsia="仿宋" w:cs="Times New Roman"/>
          <w:sz w:val="32"/>
          <w:szCs w:val="32"/>
          <w:lang w:eastAsia="zh-CN"/>
        </w:rPr>
        <w:t>括</w:t>
      </w:r>
      <w:r>
        <w:rPr>
          <w:rFonts w:hint="eastAsia" w:ascii="仿宋" w:hAnsi="仿宋" w:eastAsia="仿宋" w:cs="Times New Roman"/>
          <w:sz w:val="32"/>
          <w:szCs w:val="32"/>
        </w:rPr>
        <w:t>风险控制和处置安排、信息披露等内容。协议</w:t>
      </w:r>
      <w:r>
        <w:rPr>
          <w:rFonts w:ascii="仿宋" w:hAnsi="仿宋" w:eastAsia="仿宋" w:cs="Times New Roman"/>
          <w:sz w:val="32"/>
          <w:szCs w:val="32"/>
        </w:rPr>
        <w:t>回购结算</w:t>
      </w:r>
      <w:r>
        <w:rPr>
          <w:rFonts w:hint="eastAsia" w:ascii="仿宋" w:hAnsi="仿宋" w:eastAsia="仿宋" w:cs="Times New Roman"/>
          <w:sz w:val="32"/>
          <w:szCs w:val="32"/>
        </w:rPr>
        <w:t>相关</w:t>
      </w:r>
      <w:r>
        <w:rPr>
          <w:rFonts w:ascii="仿宋" w:hAnsi="仿宋" w:eastAsia="仿宋" w:cs="Times New Roman"/>
          <w:sz w:val="32"/>
          <w:szCs w:val="32"/>
        </w:rPr>
        <w:t>业务</w:t>
      </w:r>
      <w:r>
        <w:rPr>
          <w:rFonts w:hint="eastAsia" w:ascii="仿宋" w:hAnsi="仿宋" w:eastAsia="仿宋" w:cs="Times New Roman"/>
          <w:sz w:val="32"/>
          <w:szCs w:val="32"/>
        </w:rPr>
        <w:t>操作流程</w:t>
      </w:r>
      <w:r>
        <w:rPr>
          <w:rFonts w:ascii="仿宋" w:hAnsi="仿宋" w:eastAsia="仿宋" w:cs="Times New Roman"/>
          <w:sz w:val="32"/>
          <w:szCs w:val="32"/>
        </w:rPr>
        <w:t>按照</w:t>
      </w:r>
      <w:r>
        <w:rPr>
          <w:rFonts w:hint="eastAsia" w:ascii="仿宋" w:hAnsi="仿宋" w:eastAsia="仿宋" w:cs="Times New Roman"/>
          <w:sz w:val="32"/>
          <w:szCs w:val="32"/>
        </w:rPr>
        <w:t>中国证券登记结算有限责任公司（以下简称</w:t>
      </w:r>
      <w:r>
        <w:rPr>
          <w:rFonts w:ascii="仿宋" w:hAnsi="仿宋" w:eastAsia="仿宋" w:cs="Times New Roman"/>
          <w:sz w:val="32"/>
          <w:szCs w:val="32"/>
        </w:rPr>
        <w:t>中国结算</w:t>
      </w:r>
      <w:r>
        <w:rPr>
          <w:rFonts w:hint="eastAsia" w:ascii="仿宋" w:hAnsi="仿宋" w:eastAsia="仿宋" w:cs="Times New Roman"/>
          <w:sz w:val="32"/>
          <w:szCs w:val="32"/>
        </w:rPr>
        <w:t>）</w:t>
      </w:r>
      <w:r>
        <w:rPr>
          <w:rFonts w:ascii="仿宋" w:hAnsi="仿宋" w:eastAsia="仿宋" w:cs="Times New Roman"/>
          <w:sz w:val="32"/>
          <w:szCs w:val="32"/>
        </w:rPr>
        <w:t>相关</w:t>
      </w:r>
      <w:r>
        <w:rPr>
          <w:rFonts w:hint="eastAsia" w:ascii="仿宋" w:hAnsi="仿宋" w:eastAsia="仿宋" w:cs="Times New Roman"/>
          <w:sz w:val="32"/>
          <w:szCs w:val="32"/>
        </w:rPr>
        <w:t>规定</w:t>
      </w:r>
      <w:r>
        <w:rPr>
          <w:rFonts w:ascii="仿宋" w:hAnsi="仿宋" w:eastAsia="仿宋" w:cs="Times New Roman"/>
          <w:sz w:val="32"/>
          <w:szCs w:val="32"/>
        </w:rPr>
        <w:t>办理。</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本所将根据实际情况，对本指南进行不定期修订并发布更新版本。本指南</w:t>
      </w:r>
      <w:r>
        <w:rPr>
          <w:rFonts w:hint="eastAsia" w:ascii="仿宋" w:hAnsi="仿宋" w:eastAsia="仿宋" w:cs="Times New Roman"/>
          <w:sz w:val="32"/>
          <w:szCs w:val="32"/>
          <w:lang w:eastAsia="zh-CN"/>
        </w:rPr>
        <w:t>由本所负责</w:t>
      </w:r>
      <w:r>
        <w:rPr>
          <w:rFonts w:hint="eastAsia" w:ascii="仿宋" w:hAnsi="仿宋" w:eastAsia="仿宋" w:cs="Times New Roman"/>
          <w:sz w:val="32"/>
          <w:szCs w:val="32"/>
        </w:rPr>
        <w:t>解释。</w:t>
      </w:r>
    </w:p>
    <w:p>
      <w:pPr>
        <w:widowControl/>
        <w:jc w:val="left"/>
        <w:rPr>
          <w:rFonts w:ascii="仿宋" w:hAnsi="仿宋" w:eastAsia="仿宋" w:cs="Times New Roman"/>
          <w:b/>
          <w:sz w:val="32"/>
          <w:szCs w:val="32"/>
        </w:rPr>
      </w:pPr>
      <w:bookmarkStart w:id="0" w:name="_Toc5193294"/>
      <w:bookmarkStart w:id="1" w:name="_Toc38285945"/>
      <w:bookmarkStart w:id="2" w:name="_Toc513792075"/>
      <w:bookmarkStart w:id="3" w:name="_Toc513791789"/>
      <w:bookmarkStart w:id="4" w:name="_Toc513792042"/>
      <w:r>
        <w:rPr>
          <w:rFonts w:ascii="仿宋" w:hAnsi="仿宋" w:eastAsia="仿宋" w:cs="Times New Roman"/>
          <w:bCs/>
          <w:sz w:val="32"/>
          <w:szCs w:val="32"/>
        </w:rPr>
        <w:br w:type="page"/>
      </w:r>
    </w:p>
    <w:p>
      <w:pPr>
        <w:pStyle w:val="3"/>
        <w:spacing w:before="156" w:beforeLines="50" w:after="156" w:afterLines="50" w:line="560" w:lineRule="exact"/>
        <w:jc w:val="center"/>
        <w:rPr>
          <w:rFonts w:hint="eastAsia" w:ascii="黑体" w:hAnsi="黑体" w:eastAsia="黑体" w:cs="黑体"/>
          <w:b w:val="0"/>
          <w:bCs/>
          <w:kern w:val="2"/>
          <w:sz w:val="32"/>
          <w:szCs w:val="32"/>
        </w:rPr>
      </w:pPr>
      <w:bookmarkStart w:id="5" w:name="_Toc1794"/>
      <w:bookmarkStart w:id="6" w:name="_Toc70597847"/>
      <w:bookmarkStart w:id="7" w:name="_Toc13071"/>
      <w:bookmarkStart w:id="8" w:name="_Toc122526328"/>
      <w:bookmarkStart w:id="9" w:name="_Toc19442"/>
      <w:r>
        <w:rPr>
          <w:rFonts w:hint="eastAsia" w:ascii="黑体" w:hAnsi="黑体" w:eastAsia="黑体" w:cs="黑体"/>
          <w:b w:val="0"/>
          <w:bCs/>
          <w:kern w:val="2"/>
          <w:sz w:val="32"/>
          <w:szCs w:val="32"/>
        </w:rPr>
        <w:t>第一章 业务开展前准备</w:t>
      </w:r>
      <w:bookmarkEnd w:id="0"/>
      <w:bookmarkEnd w:id="1"/>
      <w:bookmarkEnd w:id="5"/>
      <w:bookmarkEnd w:id="6"/>
      <w:bookmarkEnd w:id="7"/>
      <w:bookmarkEnd w:id="8"/>
      <w:bookmarkEnd w:id="9"/>
    </w:p>
    <w:bookmarkEnd w:id="2"/>
    <w:bookmarkEnd w:id="3"/>
    <w:bookmarkEnd w:id="4"/>
    <w:p>
      <w:pPr>
        <w:pStyle w:val="4"/>
        <w:spacing w:before="0" w:after="0" w:line="560" w:lineRule="exact"/>
        <w:ind w:firstLine="640" w:firstLineChars="200"/>
        <w:jc w:val="both"/>
        <w:rPr>
          <w:rFonts w:ascii="黑体" w:hAnsi="黑体" w:eastAsia="黑体"/>
          <w:b w:val="0"/>
        </w:rPr>
      </w:pPr>
      <w:bookmarkStart w:id="10" w:name="_Toc122526329"/>
      <w:bookmarkStart w:id="11" w:name="_Toc8994"/>
      <w:bookmarkStart w:id="12" w:name="_Toc16833"/>
      <w:bookmarkStart w:id="13" w:name="_Toc14040"/>
      <w:bookmarkStart w:id="14" w:name="_Toc5193295"/>
      <w:bookmarkStart w:id="15" w:name="_Toc38285946"/>
      <w:bookmarkStart w:id="16" w:name="_Toc513791790"/>
      <w:bookmarkStart w:id="17" w:name="_Toc513792043"/>
      <w:r>
        <w:rPr>
          <w:rFonts w:hint="eastAsia" w:ascii="黑体" w:hAnsi="黑体" w:eastAsia="黑体"/>
          <w:b w:val="0"/>
        </w:rPr>
        <w:t>一、投资者适当性报备</w:t>
      </w:r>
      <w:bookmarkEnd w:id="10"/>
      <w:bookmarkEnd w:id="11"/>
      <w:bookmarkEnd w:id="12"/>
      <w:bookmarkEnd w:id="13"/>
    </w:p>
    <w:p>
      <w:pPr>
        <w:spacing w:line="560" w:lineRule="exact"/>
        <w:ind w:firstLine="707" w:firstLineChars="221"/>
        <w:rPr>
          <w:rFonts w:ascii="仿宋" w:hAnsi="仿宋" w:eastAsia="仿宋" w:cs="Times New Roman"/>
          <w:sz w:val="32"/>
          <w:szCs w:val="32"/>
        </w:rPr>
      </w:pPr>
      <w:r>
        <w:rPr>
          <w:rFonts w:hint="eastAsia" w:ascii="仿宋" w:hAnsi="仿宋" w:eastAsia="仿宋" w:cs="Times New Roman"/>
          <w:sz w:val="32"/>
          <w:szCs w:val="32"/>
        </w:rPr>
        <w:t>参与协议回购融资交易和</w:t>
      </w:r>
      <w:r>
        <w:rPr>
          <w:rFonts w:hint="eastAsia" w:ascii="仿宋" w:hAnsi="仿宋" w:eastAsia="仿宋" w:cs="Times New Roman"/>
          <w:sz w:val="32"/>
          <w:szCs w:val="32"/>
          <w:lang w:eastAsia="zh-CN"/>
        </w:rPr>
        <w:t>出资</w:t>
      </w:r>
      <w:r>
        <w:rPr>
          <w:rFonts w:hint="eastAsia" w:ascii="仿宋" w:hAnsi="仿宋" w:eastAsia="仿宋" w:cs="Times New Roman"/>
          <w:sz w:val="32"/>
          <w:szCs w:val="32"/>
        </w:rPr>
        <w:t>交易的投资者仅限专业投资者中的机构投资者</w:t>
      </w:r>
      <w:r>
        <w:rPr>
          <w:rFonts w:hint="eastAsia" w:ascii="仿宋" w:hAnsi="仿宋" w:eastAsia="仿宋" w:cs="Times New Roman"/>
          <w:sz w:val="32"/>
          <w:szCs w:val="32"/>
          <w:lang w:eastAsia="zh-CN"/>
        </w:rPr>
        <w:t>。</w:t>
      </w:r>
      <w:r>
        <w:rPr>
          <w:rFonts w:hint="eastAsia" w:ascii="仿宋" w:hAnsi="仿宋" w:eastAsia="仿宋" w:cs="Times New Roman"/>
          <w:sz w:val="32"/>
          <w:szCs w:val="32"/>
        </w:rPr>
        <w:t>投资者在参与协议回购业务前，应当进行投资者适当性报备，详见《深圳证券交易所债券交易业务指南第4号——债券交易及配套安排》第二章相关规定。</w:t>
      </w:r>
    </w:p>
    <w:p>
      <w:pPr>
        <w:pStyle w:val="4"/>
        <w:spacing w:before="0" w:after="0" w:line="560" w:lineRule="exact"/>
        <w:ind w:firstLine="640" w:firstLineChars="200"/>
        <w:jc w:val="both"/>
        <w:rPr>
          <w:rFonts w:ascii="仿宋" w:hAnsi="仿宋" w:eastAsia="仿宋"/>
        </w:rPr>
      </w:pPr>
      <w:bookmarkStart w:id="18" w:name="_Toc11078"/>
      <w:bookmarkStart w:id="19" w:name="_Toc122526330"/>
      <w:bookmarkStart w:id="20" w:name="_Toc32172"/>
      <w:bookmarkStart w:id="21" w:name="_Toc11543"/>
      <w:r>
        <w:rPr>
          <w:rFonts w:hint="eastAsia" w:ascii="黑体" w:hAnsi="黑体" w:eastAsia="黑体"/>
          <w:b w:val="0"/>
        </w:rPr>
        <w:t>二</w:t>
      </w:r>
      <w:r>
        <w:rPr>
          <w:rFonts w:ascii="黑体" w:hAnsi="黑体" w:eastAsia="黑体"/>
          <w:b w:val="0"/>
        </w:rPr>
        <w:t>、</w:t>
      </w:r>
      <w:bookmarkEnd w:id="14"/>
      <w:bookmarkEnd w:id="15"/>
      <w:r>
        <w:rPr>
          <w:rFonts w:hint="eastAsia" w:ascii="黑体" w:hAnsi="黑体" w:eastAsia="黑体"/>
          <w:b w:val="0"/>
        </w:rPr>
        <w:t>主协议</w:t>
      </w:r>
      <w:bookmarkEnd w:id="16"/>
      <w:bookmarkEnd w:id="17"/>
      <w:bookmarkEnd w:id="18"/>
      <w:bookmarkEnd w:id="19"/>
      <w:r>
        <w:rPr>
          <w:rFonts w:hint="eastAsia" w:ascii="黑体" w:hAnsi="黑体" w:eastAsia="黑体"/>
          <w:b w:val="0"/>
        </w:rPr>
        <w:t>签署及备案</w:t>
      </w:r>
      <w:bookmarkEnd w:id="20"/>
      <w:bookmarkEnd w:id="21"/>
    </w:p>
    <w:p>
      <w:pPr>
        <w:spacing w:line="560" w:lineRule="exact"/>
        <w:ind w:firstLine="643" w:firstLineChars="200"/>
        <w:outlineLvl w:val="2"/>
        <w:rPr>
          <w:rFonts w:ascii="楷体" w:hAnsi="楷体" w:eastAsia="楷体"/>
          <w:b/>
          <w:sz w:val="32"/>
          <w:szCs w:val="32"/>
        </w:rPr>
      </w:pPr>
      <w:bookmarkStart w:id="22" w:name="_Toc23264"/>
      <w:bookmarkStart w:id="23" w:name="_Toc32389"/>
      <w:bookmarkStart w:id="24" w:name="_Toc122526331"/>
      <w:bookmarkStart w:id="25" w:name="_Toc1069"/>
      <w:r>
        <w:rPr>
          <w:rFonts w:hint="eastAsia" w:ascii="楷体" w:hAnsi="楷体" w:eastAsia="楷体"/>
          <w:b/>
          <w:sz w:val="32"/>
          <w:szCs w:val="32"/>
        </w:rPr>
        <w:t>（一）主协议签署要求</w:t>
      </w:r>
      <w:bookmarkEnd w:id="22"/>
      <w:bookmarkEnd w:id="23"/>
      <w:bookmarkEnd w:id="24"/>
      <w:bookmarkEnd w:id="25"/>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投资者</w:t>
      </w:r>
      <w:r>
        <w:rPr>
          <w:rFonts w:ascii="仿宋" w:hAnsi="仿宋" w:eastAsia="仿宋" w:cs="Times New Roman"/>
          <w:sz w:val="32"/>
          <w:szCs w:val="32"/>
        </w:rPr>
        <w:t>参与</w:t>
      </w:r>
      <w:r>
        <w:rPr>
          <w:rFonts w:hint="eastAsia" w:ascii="仿宋" w:hAnsi="仿宋" w:eastAsia="仿宋" w:cs="Times New Roman"/>
          <w:sz w:val="32"/>
          <w:szCs w:val="32"/>
        </w:rPr>
        <w:t>协议</w:t>
      </w:r>
      <w:r>
        <w:rPr>
          <w:rFonts w:ascii="仿宋" w:hAnsi="仿宋" w:eastAsia="仿宋" w:cs="Times New Roman"/>
          <w:sz w:val="32"/>
          <w:szCs w:val="32"/>
        </w:rPr>
        <w:t>回购</w:t>
      </w:r>
      <w:r>
        <w:rPr>
          <w:rFonts w:hint="eastAsia" w:ascii="仿宋" w:hAnsi="仿宋" w:eastAsia="仿宋" w:cs="Times New Roman"/>
          <w:sz w:val="32"/>
          <w:szCs w:val="32"/>
        </w:rPr>
        <w:t>业务</w:t>
      </w:r>
      <w:r>
        <w:rPr>
          <w:rFonts w:ascii="仿宋" w:hAnsi="仿宋" w:eastAsia="仿宋" w:cs="Times New Roman"/>
          <w:sz w:val="32"/>
          <w:szCs w:val="32"/>
        </w:rPr>
        <w:t>前，应</w:t>
      </w:r>
      <w:r>
        <w:rPr>
          <w:rFonts w:hint="eastAsia" w:ascii="仿宋" w:hAnsi="仿宋" w:eastAsia="仿宋" w:cs="Times New Roman"/>
          <w:sz w:val="32"/>
          <w:szCs w:val="32"/>
        </w:rPr>
        <w:t>当</w:t>
      </w:r>
      <w:r>
        <w:rPr>
          <w:rFonts w:ascii="仿宋" w:hAnsi="仿宋" w:eastAsia="仿宋" w:cs="Times New Roman"/>
          <w:sz w:val="32"/>
          <w:szCs w:val="32"/>
        </w:rPr>
        <w:t>签署《</w:t>
      </w:r>
      <w:r>
        <w:rPr>
          <w:rFonts w:hint="eastAsia" w:ascii="仿宋" w:hAnsi="仿宋" w:eastAsia="仿宋" w:cs="Times New Roman"/>
          <w:sz w:val="32"/>
          <w:szCs w:val="32"/>
        </w:rPr>
        <w:t>深圳证券交易所债券质押式协议回购交易主协议（</w:t>
      </w:r>
      <w:r>
        <w:rPr>
          <w:rFonts w:ascii="仿宋" w:hAnsi="仿宋" w:eastAsia="仿宋" w:cs="Times New Roman"/>
          <w:sz w:val="32"/>
          <w:szCs w:val="32"/>
        </w:rPr>
        <w:t>2021年版）》（以下简称《主协议》）。《主协议》为开放式协议，</w:t>
      </w:r>
      <w:r>
        <w:rPr>
          <w:rFonts w:hint="eastAsia" w:ascii="仿宋" w:hAnsi="仿宋" w:eastAsia="仿宋" w:cs="Times New Roman"/>
          <w:sz w:val="32"/>
          <w:szCs w:val="32"/>
        </w:rPr>
        <w:t>由投资者签署后在各签署人之间生效。投资者为法人机构的，《主协议》由法定代表人或者有权人士进行签署；投资者为证券投资基金、银行理财等非法人产品的，由管理人代为签署，其管理的产品在参与协议回购业务时，视同认可并遵循《主协议》。《主协议》</w:t>
      </w:r>
      <w:r>
        <w:rPr>
          <w:rFonts w:ascii="仿宋" w:hAnsi="仿宋" w:eastAsia="仿宋" w:cs="Times New Roman"/>
          <w:sz w:val="32"/>
          <w:szCs w:val="32"/>
        </w:rPr>
        <w:t>为标准化协议文本，</w:t>
      </w:r>
      <w:r>
        <w:rPr>
          <w:rFonts w:hint="eastAsia" w:ascii="仿宋" w:hAnsi="仿宋" w:eastAsia="仿宋" w:cs="Times New Roman"/>
          <w:sz w:val="32"/>
          <w:szCs w:val="32"/>
        </w:rPr>
        <w:t>投资者不得自行对《主协议》内容进行修改</w:t>
      </w:r>
      <w:r>
        <w:rPr>
          <w:rFonts w:ascii="仿宋" w:hAnsi="仿宋" w:eastAsia="仿宋" w:cs="Times New Roman"/>
          <w:sz w:val="32"/>
          <w:szCs w:val="32"/>
        </w:rPr>
        <w:t>。</w:t>
      </w:r>
    </w:p>
    <w:p>
      <w:pPr>
        <w:spacing w:line="560" w:lineRule="exact"/>
        <w:ind w:firstLine="643" w:firstLineChars="200"/>
        <w:outlineLvl w:val="2"/>
        <w:rPr>
          <w:rFonts w:ascii="楷体" w:hAnsi="楷体" w:eastAsia="楷体"/>
          <w:b/>
          <w:sz w:val="32"/>
          <w:szCs w:val="32"/>
        </w:rPr>
      </w:pPr>
      <w:bookmarkStart w:id="26" w:name="_Toc729"/>
      <w:bookmarkStart w:id="27" w:name="_Toc19197"/>
      <w:bookmarkStart w:id="28" w:name="_Toc122526332"/>
      <w:bookmarkStart w:id="29" w:name="_Toc6995"/>
      <w:r>
        <w:rPr>
          <w:rFonts w:hint="eastAsia" w:ascii="楷体" w:hAnsi="楷体" w:eastAsia="楷体"/>
          <w:b/>
          <w:sz w:val="32"/>
          <w:szCs w:val="32"/>
        </w:rPr>
        <w:t>（二）主协议备案方式</w:t>
      </w:r>
      <w:bookmarkEnd w:id="26"/>
      <w:bookmarkEnd w:id="27"/>
      <w:bookmarkEnd w:id="28"/>
      <w:bookmarkEnd w:id="29"/>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《主协议》通过本所固定收益品种业务专区以电子化方式进行备案。</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1.备案</w:t>
      </w:r>
      <w:r>
        <w:rPr>
          <w:rFonts w:hint="eastAsia" w:ascii="仿宋" w:hAnsi="仿宋" w:eastAsia="仿宋" w:cs="Times New Roman"/>
          <w:sz w:val="32"/>
          <w:szCs w:val="32"/>
        </w:rPr>
        <w:t>材料</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《主协议》签署方为本所债券交易参与人的，应当将签署的《主协议》扫描件及时报送本所备案，原件由签署人留存。</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《主协议》签署方为证券公司经纪业务客户的，《主协议》</w:t>
      </w:r>
      <w:r>
        <w:rPr>
          <w:rFonts w:hint="eastAsia" w:ascii="仿宋" w:hAnsi="仿宋" w:eastAsia="仿宋" w:cs="Times New Roman"/>
          <w:sz w:val="32"/>
          <w:szCs w:val="32"/>
          <w:lang w:eastAsia="zh-CN"/>
        </w:rPr>
        <w:t>一式两份，一份由签署人留存，一份</w:t>
      </w:r>
      <w:r>
        <w:rPr>
          <w:rFonts w:hint="eastAsia" w:ascii="仿宋" w:hAnsi="仿宋" w:eastAsia="仿宋" w:cs="Times New Roman"/>
          <w:sz w:val="32"/>
          <w:szCs w:val="32"/>
        </w:rPr>
        <w:t>由所在证券公司留存备查，无需报送本所，证券公司应当及时向本所报送经纪客户《主协议》签署名单。上述名单发生变更时，证券公司应当及时更新名单，以全量形式覆盖原文件上传。</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备案材料提交方式</w:t>
      </w:r>
    </w:p>
    <w:p>
      <w:pPr>
        <w:wordWrap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通过本所</w:t>
      </w:r>
      <w:r>
        <w:rPr>
          <w:rFonts w:ascii="仿宋" w:hAnsi="仿宋" w:eastAsia="仿宋" w:cs="Times New Roman"/>
          <w:sz w:val="32"/>
          <w:szCs w:val="32"/>
        </w:rPr>
        <w:t>固定收益</w:t>
      </w:r>
      <w:r>
        <w:rPr>
          <w:rFonts w:hint="eastAsia" w:ascii="仿宋" w:hAnsi="仿宋" w:eastAsia="仿宋" w:cs="Times New Roman"/>
          <w:sz w:val="32"/>
          <w:szCs w:val="32"/>
        </w:rPr>
        <w:t>品种</w:t>
      </w:r>
      <w:r>
        <w:rPr>
          <w:rFonts w:ascii="仿宋" w:hAnsi="仿宋" w:eastAsia="仿宋" w:cs="Times New Roman"/>
          <w:sz w:val="32"/>
          <w:szCs w:val="32"/>
        </w:rPr>
        <w:t>业务</w:t>
      </w:r>
      <w:r>
        <w:rPr>
          <w:rFonts w:hint="eastAsia" w:ascii="仿宋" w:hAnsi="仿宋" w:eastAsia="仿宋" w:cs="Times New Roman"/>
          <w:sz w:val="32"/>
          <w:szCs w:val="32"/>
        </w:rPr>
        <w:t>专区（https://biz.szse.cn/fic）进行《主协议》备案，登录时需使用本所会员业务专区数字证书（</w:t>
      </w:r>
      <w:r>
        <w:rPr>
          <w:rFonts w:ascii="仿宋" w:hAnsi="仿宋" w:eastAsia="仿宋" w:cs="Times New Roman"/>
          <w:sz w:val="32"/>
          <w:szCs w:val="32"/>
        </w:rPr>
        <w:t>M类数字证书）。</w:t>
      </w:r>
    </w:p>
    <w:p>
      <w:pPr>
        <w:spacing w:line="560" w:lineRule="exact"/>
        <w:ind w:firstLine="643" w:firstLineChars="200"/>
        <w:outlineLvl w:val="2"/>
        <w:rPr>
          <w:rFonts w:ascii="楷体" w:hAnsi="楷体" w:eastAsia="楷体"/>
          <w:b/>
          <w:sz w:val="32"/>
          <w:szCs w:val="32"/>
        </w:rPr>
      </w:pPr>
      <w:bookmarkStart w:id="30" w:name="_Toc122526333"/>
      <w:bookmarkStart w:id="31" w:name="_Toc20872"/>
      <w:bookmarkStart w:id="32" w:name="_Toc19046"/>
      <w:bookmarkStart w:id="33" w:name="_Toc13101"/>
      <w:r>
        <w:rPr>
          <w:rFonts w:hint="eastAsia" w:ascii="楷体" w:hAnsi="楷体" w:eastAsia="楷体"/>
          <w:b/>
          <w:sz w:val="32"/>
          <w:szCs w:val="32"/>
        </w:rPr>
        <w:t>（三）主协议签署方名单披露</w:t>
      </w:r>
      <w:bookmarkEnd w:id="30"/>
      <w:bookmarkEnd w:id="31"/>
      <w:bookmarkEnd w:id="32"/>
      <w:bookmarkEnd w:id="33"/>
    </w:p>
    <w:p>
      <w:pPr>
        <w:wordWrap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本所汇总《主协议》签署方名单后，将符合形式要求的名单通过本所官网固定收益信息平台（</w:t>
      </w:r>
      <w:r>
        <w:rPr>
          <w:rFonts w:ascii="仿宋" w:hAnsi="仿宋" w:eastAsia="仿宋" w:cs="Times New Roman"/>
          <w:sz w:val="32"/>
          <w:szCs w:val="32"/>
        </w:rPr>
        <w:t>http</w:t>
      </w:r>
      <w:r>
        <w:rPr>
          <w:rFonts w:hint="eastAsia" w:ascii="仿宋" w:hAnsi="仿宋" w:eastAsia="仿宋" w:cs="Times New Roman"/>
          <w:sz w:val="32"/>
          <w:szCs w:val="32"/>
        </w:rPr>
        <w:t>s</w:t>
      </w:r>
      <w:r>
        <w:rPr>
          <w:rFonts w:ascii="仿宋" w:hAnsi="仿宋" w:eastAsia="仿宋" w:cs="Times New Roman"/>
          <w:sz w:val="32"/>
          <w:szCs w:val="32"/>
        </w:rPr>
        <w:t>://bond.szse.cn</w:t>
      </w:r>
      <w:r>
        <w:rPr>
          <w:rFonts w:hint="eastAsia" w:ascii="仿宋" w:hAnsi="仿宋" w:eastAsia="仿宋" w:cs="Times New Roman"/>
          <w:sz w:val="32"/>
          <w:szCs w:val="32"/>
        </w:rPr>
        <w:t>）“信息披露</w:t>
      </w:r>
      <w:r>
        <w:rPr>
          <w:rFonts w:ascii="仿宋" w:hAnsi="仿宋" w:eastAsia="仿宋" w:cs="Times New Roman"/>
          <w:sz w:val="32"/>
          <w:szCs w:val="32"/>
        </w:rPr>
        <w:t>/</w:t>
      </w:r>
      <w:r>
        <w:rPr>
          <w:rFonts w:hint="eastAsia" w:ascii="仿宋" w:hAnsi="仿宋" w:eastAsia="仿宋" w:cs="Times New Roman"/>
          <w:sz w:val="32"/>
          <w:szCs w:val="32"/>
        </w:rPr>
        <w:t>交易参与信息</w:t>
      </w:r>
      <w:r>
        <w:rPr>
          <w:rFonts w:ascii="仿宋" w:hAnsi="仿宋" w:eastAsia="仿宋" w:cs="Times New Roman"/>
          <w:sz w:val="32"/>
          <w:szCs w:val="32"/>
        </w:rPr>
        <w:t>/</w:t>
      </w:r>
      <w:r>
        <w:rPr>
          <w:rFonts w:hint="eastAsia" w:ascii="仿宋" w:hAnsi="仿宋" w:eastAsia="仿宋" w:cs="Times New Roman"/>
          <w:sz w:val="32"/>
          <w:szCs w:val="32"/>
        </w:rPr>
        <w:t>机构名单/</w:t>
      </w:r>
      <w:r>
        <w:rPr>
          <w:rFonts w:ascii="仿宋" w:hAnsi="仿宋" w:eastAsia="仿宋" w:cs="Times New Roman"/>
          <w:sz w:val="32"/>
          <w:szCs w:val="32"/>
        </w:rPr>
        <w:t>协议回购主协议</w:t>
      </w:r>
      <w:r>
        <w:rPr>
          <w:rFonts w:hint="eastAsia" w:ascii="仿宋" w:hAnsi="仿宋" w:eastAsia="仿宋" w:cs="Times New Roman"/>
          <w:sz w:val="32"/>
          <w:szCs w:val="32"/>
        </w:rPr>
        <w:t>签署方”栏目予以公布。投资者参与本所协议回购业务前，</w:t>
      </w:r>
      <w:r>
        <w:rPr>
          <w:rFonts w:hint="eastAsia" w:ascii="仿宋" w:hAnsi="仿宋" w:eastAsia="仿宋" w:cs="Times New Roman"/>
          <w:sz w:val="32"/>
          <w:szCs w:val="32"/>
          <w:lang w:eastAsia="zh-CN"/>
        </w:rPr>
        <w:t>可以</w:t>
      </w:r>
      <w:r>
        <w:rPr>
          <w:rFonts w:hint="eastAsia" w:ascii="仿宋" w:hAnsi="仿宋" w:eastAsia="仿宋" w:cs="Times New Roman"/>
          <w:sz w:val="32"/>
          <w:szCs w:val="32"/>
        </w:rPr>
        <w:t>通过该栏目查询对手方《主协议》签署情况。</w:t>
      </w:r>
      <w:r>
        <w:rPr>
          <w:rFonts w:ascii="仿宋" w:hAnsi="仿宋" w:eastAsia="仿宋" w:cs="Times New Roman"/>
          <w:sz w:val="32"/>
          <w:szCs w:val="32"/>
        </w:rPr>
        <w:t>当日完成备案的</w:t>
      </w:r>
      <w:r>
        <w:rPr>
          <w:rFonts w:hint="eastAsia" w:ascii="仿宋" w:hAnsi="仿宋" w:eastAsia="仿宋" w:cs="Times New Roman"/>
          <w:sz w:val="32"/>
          <w:szCs w:val="32"/>
        </w:rPr>
        <w:t>，投资者可以于</w:t>
      </w:r>
      <w:r>
        <w:rPr>
          <w:rFonts w:hint="eastAsia" w:ascii="仿宋" w:hAnsi="仿宋" w:eastAsia="仿宋" w:cs="Times New Roman"/>
          <w:sz w:val="32"/>
          <w:szCs w:val="32"/>
          <w:lang w:eastAsia="zh-CN"/>
        </w:rPr>
        <w:t>次</w:t>
      </w:r>
      <w:r>
        <w:rPr>
          <w:rFonts w:hint="eastAsia" w:ascii="仿宋" w:hAnsi="仿宋" w:eastAsia="仿宋" w:cs="Times New Roman"/>
          <w:sz w:val="32"/>
          <w:szCs w:val="32"/>
        </w:rPr>
        <w:t>一交易日查看更新的《主协议》签署方名单</w:t>
      </w:r>
      <w:r>
        <w:rPr>
          <w:rFonts w:ascii="仿宋" w:hAnsi="仿宋" w:eastAsia="仿宋" w:cs="Times New Roman"/>
          <w:sz w:val="32"/>
          <w:szCs w:val="32"/>
        </w:rPr>
        <w:t>。</w:t>
      </w:r>
    </w:p>
    <w:p>
      <w:pPr>
        <w:spacing w:line="560" w:lineRule="exact"/>
        <w:ind w:firstLine="643" w:firstLineChars="200"/>
        <w:outlineLvl w:val="2"/>
        <w:rPr>
          <w:rFonts w:ascii="楷体" w:hAnsi="楷体" w:eastAsia="楷体"/>
          <w:b/>
          <w:sz w:val="32"/>
          <w:szCs w:val="32"/>
        </w:rPr>
      </w:pPr>
      <w:bookmarkStart w:id="34" w:name="_Toc13490"/>
      <w:bookmarkStart w:id="35" w:name="_Toc4445"/>
      <w:bookmarkStart w:id="36" w:name="_Toc122526334"/>
      <w:bookmarkStart w:id="37" w:name="_Toc12071"/>
      <w:r>
        <w:rPr>
          <w:rFonts w:hint="eastAsia" w:ascii="楷体" w:hAnsi="楷体" w:eastAsia="楷体"/>
          <w:b/>
          <w:sz w:val="32"/>
          <w:szCs w:val="32"/>
        </w:rPr>
        <w:t>（四）签署补充协议</w:t>
      </w:r>
      <w:bookmarkEnd w:id="34"/>
      <w:bookmarkEnd w:id="35"/>
      <w:bookmarkEnd w:id="36"/>
      <w:bookmarkEnd w:id="37"/>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回购双方可以就协议回购相关事宜签订补充协议，</w:t>
      </w:r>
      <w:r>
        <w:rPr>
          <w:rFonts w:hint="eastAsia" w:ascii="Times New Roman" w:hAnsi="Times New Roman" w:eastAsia="仿宋" w:cs="Times New Roman"/>
          <w:kern w:val="0"/>
          <w:sz w:val="32"/>
          <w:szCs w:val="32"/>
        </w:rPr>
        <w:t>或</w:t>
      </w:r>
      <w:r>
        <w:rPr>
          <w:rFonts w:hint="eastAsia" w:ascii="Times New Roman" w:hAnsi="Times New Roman" w:eastAsia="仿宋" w:cs="Times New Roman"/>
          <w:sz w:val="32"/>
          <w:szCs w:val="32"/>
        </w:rPr>
        <w:t>者通过</w:t>
      </w:r>
      <w:r>
        <w:rPr>
          <w:rFonts w:hint="eastAsia" w:ascii="Times New Roman" w:hAnsi="Times New Roman" w:eastAsia="仿宋" w:cs="Times New Roman"/>
          <w:kern w:val="0"/>
          <w:sz w:val="32"/>
          <w:szCs w:val="32"/>
        </w:rPr>
        <w:t>在提交交易申报时填写“</w:t>
      </w:r>
      <w:r>
        <w:rPr>
          <w:rFonts w:ascii="Times New Roman" w:hAnsi="Times New Roman" w:eastAsia="仿宋" w:cs="Times New Roman"/>
          <w:kern w:val="0"/>
          <w:sz w:val="32"/>
          <w:szCs w:val="32"/>
        </w:rPr>
        <w:t>补充约定</w:t>
      </w:r>
      <w:r>
        <w:rPr>
          <w:rFonts w:hint="eastAsia" w:ascii="Times New Roman" w:hAnsi="Times New Roman" w:eastAsia="仿宋" w:cs="Times New Roman"/>
          <w:kern w:val="0"/>
          <w:sz w:val="32"/>
          <w:szCs w:val="32"/>
        </w:rPr>
        <w:t>及其他”</w:t>
      </w:r>
      <w:r>
        <w:rPr>
          <w:rFonts w:hint="eastAsia" w:ascii="Times New Roman" w:hAnsi="Times New Roman" w:eastAsia="仿宋" w:cs="Times New Roman"/>
          <w:kern w:val="0"/>
          <w:sz w:val="32"/>
          <w:szCs w:val="32"/>
          <w:lang w:eastAsia="zh-CN"/>
        </w:rPr>
        <w:t>（即扩展备注）</w:t>
      </w:r>
      <w:r>
        <w:rPr>
          <w:rFonts w:hint="eastAsia" w:ascii="Times New Roman" w:hAnsi="Times New Roman" w:eastAsia="仿宋" w:cs="Times New Roman"/>
          <w:kern w:val="0"/>
          <w:sz w:val="32"/>
          <w:szCs w:val="32"/>
        </w:rPr>
        <w:t>、并由对手方确认的方式对其他事项进行约定</w:t>
      </w:r>
      <w:r>
        <w:rPr>
          <w:rFonts w:hint="eastAsia" w:ascii="仿宋" w:hAnsi="仿宋" w:eastAsia="仿宋" w:cs="Times New Roman"/>
          <w:sz w:val="32"/>
          <w:szCs w:val="32"/>
        </w:rPr>
        <w:t>。补充协议</w:t>
      </w:r>
      <w:r>
        <w:rPr>
          <w:rFonts w:ascii="Times New Roman" w:hAnsi="Times New Roman" w:eastAsia="仿宋" w:cs="Times New Roman"/>
          <w:sz w:val="32"/>
          <w:szCs w:val="32"/>
        </w:rPr>
        <w:t>、补充约定</w:t>
      </w:r>
      <w:r>
        <w:rPr>
          <w:rFonts w:hint="eastAsia" w:ascii="仿宋" w:hAnsi="仿宋" w:eastAsia="仿宋" w:cs="Times New Roman"/>
          <w:sz w:val="32"/>
          <w:szCs w:val="32"/>
        </w:rPr>
        <w:t>不得违反法律、行政法规、部门规章、规范性文件以及本所、中国结算的相关规定，并且不得与《主协议》和回购双方申报的交易要素相冲突。补充协议、补充约定的内容由回购双方自行遵照执行。补充协议由回购双方自行留存，无需向本所备案。</w:t>
      </w:r>
    </w:p>
    <w:p>
      <w:pPr>
        <w:pStyle w:val="4"/>
        <w:spacing w:before="0" w:after="0" w:line="560" w:lineRule="exact"/>
        <w:ind w:firstLine="640" w:firstLineChars="200"/>
        <w:jc w:val="both"/>
        <w:rPr>
          <w:rFonts w:ascii="黑体" w:hAnsi="黑体" w:eastAsia="黑体"/>
          <w:b w:val="0"/>
        </w:rPr>
      </w:pPr>
      <w:bookmarkStart w:id="38" w:name="_Toc22867"/>
      <w:bookmarkStart w:id="39" w:name="_Toc3991"/>
      <w:bookmarkStart w:id="40" w:name="_Toc122526335"/>
      <w:bookmarkStart w:id="41" w:name="_Toc31738"/>
      <w:r>
        <w:rPr>
          <w:rFonts w:hint="eastAsia" w:ascii="黑体" w:hAnsi="黑体" w:eastAsia="黑体"/>
          <w:b w:val="0"/>
        </w:rPr>
        <w:t>三、债券交易账户信息报备</w:t>
      </w:r>
      <w:bookmarkEnd w:id="38"/>
      <w:bookmarkEnd w:id="39"/>
      <w:bookmarkEnd w:id="40"/>
      <w:bookmarkEnd w:id="41"/>
    </w:p>
    <w:p>
      <w:pPr>
        <w:pStyle w:val="27"/>
        <w:wordWrap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投资者在本所开展协议回购业务前，需完成债券交易账户信息报备。</w:t>
      </w:r>
    </w:p>
    <w:p>
      <w:pPr>
        <w:pStyle w:val="27"/>
        <w:wordWrap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投资者</w:t>
      </w:r>
      <w:r>
        <w:rPr>
          <w:rFonts w:ascii="仿宋" w:hAnsi="仿宋" w:eastAsia="仿宋" w:cs="Times New Roman"/>
          <w:sz w:val="32"/>
          <w:szCs w:val="32"/>
        </w:rPr>
        <w:t>为</w:t>
      </w:r>
      <w:r>
        <w:rPr>
          <w:rFonts w:hint="eastAsia" w:ascii="仿宋" w:hAnsi="仿宋" w:eastAsia="仿宋" w:cs="Times New Roman"/>
          <w:sz w:val="32"/>
          <w:szCs w:val="32"/>
        </w:rPr>
        <w:t>本所债券</w:t>
      </w:r>
      <w:r>
        <w:rPr>
          <w:rFonts w:ascii="仿宋" w:hAnsi="仿宋" w:eastAsia="仿宋" w:cs="Times New Roman"/>
          <w:sz w:val="32"/>
          <w:szCs w:val="32"/>
        </w:rPr>
        <w:t>交易参与人的，应</w:t>
      </w:r>
      <w:r>
        <w:rPr>
          <w:rFonts w:hint="eastAsia" w:ascii="仿宋" w:hAnsi="仿宋" w:eastAsia="仿宋" w:cs="Times New Roman"/>
          <w:sz w:val="32"/>
          <w:szCs w:val="32"/>
        </w:rPr>
        <w:t>当</w:t>
      </w:r>
      <w:r>
        <w:rPr>
          <w:rFonts w:ascii="仿宋" w:hAnsi="仿宋" w:eastAsia="仿宋" w:cs="Times New Roman"/>
          <w:sz w:val="32"/>
          <w:szCs w:val="32"/>
        </w:rPr>
        <w:t>根据《深圳证券交易所债券交易业务指南第1号——账户信息报备》规定，至少在开展</w:t>
      </w:r>
      <w:r>
        <w:rPr>
          <w:rFonts w:hint="eastAsia" w:ascii="仿宋" w:hAnsi="仿宋" w:eastAsia="仿宋" w:cs="Times New Roman"/>
          <w:sz w:val="32"/>
          <w:szCs w:val="32"/>
        </w:rPr>
        <w:t>业务</w:t>
      </w:r>
      <w:r>
        <w:rPr>
          <w:rFonts w:ascii="仿宋" w:hAnsi="仿宋" w:eastAsia="仿宋" w:cs="Times New Roman"/>
          <w:sz w:val="32"/>
          <w:szCs w:val="32"/>
        </w:rPr>
        <w:t>前一个交易日17:00前通过</w:t>
      </w:r>
      <w:r>
        <w:rPr>
          <w:rFonts w:hint="eastAsia" w:ascii="仿宋" w:hAnsi="仿宋" w:eastAsia="仿宋" w:cs="Times New Roman"/>
          <w:sz w:val="32"/>
          <w:szCs w:val="32"/>
        </w:rPr>
        <w:t>本所固定收益品种业务专区（https://biz.szse.cn/fic）</w:t>
      </w:r>
      <w:r>
        <w:rPr>
          <w:rFonts w:ascii="仿宋" w:hAnsi="仿宋" w:eastAsia="仿宋" w:cs="Times New Roman"/>
          <w:sz w:val="32"/>
          <w:szCs w:val="32"/>
        </w:rPr>
        <w:t>完成相应债券交易账户信息报备工作，</w:t>
      </w:r>
      <w:r>
        <w:rPr>
          <w:rFonts w:hint="eastAsia" w:ascii="仿宋" w:hAnsi="仿宋" w:eastAsia="仿宋" w:cs="Times New Roman"/>
          <w:sz w:val="32"/>
          <w:szCs w:val="32"/>
        </w:rPr>
        <w:t>登录专区时需要</w:t>
      </w:r>
      <w:r>
        <w:rPr>
          <w:rFonts w:ascii="仿宋" w:hAnsi="仿宋" w:eastAsia="仿宋" w:cs="Times New Roman"/>
          <w:sz w:val="32"/>
          <w:szCs w:val="32"/>
        </w:rPr>
        <w:t>使用本所</w:t>
      </w:r>
      <w:r>
        <w:rPr>
          <w:rFonts w:hint="eastAsia" w:ascii="仿宋" w:hAnsi="仿宋" w:eastAsia="仿宋" w:cs="Times New Roman"/>
          <w:sz w:val="32"/>
          <w:szCs w:val="32"/>
        </w:rPr>
        <w:t>会员业务专区数字证书（</w:t>
      </w:r>
      <w:r>
        <w:rPr>
          <w:rFonts w:ascii="仿宋" w:hAnsi="仿宋" w:eastAsia="仿宋" w:cs="Times New Roman"/>
          <w:sz w:val="32"/>
          <w:szCs w:val="32"/>
        </w:rPr>
        <w:t>M</w:t>
      </w:r>
      <w:r>
        <w:rPr>
          <w:rFonts w:hint="eastAsia" w:ascii="仿宋" w:hAnsi="仿宋" w:eastAsia="仿宋" w:cs="Times New Roman"/>
          <w:sz w:val="32"/>
          <w:szCs w:val="32"/>
        </w:rPr>
        <w:t>类数字证书），</w:t>
      </w:r>
      <w:r>
        <w:rPr>
          <w:rFonts w:ascii="仿宋" w:hAnsi="仿宋" w:eastAsia="仿宋" w:cs="Times New Roman"/>
          <w:sz w:val="32"/>
          <w:szCs w:val="32"/>
        </w:rPr>
        <w:t>报备后次一交易日生效</w:t>
      </w:r>
      <w:r>
        <w:rPr>
          <w:rFonts w:hint="eastAsia" w:ascii="仿宋" w:hAnsi="仿宋" w:eastAsia="仿宋" w:cs="Times New Roman"/>
          <w:sz w:val="32"/>
          <w:szCs w:val="32"/>
        </w:rPr>
        <w:t>。投资者为证券公司经纪客户的</w:t>
      </w:r>
      <w:r>
        <w:rPr>
          <w:rFonts w:ascii="仿宋" w:hAnsi="仿宋" w:eastAsia="仿宋" w:cs="Times New Roman"/>
          <w:sz w:val="32"/>
          <w:szCs w:val="32"/>
        </w:rPr>
        <w:t>，</w:t>
      </w:r>
      <w:r>
        <w:rPr>
          <w:rFonts w:hint="eastAsia" w:ascii="仿宋" w:hAnsi="仿宋" w:eastAsia="仿宋" w:cs="Times New Roman"/>
          <w:sz w:val="32"/>
          <w:szCs w:val="32"/>
        </w:rPr>
        <w:t>无需另行报备其账户信息，应当使用</w:t>
      </w:r>
      <w:r>
        <w:rPr>
          <w:rFonts w:ascii="仿宋" w:hAnsi="仿宋" w:eastAsia="仿宋" w:cs="Times New Roman"/>
          <w:sz w:val="32"/>
          <w:szCs w:val="32"/>
        </w:rPr>
        <w:t>所在证券公司统一报备</w:t>
      </w:r>
      <w:r>
        <w:rPr>
          <w:rFonts w:hint="eastAsia" w:ascii="仿宋" w:hAnsi="仿宋" w:eastAsia="仿宋" w:cs="Times New Roman"/>
          <w:sz w:val="32"/>
          <w:szCs w:val="32"/>
        </w:rPr>
        <w:t>的“机构经纪类”交易主体参与协议回购业务</w:t>
      </w:r>
      <w:r>
        <w:rPr>
          <w:rFonts w:ascii="仿宋" w:hAnsi="仿宋" w:eastAsia="仿宋" w:cs="Times New Roman"/>
          <w:sz w:val="32"/>
          <w:szCs w:val="32"/>
        </w:rPr>
        <w:t>。</w:t>
      </w:r>
      <w:r>
        <w:rPr>
          <w:rFonts w:hint="eastAsia" w:ascii="仿宋" w:hAnsi="仿宋" w:eastAsia="仿宋" w:cs="Times New Roman"/>
          <w:sz w:val="32"/>
          <w:szCs w:val="32"/>
        </w:rPr>
        <w:t>前期已报备生效的账户信息无需重复报备</w:t>
      </w:r>
      <w:r>
        <w:rPr>
          <w:rFonts w:hint="eastAsia" w:ascii="仿宋" w:hAnsi="仿宋" w:eastAsia="仿宋"/>
          <w:sz w:val="32"/>
          <w:szCs w:val="32"/>
        </w:rPr>
        <w:t>。</w:t>
      </w:r>
    </w:p>
    <w:p>
      <w:pPr>
        <w:pStyle w:val="4"/>
        <w:spacing w:before="0" w:after="0" w:line="560" w:lineRule="exact"/>
        <w:ind w:firstLine="640" w:firstLineChars="200"/>
        <w:jc w:val="both"/>
      </w:pPr>
      <w:bookmarkStart w:id="42" w:name="_Toc27769"/>
      <w:bookmarkStart w:id="43" w:name="_Toc30750"/>
      <w:bookmarkStart w:id="44" w:name="_Toc3540"/>
      <w:bookmarkStart w:id="45" w:name="_Toc122526336"/>
      <w:r>
        <w:rPr>
          <w:rFonts w:hint="eastAsia" w:ascii="黑体" w:hAnsi="黑体" w:eastAsia="黑体"/>
          <w:b w:val="0"/>
        </w:rPr>
        <w:t>四、通过交易终端申报的相关设置</w:t>
      </w:r>
      <w:bookmarkEnd w:id="42"/>
      <w:bookmarkEnd w:id="43"/>
      <w:bookmarkEnd w:id="44"/>
      <w:bookmarkEnd w:id="45"/>
    </w:p>
    <w:p>
      <w:pPr>
        <w:spacing w:line="560" w:lineRule="exact"/>
        <w:ind w:firstLine="640" w:firstLineChars="200"/>
        <w:rPr>
          <w:rFonts w:ascii="仿宋" w:hAnsi="仿宋" w:eastAsia="仿宋"/>
          <w:sz w:val="32"/>
          <w:szCs w:val="32"/>
        </w:rPr>
      </w:pPr>
      <w:r>
        <w:rPr>
          <w:rFonts w:hint="eastAsia" w:ascii="仿宋" w:hAnsi="仿宋" w:eastAsia="仿宋"/>
          <w:sz w:val="32"/>
          <w:szCs w:val="32"/>
        </w:rPr>
        <w:t>债券交易参与人通过本所交易终端进行协议回购交易申报的，</w:t>
      </w:r>
      <w:r>
        <w:rPr>
          <w:rFonts w:hint="eastAsia" w:ascii="仿宋" w:hAnsi="仿宋" w:eastAsia="仿宋" w:cs="Times New Roman"/>
          <w:color w:val="000000"/>
          <w:sz w:val="32"/>
          <w:szCs w:val="32"/>
        </w:rPr>
        <w:t>应当按照</w:t>
      </w:r>
      <w:r>
        <w:rPr>
          <w:rFonts w:hint="eastAsia" w:ascii="仿宋" w:hAnsi="仿宋" w:eastAsia="仿宋" w:cs="Times New Roman"/>
          <w:sz w:val="32"/>
          <w:szCs w:val="32"/>
        </w:rPr>
        <w:t>《深圳证券交易所交易终端用户手册》</w:t>
      </w:r>
      <w:r>
        <w:rPr>
          <w:rFonts w:hint="eastAsia" w:ascii="仿宋" w:hAnsi="仿宋" w:eastAsia="仿宋" w:cs="Times New Roman"/>
          <w:color w:val="000000"/>
          <w:sz w:val="32"/>
          <w:szCs w:val="32"/>
        </w:rPr>
        <w:t>（以下简称《用户手册》）要求，提前做好交易终端“固收专区”的相关权限设置，并需要使用已报备生效的债券交易账户信息，权限设置实时生效。《用户手册》可以通过交易终端“帮助”栏目进行查询。具体操作流程</w:t>
      </w:r>
      <w:r>
        <w:rPr>
          <w:rFonts w:hint="eastAsia" w:ascii="仿宋" w:hAnsi="仿宋" w:eastAsia="仿宋" w:cs="Times New Roman"/>
          <w:sz w:val="32"/>
          <w:szCs w:val="32"/>
        </w:rPr>
        <w:t>详见《深圳证券交易所债券交易业务指南第4号——债券交易及配套安排》第二章相关</w:t>
      </w:r>
      <w:r>
        <w:rPr>
          <w:rFonts w:hint="eastAsia" w:ascii="Times New Roman" w:hAnsi="Times New Roman" w:eastAsia="仿宋" w:cs="Times New Roman"/>
          <w:sz w:val="32"/>
          <w:szCs w:val="32"/>
        </w:rPr>
        <w:t>规定。</w:t>
      </w:r>
    </w:p>
    <w:p>
      <w:pPr>
        <w:pStyle w:val="3"/>
        <w:spacing w:before="156" w:beforeLines="50" w:after="156" w:afterLines="50" w:line="560" w:lineRule="exact"/>
        <w:jc w:val="center"/>
        <w:rPr>
          <w:rFonts w:hint="eastAsia" w:ascii="黑体" w:hAnsi="黑体" w:eastAsia="黑体" w:cs="黑体"/>
          <w:b w:val="0"/>
          <w:bCs/>
          <w:kern w:val="2"/>
          <w:sz w:val="32"/>
          <w:szCs w:val="32"/>
        </w:rPr>
      </w:pPr>
      <w:bookmarkStart w:id="46" w:name="_Toc28501"/>
      <w:bookmarkStart w:id="47" w:name="_Toc122526337"/>
      <w:bookmarkStart w:id="48" w:name="_Toc70597848"/>
      <w:bookmarkStart w:id="49" w:name="_Toc7248"/>
      <w:bookmarkStart w:id="50" w:name="_Toc24779"/>
      <w:r>
        <w:rPr>
          <w:rFonts w:hint="eastAsia" w:ascii="黑体" w:hAnsi="黑体" w:eastAsia="黑体" w:cs="黑体"/>
          <w:b w:val="0"/>
          <w:bCs/>
          <w:kern w:val="2"/>
          <w:sz w:val="32"/>
          <w:szCs w:val="32"/>
        </w:rPr>
        <w:t>第二章</w:t>
      </w:r>
      <w:r>
        <w:rPr>
          <w:rFonts w:hint="eastAsia" w:ascii="黑体" w:hAnsi="黑体" w:eastAsia="黑体" w:cs="黑体"/>
          <w:b w:val="0"/>
          <w:bCs/>
          <w:kern w:val="2"/>
          <w:sz w:val="32"/>
          <w:szCs w:val="32"/>
          <w:lang w:val="en-US" w:eastAsia="zh-CN"/>
        </w:rPr>
        <w:t xml:space="preserve"> </w:t>
      </w:r>
      <w:r>
        <w:rPr>
          <w:rFonts w:hint="eastAsia" w:ascii="黑体" w:hAnsi="黑体" w:eastAsia="黑体" w:cs="黑体"/>
          <w:b w:val="0"/>
          <w:bCs/>
          <w:kern w:val="2"/>
          <w:sz w:val="32"/>
          <w:szCs w:val="32"/>
        </w:rPr>
        <w:t>交易安排</w:t>
      </w:r>
      <w:bookmarkEnd w:id="46"/>
      <w:bookmarkEnd w:id="47"/>
      <w:bookmarkEnd w:id="48"/>
      <w:bookmarkEnd w:id="49"/>
      <w:bookmarkEnd w:id="50"/>
    </w:p>
    <w:p>
      <w:pPr>
        <w:pStyle w:val="4"/>
        <w:spacing w:before="0" w:after="0" w:line="560" w:lineRule="exact"/>
        <w:ind w:firstLine="640" w:firstLineChars="200"/>
        <w:jc w:val="both"/>
        <w:rPr>
          <w:rFonts w:ascii="黑体" w:hAnsi="黑体" w:eastAsia="黑体"/>
          <w:b w:val="0"/>
        </w:rPr>
      </w:pPr>
      <w:bookmarkStart w:id="51" w:name="_Toc23349"/>
      <w:bookmarkStart w:id="52" w:name="_Toc4552"/>
      <w:bookmarkStart w:id="53" w:name="_Toc122526338"/>
      <w:bookmarkStart w:id="54" w:name="_Toc513792060"/>
      <w:bookmarkStart w:id="55" w:name="_Toc16549"/>
      <w:r>
        <w:rPr>
          <w:rFonts w:hint="eastAsia" w:ascii="黑体" w:hAnsi="黑体" w:eastAsia="黑体"/>
          <w:b w:val="0"/>
        </w:rPr>
        <w:t>一、交易时间</w:t>
      </w:r>
      <w:bookmarkEnd w:id="51"/>
      <w:bookmarkEnd w:id="52"/>
      <w:bookmarkEnd w:id="53"/>
      <w:bookmarkEnd w:id="54"/>
      <w:bookmarkEnd w:id="55"/>
    </w:p>
    <w:p>
      <w:pPr>
        <w:pStyle w:val="27"/>
        <w:spacing w:line="560" w:lineRule="exact"/>
        <w:ind w:firstLine="640" w:firstLineChars="200"/>
      </w:pPr>
      <w:r>
        <w:rPr>
          <w:rFonts w:ascii="仿宋" w:hAnsi="仿宋" w:eastAsia="仿宋"/>
          <w:sz w:val="32"/>
          <w:szCs w:val="32"/>
        </w:rPr>
        <w:t>本所接受协议回购申报的时间为每个交易日的9:15至11:30，13:00至15:30。</w:t>
      </w:r>
    </w:p>
    <w:p>
      <w:pPr>
        <w:pStyle w:val="4"/>
        <w:spacing w:before="0" w:after="0" w:line="560" w:lineRule="exact"/>
        <w:ind w:firstLine="640" w:firstLineChars="200"/>
        <w:jc w:val="both"/>
        <w:rPr>
          <w:rFonts w:ascii="黑体" w:hAnsi="黑体" w:eastAsia="黑体"/>
          <w:b w:val="0"/>
        </w:rPr>
      </w:pPr>
      <w:bookmarkStart w:id="56" w:name="_Toc122526339"/>
      <w:bookmarkStart w:id="57" w:name="_Toc32285"/>
      <w:bookmarkStart w:id="58" w:name="_Toc32743"/>
      <w:bookmarkStart w:id="59" w:name="_Toc22807"/>
      <w:r>
        <w:rPr>
          <w:rFonts w:hint="eastAsia" w:ascii="黑体" w:hAnsi="黑体" w:eastAsia="黑体"/>
          <w:b w:val="0"/>
        </w:rPr>
        <w:t>二、质押券范围</w:t>
      </w:r>
      <w:bookmarkEnd w:id="56"/>
      <w:bookmarkEnd w:id="57"/>
      <w:bookmarkEnd w:id="58"/>
      <w:bookmarkEnd w:id="59"/>
    </w:p>
    <w:p>
      <w:pPr>
        <w:spacing w:line="560" w:lineRule="exact"/>
        <w:ind w:firstLine="643" w:firstLineChars="200"/>
        <w:outlineLvl w:val="2"/>
        <w:rPr>
          <w:rFonts w:ascii="楷体" w:hAnsi="楷体" w:eastAsia="楷体"/>
          <w:b/>
          <w:sz w:val="32"/>
          <w:szCs w:val="32"/>
        </w:rPr>
      </w:pPr>
      <w:bookmarkStart w:id="60" w:name="_Toc23226"/>
      <w:bookmarkStart w:id="61" w:name="_Toc10230"/>
      <w:bookmarkStart w:id="62" w:name="_Toc122526340"/>
      <w:bookmarkStart w:id="63" w:name="_Toc24676"/>
      <w:r>
        <w:rPr>
          <w:rFonts w:hint="eastAsia" w:ascii="楷体" w:hAnsi="楷体" w:eastAsia="楷体"/>
          <w:b/>
          <w:sz w:val="32"/>
          <w:szCs w:val="32"/>
        </w:rPr>
        <w:t>（一）质押券类别</w:t>
      </w:r>
      <w:bookmarkEnd w:id="60"/>
      <w:bookmarkEnd w:id="61"/>
      <w:bookmarkEnd w:id="62"/>
      <w:bookmarkEnd w:id="63"/>
    </w:p>
    <w:p>
      <w:pPr>
        <w:pStyle w:val="27"/>
        <w:spacing w:line="560" w:lineRule="exact"/>
        <w:ind w:firstLine="640" w:firstLineChars="200"/>
        <w:jc w:val="both"/>
        <w:rPr>
          <w:rFonts w:hint="eastAsia" w:ascii="仿宋" w:hAnsi="仿宋" w:eastAsia="仿宋" w:cs="仿宋"/>
          <w:kern w:val="2"/>
          <w:sz w:val="32"/>
          <w:szCs w:val="32"/>
          <w:lang w:val="en-US" w:eastAsia="zh-CN" w:bidi="ar"/>
        </w:rPr>
      </w:pPr>
      <w:r>
        <w:rPr>
          <w:rFonts w:ascii="仿宋" w:hAnsi="仿宋" w:eastAsia="仿宋"/>
          <w:sz w:val="32"/>
          <w:szCs w:val="32"/>
        </w:rPr>
        <w:t>协议回购的质押券包括在本所交易或</w:t>
      </w:r>
      <w:r>
        <w:rPr>
          <w:rFonts w:hint="eastAsia" w:ascii="仿宋" w:hAnsi="仿宋" w:eastAsia="仿宋"/>
          <w:sz w:val="32"/>
          <w:szCs w:val="32"/>
        </w:rPr>
        <w:t>者</w:t>
      </w:r>
      <w:r>
        <w:rPr>
          <w:rFonts w:ascii="仿宋" w:hAnsi="仿宋" w:eastAsia="仿宋"/>
          <w:sz w:val="32"/>
          <w:szCs w:val="32"/>
        </w:rPr>
        <w:t>转让的各类债券、资产支持证券以及本所认可的其他产品。</w:t>
      </w:r>
      <w:r>
        <w:rPr>
          <w:rFonts w:hint="eastAsia" w:ascii="仿宋" w:hAnsi="仿宋" w:eastAsia="仿宋"/>
          <w:sz w:val="32"/>
          <w:szCs w:val="32"/>
        </w:rPr>
        <w:t>其中，限售期内的定向可转换公司债券暂不纳入协议回购质押券范围。</w:t>
      </w:r>
    </w:p>
    <w:p>
      <w:pPr>
        <w:pStyle w:val="27"/>
        <w:spacing w:line="560" w:lineRule="exact"/>
        <w:ind w:firstLine="640" w:firstLineChars="200"/>
        <w:jc w:val="both"/>
        <w:rPr>
          <w:rFonts w:ascii="仿宋" w:hAnsi="仿宋" w:eastAsia="仿宋"/>
          <w:sz w:val="32"/>
          <w:szCs w:val="32"/>
        </w:rPr>
      </w:pPr>
      <w:r>
        <w:rPr>
          <w:rFonts w:hint="eastAsia" w:ascii="仿宋" w:hAnsi="仿宋" w:eastAsia="仿宋"/>
          <w:sz w:val="32"/>
          <w:szCs w:val="32"/>
          <w:lang w:val="en-US" w:eastAsia="zh-CN"/>
        </w:rPr>
        <w:t>公开募集不动产投资信托基金</w:t>
      </w:r>
      <w:r>
        <w:rPr>
          <w:rFonts w:hint="eastAsia" w:ascii="仿宋" w:hAnsi="仿宋" w:eastAsia="仿宋"/>
          <w:sz w:val="32"/>
          <w:szCs w:val="32"/>
        </w:rPr>
        <w:t>（以下简称</w:t>
      </w:r>
      <w:r>
        <w:rPr>
          <w:rFonts w:hint="eastAsia" w:ascii="仿宋" w:hAnsi="仿宋" w:eastAsia="仿宋"/>
          <w:sz w:val="32"/>
          <w:szCs w:val="32"/>
          <w:lang w:eastAsia="zh-CN"/>
        </w:rPr>
        <w:t>不动产基金</w:t>
      </w:r>
      <w:r>
        <w:rPr>
          <w:rFonts w:hint="eastAsia" w:ascii="仿宋" w:hAnsi="仿宋" w:eastAsia="仿宋"/>
          <w:sz w:val="32"/>
          <w:szCs w:val="32"/>
        </w:rPr>
        <w:t>）可</w:t>
      </w:r>
      <w:r>
        <w:rPr>
          <w:rFonts w:hint="eastAsia" w:ascii="仿宋" w:hAnsi="仿宋" w:eastAsia="仿宋"/>
          <w:sz w:val="32"/>
          <w:szCs w:val="32"/>
          <w:lang w:eastAsia="zh-CN"/>
        </w:rPr>
        <w:t>以</w:t>
      </w:r>
      <w:r>
        <w:rPr>
          <w:rFonts w:hint="eastAsia" w:ascii="仿宋" w:hAnsi="仿宋" w:eastAsia="仿宋"/>
          <w:sz w:val="32"/>
          <w:szCs w:val="32"/>
        </w:rPr>
        <w:t>作为质押券按照本所规定参与协议回购业务。其中，原始权益人或者其同一控制下的关联方参与战略配售取得的</w:t>
      </w:r>
      <w:r>
        <w:rPr>
          <w:rFonts w:hint="eastAsia" w:ascii="仿宋" w:hAnsi="仿宋" w:eastAsia="仿宋"/>
          <w:sz w:val="32"/>
          <w:szCs w:val="32"/>
          <w:lang w:eastAsia="zh-CN"/>
        </w:rPr>
        <w:t>不动产基金</w:t>
      </w:r>
      <w:r>
        <w:rPr>
          <w:rFonts w:hint="eastAsia" w:ascii="仿宋" w:hAnsi="仿宋" w:eastAsia="仿宋"/>
          <w:sz w:val="32"/>
          <w:szCs w:val="32"/>
        </w:rPr>
        <w:t>份额在限售期内不允许质押。原始权益人或者其同一控制下的关联方在限售届满后参与协议回购业务的，质押的战略配售取得的</w:t>
      </w:r>
      <w:r>
        <w:rPr>
          <w:rFonts w:hint="eastAsia" w:ascii="仿宋" w:hAnsi="仿宋" w:eastAsia="仿宋"/>
          <w:sz w:val="32"/>
          <w:szCs w:val="32"/>
          <w:lang w:eastAsia="zh-CN"/>
        </w:rPr>
        <w:t>不动产基金</w:t>
      </w:r>
      <w:r>
        <w:rPr>
          <w:rFonts w:hint="eastAsia" w:ascii="仿宋" w:hAnsi="仿宋" w:eastAsia="仿宋"/>
          <w:sz w:val="32"/>
          <w:szCs w:val="32"/>
        </w:rPr>
        <w:t>份额累计不得超过其所持全部该类份额的</w:t>
      </w:r>
      <w:r>
        <w:rPr>
          <w:rFonts w:ascii="仿宋" w:hAnsi="仿宋" w:eastAsia="仿宋"/>
          <w:sz w:val="32"/>
          <w:szCs w:val="32"/>
        </w:rPr>
        <w:t>50%，本所另有规定的除外。</w:t>
      </w:r>
    </w:p>
    <w:p>
      <w:pPr>
        <w:spacing w:line="560" w:lineRule="exact"/>
        <w:ind w:firstLine="640" w:firstLineChars="200"/>
      </w:pPr>
      <w:r>
        <w:rPr>
          <w:rFonts w:hint="eastAsia" w:ascii="仿宋" w:hAnsi="仿宋" w:eastAsia="仿宋" w:cs="仿宋"/>
          <w:kern w:val="2"/>
          <w:sz w:val="32"/>
          <w:szCs w:val="32"/>
          <w:lang w:val="en-US" w:eastAsia="zh-CN" w:bidi="ar"/>
        </w:rPr>
        <w:t>在本所上市的债券交易型开放式基金（以下简称债券ETF）可以作为质押券按照本所规定参与协议回购业务。</w:t>
      </w:r>
    </w:p>
    <w:p>
      <w:pPr>
        <w:spacing w:line="560" w:lineRule="exact"/>
        <w:ind w:firstLine="643" w:firstLineChars="200"/>
        <w:outlineLvl w:val="2"/>
        <w:rPr>
          <w:rFonts w:ascii="楷体" w:hAnsi="楷体" w:eastAsia="楷体"/>
          <w:b/>
          <w:sz w:val="32"/>
          <w:szCs w:val="32"/>
        </w:rPr>
      </w:pPr>
      <w:bookmarkStart w:id="64" w:name="_Toc18967"/>
      <w:bookmarkStart w:id="65" w:name="_Toc14625"/>
      <w:bookmarkStart w:id="66" w:name="_Toc29714"/>
      <w:bookmarkStart w:id="67" w:name="_Toc122526341"/>
      <w:r>
        <w:rPr>
          <w:rFonts w:hint="eastAsia" w:ascii="楷体" w:hAnsi="楷体" w:eastAsia="楷体"/>
          <w:b/>
          <w:sz w:val="32"/>
          <w:szCs w:val="32"/>
        </w:rPr>
        <w:t>（二）其他要求</w:t>
      </w:r>
      <w:bookmarkEnd w:id="64"/>
      <w:bookmarkEnd w:id="65"/>
      <w:bookmarkEnd w:id="66"/>
      <w:bookmarkEnd w:id="67"/>
    </w:p>
    <w:p>
      <w:pPr>
        <w:pStyle w:val="27"/>
        <w:spacing w:line="560" w:lineRule="exact"/>
        <w:ind w:firstLine="640" w:firstLineChars="200"/>
        <w:jc w:val="both"/>
        <w:rPr>
          <w:rFonts w:hint="eastAsia" w:ascii="仿宋" w:hAnsi="仿宋" w:eastAsia="仿宋" w:cs="方正仿宋简体"/>
          <w:b w:val="0"/>
          <w:bCs w:val="0"/>
          <w:i w:val="0"/>
          <w:iCs w:val="0"/>
          <w:caps w:val="0"/>
          <w:spacing w:val="0"/>
          <w:kern w:val="2"/>
          <w:sz w:val="32"/>
          <w:szCs w:val="32"/>
          <w:shd w:val="clear"/>
          <w:lang w:eastAsia="zh-CN" w:bidi="ar-SA"/>
        </w:rPr>
      </w:pPr>
      <w:r>
        <w:rPr>
          <w:rFonts w:hint="eastAsia" w:ascii="仿宋" w:hAnsi="仿宋" w:eastAsia="仿宋" w:cs="方正仿宋简体"/>
          <w:b w:val="0"/>
          <w:bCs w:val="0"/>
          <w:color w:val="000000"/>
          <w:kern w:val="2"/>
          <w:sz w:val="32"/>
          <w:szCs w:val="32"/>
          <w:shd w:val="clear"/>
          <w:lang w:val="en-US" w:eastAsia="zh-CN" w:bidi="ar-SA"/>
        </w:rPr>
        <w:t>已经发生违约或者经披露还本付息存在重大风险的债券和资产支持证券不得用于初始交易申报、</w:t>
      </w:r>
      <w:r>
        <w:rPr>
          <w:rFonts w:hint="eastAsia" w:ascii="仿宋" w:hAnsi="仿宋" w:eastAsia="仿宋" w:cs="方正仿宋简体"/>
          <w:b w:val="0"/>
          <w:bCs w:val="0"/>
          <w:color w:val="000000"/>
          <w:kern w:val="2"/>
          <w:sz w:val="32"/>
          <w:szCs w:val="32"/>
          <w:shd w:val="clear"/>
          <w:lang w:eastAsia="zh-CN" w:bidi="ar-SA"/>
        </w:rPr>
        <w:t>质押券变更（换入）申报</w:t>
      </w:r>
      <w:r>
        <w:rPr>
          <w:rFonts w:hint="eastAsia" w:ascii="仿宋" w:hAnsi="仿宋" w:eastAsia="仿宋" w:cs="方正仿宋简体"/>
          <w:b w:val="0"/>
          <w:bCs w:val="0"/>
          <w:i w:val="0"/>
          <w:iCs w:val="0"/>
          <w:caps w:val="0"/>
          <w:color w:val="000000"/>
          <w:spacing w:val="0"/>
          <w:kern w:val="2"/>
          <w:sz w:val="32"/>
          <w:szCs w:val="32"/>
          <w:shd w:val="clear"/>
          <w:lang w:eastAsia="zh-CN" w:bidi="ar-SA"/>
        </w:rPr>
        <w:t>。</w:t>
      </w:r>
    </w:p>
    <w:p>
      <w:pPr>
        <w:pStyle w:val="27"/>
        <w:spacing w:line="560" w:lineRule="exact"/>
        <w:ind w:firstLine="640" w:firstLineChars="200"/>
        <w:jc w:val="both"/>
        <w:rPr>
          <w:rFonts w:ascii="仿宋" w:hAnsi="仿宋" w:eastAsia="仿宋"/>
          <w:sz w:val="32"/>
          <w:szCs w:val="32"/>
        </w:rPr>
      </w:pPr>
      <w:r>
        <w:rPr>
          <w:rFonts w:hint="eastAsia" w:ascii="仿宋" w:hAnsi="仿宋" w:eastAsia="仿宋"/>
          <w:sz w:val="32"/>
          <w:szCs w:val="32"/>
        </w:rPr>
        <w:t>拟质押券现券交易当日全天停牌的，本所不接受以其为质押券的协议回购初始交易申报、质押券变更申报和到期续做申报。</w:t>
      </w:r>
    </w:p>
    <w:p>
      <w:pPr>
        <w:pStyle w:val="27"/>
        <w:spacing w:line="560" w:lineRule="exact"/>
        <w:ind w:firstLine="640" w:firstLineChars="20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协议回购正回购方不得以自身或者其关联方发行的信用债券作为担保品开展协议回购融资交易，但能证明不存在利益输送、违反公平竞争、破坏市场秩序等情况的除外。</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Times New Roman"/>
          <w:kern w:val="2"/>
          <w:sz w:val="32"/>
          <w:szCs w:val="32"/>
        </w:rPr>
        <w:t>协议回购</w:t>
      </w:r>
      <w:r>
        <w:rPr>
          <w:rFonts w:hint="eastAsia" w:ascii="仿宋" w:hAnsi="仿宋" w:eastAsia="仿宋" w:cs="Times New Roman"/>
          <w:kern w:val="2"/>
          <w:sz w:val="32"/>
          <w:szCs w:val="32"/>
          <w:lang w:eastAsia="zh-CN"/>
        </w:rPr>
        <w:t>逆回购方接受</w:t>
      </w:r>
      <w:r>
        <w:rPr>
          <w:rFonts w:hint="eastAsia" w:ascii="仿宋" w:hAnsi="仿宋" w:eastAsia="仿宋" w:cs="仿宋"/>
          <w:color w:val="000000"/>
          <w:sz w:val="32"/>
          <w:szCs w:val="32"/>
          <w:shd w:val="clear" w:color="auto" w:fill="FFFFFF"/>
          <w:lang w:val="en-US" w:eastAsia="zh-CN"/>
        </w:rPr>
        <w:t>国债、地方债、政策性金融债、政府支持机构债券、主体评级或者债项评级为AAA级的公司债券（含企业债券）、资产支持证券和</w:t>
      </w:r>
      <w:r>
        <w:rPr>
          <w:rFonts w:hint="eastAsia" w:ascii="仿宋" w:hAnsi="仿宋" w:eastAsia="仿宋" w:cs="仿宋"/>
          <w:color w:val="000000"/>
          <w:sz w:val="32"/>
          <w:szCs w:val="32"/>
          <w:highlight w:val="none"/>
          <w:shd w:val="clear" w:color="auto" w:fill="FFFFFF"/>
          <w:lang w:val="en-US" w:eastAsia="zh-CN"/>
        </w:rPr>
        <w:t>债券ETF作为质押券</w:t>
      </w:r>
      <w:r>
        <w:rPr>
          <w:rFonts w:hint="eastAsia" w:ascii="仿宋" w:hAnsi="仿宋" w:eastAsia="仿宋" w:cs="仿宋"/>
          <w:color w:val="000000"/>
          <w:sz w:val="32"/>
          <w:szCs w:val="32"/>
          <w:shd w:val="clear" w:color="auto" w:fill="FFFFFF"/>
          <w:lang w:val="en-US" w:eastAsia="zh-CN"/>
        </w:rPr>
        <w:t>开展协议回购交易的，可以填写《协议回购出资人信息披露意愿表》（附件）并向本所申报。</w:t>
      </w:r>
      <w:r>
        <w:rPr>
          <w:rFonts w:hint="eastAsia" w:ascii="仿宋" w:hAnsi="仿宋" w:eastAsia="仿宋" w:cs="Times New Roman"/>
          <w:sz w:val="32"/>
          <w:szCs w:val="32"/>
        </w:rPr>
        <w:t>本所接收邮箱为</w:t>
      </w:r>
      <w:r>
        <w:rPr>
          <w:rFonts w:ascii="仿宋" w:hAnsi="仿宋" w:eastAsia="仿宋" w:cs="Times New Roman"/>
          <w:sz w:val="32"/>
          <w:szCs w:val="32"/>
        </w:rPr>
        <w:t>szsebond@szse.cn</w:t>
      </w:r>
      <w:r>
        <w:rPr>
          <w:rFonts w:hint="eastAsia" w:ascii="仿宋" w:hAnsi="仿宋" w:eastAsia="仿宋" w:cs="Times New Roman"/>
          <w:sz w:val="32"/>
          <w:szCs w:val="32"/>
        </w:rPr>
        <w:t>。</w:t>
      </w:r>
    </w:p>
    <w:p>
      <w:pPr>
        <w:pStyle w:val="4"/>
        <w:spacing w:before="0" w:after="0" w:line="560" w:lineRule="exact"/>
        <w:ind w:firstLine="640" w:firstLineChars="200"/>
        <w:jc w:val="both"/>
        <w:rPr>
          <w:rFonts w:ascii="黑体" w:hAnsi="黑体" w:eastAsia="黑体"/>
          <w:b w:val="0"/>
        </w:rPr>
      </w:pPr>
      <w:bookmarkStart w:id="68" w:name="_Toc1977"/>
      <w:bookmarkStart w:id="69" w:name="_Toc10694"/>
      <w:bookmarkStart w:id="70" w:name="_Toc11474"/>
      <w:bookmarkStart w:id="71" w:name="_Toc122526342"/>
      <w:bookmarkStart w:id="72" w:name="_Toc513792063"/>
      <w:r>
        <w:rPr>
          <w:rFonts w:hint="eastAsia" w:ascii="黑体" w:hAnsi="黑体" w:eastAsia="黑体"/>
          <w:b w:val="0"/>
        </w:rPr>
        <w:t>三、交易申报</w:t>
      </w:r>
      <w:bookmarkEnd w:id="68"/>
      <w:bookmarkEnd w:id="69"/>
      <w:bookmarkEnd w:id="70"/>
      <w:bookmarkEnd w:id="71"/>
    </w:p>
    <w:p>
      <w:pPr>
        <w:widowControl/>
        <w:tabs>
          <w:tab w:val="left" w:pos="1418"/>
        </w:tabs>
        <w:adjustRightInd w:val="0"/>
        <w:snapToGrid w:val="0"/>
        <w:spacing w:line="520" w:lineRule="exact"/>
        <w:ind w:firstLine="643"/>
        <w:contextualSpacing/>
        <w:rPr>
          <w:rFonts w:ascii="仿宋" w:hAnsi="仿宋" w:eastAsia="仿宋" w:cs="方正仿宋简体"/>
          <w:sz w:val="32"/>
          <w:szCs w:val="32"/>
        </w:rPr>
      </w:pPr>
      <w:r>
        <w:rPr>
          <w:rFonts w:hint="eastAsia" w:ascii="仿宋" w:hAnsi="仿宋" w:eastAsia="仿宋"/>
          <w:sz w:val="32"/>
          <w:szCs w:val="32"/>
        </w:rPr>
        <w:t>协议回购交易申报类型包括</w:t>
      </w:r>
      <w:r>
        <w:rPr>
          <w:rFonts w:hint="eastAsia" w:ascii="仿宋" w:hAnsi="仿宋" w:eastAsia="仿宋" w:cs="方正仿宋简体"/>
          <w:sz w:val="32"/>
          <w:szCs w:val="32"/>
        </w:rPr>
        <w:t>初始交易申报、质押券变更申报、购回交易申报</w:t>
      </w:r>
      <w:r>
        <w:rPr>
          <w:rFonts w:hint="eastAsia" w:ascii="仿宋" w:hAnsi="仿宋" w:eastAsia="仿宋" w:cs="方正仿宋简体"/>
          <w:sz w:val="32"/>
          <w:szCs w:val="32"/>
          <w:lang w:eastAsia="zh-CN"/>
        </w:rPr>
        <w:t>、</w:t>
      </w:r>
      <w:r>
        <w:rPr>
          <w:rFonts w:hint="eastAsia" w:ascii="仿宋" w:hAnsi="仿宋" w:eastAsia="仿宋" w:cs="方正仿宋简体"/>
          <w:sz w:val="32"/>
          <w:szCs w:val="32"/>
        </w:rPr>
        <w:t>到期续做申报四类，其中购回交易申报包含到期购回申报和提前购回申报。</w:t>
      </w:r>
    </w:p>
    <w:p>
      <w:pPr>
        <w:widowControl/>
        <w:tabs>
          <w:tab w:val="left" w:pos="1418"/>
        </w:tabs>
        <w:adjustRightInd w:val="0"/>
        <w:snapToGrid w:val="0"/>
        <w:spacing w:line="520" w:lineRule="exact"/>
        <w:ind w:firstLine="643"/>
        <w:contextualSpacing/>
        <w:rPr>
          <w:rFonts w:ascii="仿宋" w:hAnsi="仿宋" w:eastAsia="仿宋" w:cs="方正仿宋简体"/>
          <w:sz w:val="32"/>
          <w:szCs w:val="32"/>
        </w:rPr>
      </w:pPr>
      <w:r>
        <w:rPr>
          <w:rFonts w:hint="eastAsia" w:ascii="仿宋" w:hAnsi="仿宋" w:eastAsia="仿宋" w:cs="方正仿宋简体"/>
          <w:sz w:val="32"/>
          <w:szCs w:val="32"/>
        </w:rPr>
        <w:t>上述交易申报均由正回购方发起</w:t>
      </w:r>
      <w:r>
        <w:rPr>
          <w:rFonts w:ascii="仿宋" w:hAnsi="仿宋" w:eastAsia="仿宋" w:cs="方正仿宋简体"/>
          <w:sz w:val="32"/>
          <w:szCs w:val="32"/>
        </w:rPr>
        <w:t>,除到期购回申报外均需</w:t>
      </w:r>
      <w:r>
        <w:rPr>
          <w:rFonts w:hint="eastAsia" w:ascii="仿宋" w:hAnsi="仿宋" w:eastAsia="仿宋" w:cs="方正仿宋简体"/>
          <w:sz w:val="32"/>
          <w:szCs w:val="32"/>
        </w:rPr>
        <w:t>逆回购方确认，逆回购方确认或者拒绝前，正回购方可以撤单；到期购回申报无需逆回购方确认，正回购方提交申报后不可撤单。</w:t>
      </w:r>
    </w:p>
    <w:p>
      <w:pPr>
        <w:spacing w:line="560" w:lineRule="exact"/>
        <w:ind w:firstLine="643" w:firstLineChars="200"/>
        <w:outlineLvl w:val="2"/>
        <w:rPr>
          <w:rFonts w:ascii="楷体" w:hAnsi="楷体" w:eastAsia="楷体"/>
          <w:b/>
          <w:sz w:val="32"/>
          <w:szCs w:val="32"/>
        </w:rPr>
      </w:pPr>
      <w:bookmarkStart w:id="73" w:name="_Toc25433"/>
      <w:bookmarkStart w:id="74" w:name="_Toc28896"/>
      <w:bookmarkStart w:id="75" w:name="_Toc17889"/>
      <w:bookmarkStart w:id="76" w:name="_Toc122526343"/>
      <w:r>
        <w:rPr>
          <w:rFonts w:hint="eastAsia" w:ascii="楷体" w:hAnsi="楷体" w:eastAsia="楷体"/>
          <w:b/>
          <w:sz w:val="32"/>
          <w:szCs w:val="32"/>
        </w:rPr>
        <w:t>（一）初始交易申报</w:t>
      </w:r>
      <w:bookmarkEnd w:id="72"/>
      <w:bookmarkEnd w:id="73"/>
      <w:bookmarkEnd w:id="74"/>
      <w:bookmarkEnd w:id="75"/>
      <w:bookmarkEnd w:id="76"/>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初始交易申报，是指正回购方将所持债券</w:t>
      </w:r>
      <w:r>
        <w:rPr>
          <w:rFonts w:hint="eastAsia" w:ascii="仿宋" w:hAnsi="仿宋" w:eastAsia="仿宋"/>
          <w:kern w:val="0"/>
          <w:sz w:val="32"/>
          <w:szCs w:val="32"/>
          <w:lang w:eastAsia="zh-CN"/>
        </w:rPr>
        <w:t>等各类品种的质押券（以下统称质押券）</w:t>
      </w:r>
      <w:r>
        <w:rPr>
          <w:rFonts w:hint="eastAsia" w:ascii="仿宋" w:hAnsi="仿宋" w:eastAsia="仿宋"/>
          <w:kern w:val="0"/>
          <w:sz w:val="32"/>
          <w:szCs w:val="32"/>
        </w:rPr>
        <w:t>质押，向逆回购方融入资金的申报。初始交易申报由正回购方填妥交易要素后发送到逆回购方，经逆回购方确认后成交。</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1.申报要素</w:t>
      </w:r>
    </w:p>
    <w:p>
      <w:pPr>
        <w:spacing w:line="560" w:lineRule="exact"/>
        <w:ind w:firstLine="640" w:firstLineChars="200"/>
        <w:rPr>
          <w:rFonts w:ascii="仿宋" w:hAnsi="仿宋" w:eastAsia="仿宋" w:cs="Times New Roman"/>
          <w:sz w:val="32"/>
          <w:szCs w:val="32"/>
        </w:rPr>
      </w:pPr>
      <w:r>
        <w:rPr>
          <w:rFonts w:hint="eastAsia" w:ascii="仿宋" w:hAnsi="仿宋" w:eastAsia="仿宋"/>
          <w:kern w:val="0"/>
          <w:sz w:val="32"/>
          <w:szCs w:val="32"/>
        </w:rPr>
        <w:t>初始交易申报指令申报要素</w:t>
      </w:r>
      <w:r>
        <w:rPr>
          <w:rFonts w:ascii="仿宋" w:hAnsi="仿宋" w:eastAsia="仿宋" w:cs="Times New Roman"/>
          <w:sz w:val="32"/>
          <w:szCs w:val="32"/>
        </w:rPr>
        <w:t>包括</w:t>
      </w:r>
      <w:r>
        <w:rPr>
          <w:rFonts w:hint="eastAsia" w:ascii="仿宋" w:hAnsi="仿宋" w:eastAsia="仿宋" w:cs="Times New Roman"/>
          <w:sz w:val="32"/>
          <w:szCs w:val="32"/>
          <w:lang w:eastAsia="zh-CN"/>
        </w:rPr>
        <w:t>交易双方身份</w:t>
      </w:r>
      <w:r>
        <w:rPr>
          <w:rFonts w:ascii="仿宋" w:hAnsi="仿宋" w:eastAsia="仿宋" w:cs="Times New Roman"/>
          <w:sz w:val="32"/>
          <w:szCs w:val="32"/>
        </w:rPr>
        <w:t>信息</w:t>
      </w:r>
      <w:r>
        <w:rPr>
          <w:rFonts w:hint="eastAsia" w:ascii="仿宋" w:hAnsi="仿宋" w:eastAsia="仿宋" w:cs="Times New Roman"/>
          <w:sz w:val="32"/>
          <w:szCs w:val="32"/>
        </w:rPr>
        <w:t>、</w:t>
      </w:r>
      <w:r>
        <w:rPr>
          <w:rFonts w:hint="eastAsia" w:ascii="仿宋" w:hAnsi="仿宋" w:eastAsia="仿宋" w:cs="Times New Roman"/>
          <w:sz w:val="32"/>
          <w:szCs w:val="32"/>
          <w:lang w:eastAsia="zh-CN"/>
        </w:rPr>
        <w:t>协议回购</w:t>
      </w:r>
      <w:r>
        <w:rPr>
          <w:rFonts w:ascii="仿宋" w:hAnsi="仿宋" w:eastAsia="仿宋" w:cs="Times New Roman"/>
          <w:sz w:val="32"/>
          <w:szCs w:val="32"/>
        </w:rPr>
        <w:t>业务要素</w:t>
      </w:r>
      <w:r>
        <w:rPr>
          <w:rFonts w:hint="eastAsia" w:ascii="仿宋" w:hAnsi="仿宋" w:eastAsia="仿宋" w:cs="Times New Roman"/>
          <w:sz w:val="32"/>
          <w:szCs w:val="32"/>
        </w:rPr>
        <w:t>两类，具体包括：</w:t>
      </w:r>
    </w:p>
    <w:p>
      <w:pPr>
        <w:numPr>
          <w:ilvl w:val="0"/>
          <w:numId w:val="2"/>
        </w:numPr>
        <w:spacing w:line="560" w:lineRule="exact"/>
        <w:ind w:firstLine="640" w:firstLineChars="200"/>
        <w:rPr>
          <w:rFonts w:ascii="仿宋" w:hAnsi="仿宋" w:eastAsia="仿宋"/>
          <w:kern w:val="0"/>
          <w:sz w:val="32"/>
          <w:szCs w:val="32"/>
        </w:rPr>
      </w:pPr>
      <w:r>
        <w:rPr>
          <w:rFonts w:hint="eastAsia" w:ascii="仿宋" w:hAnsi="仿宋" w:eastAsia="仿宋" w:cs="Times New Roman"/>
          <w:sz w:val="32"/>
          <w:szCs w:val="32"/>
          <w:lang w:eastAsia="zh-CN"/>
        </w:rPr>
        <w:t>交易双方身份</w:t>
      </w:r>
      <w:r>
        <w:rPr>
          <w:rFonts w:ascii="仿宋" w:hAnsi="仿宋" w:eastAsia="仿宋" w:cs="Times New Roman"/>
          <w:sz w:val="32"/>
          <w:szCs w:val="32"/>
        </w:rPr>
        <w:t>信息：</w:t>
      </w:r>
      <w:r>
        <w:rPr>
          <w:rFonts w:hint="eastAsia" w:ascii="仿宋" w:hAnsi="仿宋" w:eastAsia="仿宋" w:cs="Times New Roman"/>
          <w:sz w:val="32"/>
          <w:szCs w:val="32"/>
        </w:rPr>
        <w:t>包括</w:t>
      </w:r>
      <w:r>
        <w:rPr>
          <w:rFonts w:hint="eastAsia" w:ascii="仿宋" w:hAnsi="仿宋" w:eastAsia="仿宋"/>
          <w:kern w:val="0"/>
          <w:sz w:val="32"/>
          <w:szCs w:val="32"/>
        </w:rPr>
        <w:t>本方交易商、本方交易主体、本方经纪客户名称（本方为机构经纪类交易主体时必须填写）、本方证券账户号码、本方交易员、本方申报交易单元代码、对方交易商、对方交易主体、对方交易员、约定号（</w:t>
      </w:r>
      <w:r>
        <w:rPr>
          <w:rFonts w:hint="eastAsia" w:ascii="仿宋" w:hAnsi="仿宋" w:eastAsia="仿宋"/>
          <w:kern w:val="0"/>
          <w:sz w:val="32"/>
          <w:szCs w:val="32"/>
          <w:lang w:eastAsia="zh-CN"/>
        </w:rPr>
        <w:t>逆回购</w:t>
      </w:r>
      <w:r>
        <w:rPr>
          <w:rFonts w:hint="eastAsia" w:ascii="仿宋" w:hAnsi="仿宋" w:eastAsia="仿宋"/>
          <w:kern w:val="0"/>
          <w:sz w:val="32"/>
          <w:szCs w:val="32"/>
        </w:rPr>
        <w:t>方为机构经纪类交易主体时必须填写）等。</w:t>
      </w:r>
      <w:r>
        <w:rPr>
          <w:rFonts w:hint="eastAsia" w:ascii="仿宋" w:hAnsi="仿宋" w:eastAsia="仿宋" w:cs="Times New Roman"/>
          <w:sz w:val="32"/>
          <w:szCs w:val="32"/>
        </w:rPr>
        <w:t>其中，“交易商</w:t>
      </w:r>
      <w:r>
        <w:rPr>
          <w:rFonts w:hint="eastAsia" w:ascii="仿宋" w:hAnsi="仿宋" w:eastAsia="仿宋" w:cs="Times New Roman"/>
          <w:sz w:val="32"/>
          <w:szCs w:val="32"/>
          <w:lang w:eastAsia="zh-CN"/>
        </w:rPr>
        <w:t>”“</w:t>
      </w:r>
      <w:r>
        <w:rPr>
          <w:rFonts w:hint="eastAsia" w:ascii="仿宋" w:hAnsi="仿宋" w:eastAsia="仿宋" w:cs="Times New Roman"/>
          <w:sz w:val="32"/>
          <w:szCs w:val="32"/>
        </w:rPr>
        <w:t>交易主体</w:t>
      </w:r>
      <w:r>
        <w:rPr>
          <w:rFonts w:hint="eastAsia" w:ascii="仿宋" w:hAnsi="仿宋" w:eastAsia="仿宋" w:cs="Times New Roman"/>
          <w:sz w:val="32"/>
          <w:szCs w:val="32"/>
          <w:lang w:eastAsia="zh-CN"/>
        </w:rPr>
        <w:t>”“</w:t>
      </w:r>
      <w:r>
        <w:rPr>
          <w:rFonts w:hint="eastAsia" w:ascii="仿宋" w:hAnsi="仿宋" w:eastAsia="仿宋" w:cs="Times New Roman"/>
          <w:sz w:val="32"/>
          <w:szCs w:val="32"/>
        </w:rPr>
        <w:t>交易员”为投资者已报备的债券交易账户信息相关内容，定义详见</w:t>
      </w:r>
      <w:r>
        <w:rPr>
          <w:rFonts w:ascii="仿宋" w:hAnsi="仿宋" w:eastAsia="仿宋" w:cs="Times New Roman"/>
          <w:sz w:val="32"/>
          <w:szCs w:val="32"/>
        </w:rPr>
        <w:t>《深圳证券交易所债券交易业务指南第1号——账户信息报备》</w:t>
      </w:r>
      <w:r>
        <w:rPr>
          <w:rFonts w:hint="eastAsia" w:ascii="仿宋" w:hAnsi="仿宋" w:eastAsia="仿宋" w:cs="Times New Roman"/>
          <w:sz w:val="32"/>
          <w:szCs w:val="32"/>
        </w:rPr>
        <w:t>。</w:t>
      </w:r>
    </w:p>
    <w:p>
      <w:pPr>
        <w:numPr>
          <w:ilvl w:val="0"/>
          <w:numId w:val="2"/>
        </w:num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lang w:eastAsia="zh-CN"/>
        </w:rPr>
        <w:t>协议回购</w:t>
      </w:r>
      <w:r>
        <w:rPr>
          <w:rFonts w:hint="eastAsia" w:ascii="仿宋" w:hAnsi="仿宋" w:eastAsia="仿宋"/>
          <w:kern w:val="0"/>
          <w:sz w:val="32"/>
          <w:szCs w:val="32"/>
        </w:rPr>
        <w:t>业务要素：</w:t>
      </w:r>
      <w:r>
        <w:rPr>
          <w:rFonts w:hint="eastAsia" w:ascii="仿宋" w:hAnsi="仿宋" w:eastAsia="仿宋"/>
          <w:kern w:val="0"/>
          <w:sz w:val="32"/>
          <w:szCs w:val="32"/>
          <w:lang w:eastAsia="zh-CN"/>
        </w:rPr>
        <w:t>包括</w:t>
      </w:r>
      <w:r>
        <w:rPr>
          <w:rFonts w:hint="eastAsia" w:ascii="仿宋" w:hAnsi="仿宋" w:eastAsia="仿宋"/>
          <w:kern w:val="0"/>
          <w:sz w:val="32"/>
          <w:szCs w:val="32"/>
        </w:rPr>
        <w:t>交易方向、质押券证券代码、质押券数量、质押券股份性质、成交金额、回购期限、回购利率、违约宽限期、“</w:t>
      </w:r>
      <w:r>
        <w:rPr>
          <w:rFonts w:hint="eastAsia" w:ascii="仿宋" w:hAnsi="仿宋" w:eastAsia="仿宋" w:cs="Times New Roman"/>
          <w:sz w:val="32"/>
          <w:szCs w:val="32"/>
        </w:rPr>
        <w:t>是否同意在违约情形下由质权方对该违约交易项下的质押券直接以拍卖、变卖等方式进行处置”</w:t>
      </w:r>
      <w:r>
        <w:rPr>
          <w:rFonts w:hint="eastAsia" w:ascii="仿宋" w:hAnsi="仿宋" w:eastAsia="仿宋" w:cs="Times New Roman"/>
          <w:sz w:val="32"/>
          <w:szCs w:val="32"/>
          <w:lang w:eastAsia="zh-CN"/>
        </w:rPr>
        <w:t>（即</w:t>
      </w:r>
      <w:r>
        <w:rPr>
          <w:rFonts w:hint="eastAsia" w:ascii="仿宋" w:hAnsi="仿宋" w:eastAsia="仿宋"/>
          <w:kern w:val="0"/>
          <w:sz w:val="32"/>
          <w:szCs w:val="32"/>
        </w:rPr>
        <w:t>处置标识</w:t>
      </w:r>
      <w:r>
        <w:rPr>
          <w:rFonts w:hint="eastAsia" w:ascii="仿宋" w:hAnsi="仿宋" w:eastAsia="仿宋" w:cs="Times New Roman"/>
          <w:sz w:val="32"/>
          <w:szCs w:val="32"/>
          <w:lang w:eastAsia="zh-CN"/>
        </w:rPr>
        <w:t>）</w:t>
      </w:r>
      <w:r>
        <w:rPr>
          <w:rFonts w:hint="eastAsia" w:ascii="仿宋" w:hAnsi="仿宋" w:eastAsia="仿宋"/>
          <w:kern w:val="0"/>
          <w:sz w:val="32"/>
          <w:szCs w:val="32"/>
        </w:rPr>
        <w:t>、补充约定及其他（</w:t>
      </w:r>
      <w:r>
        <w:rPr>
          <w:rFonts w:hint="eastAsia" w:ascii="仿宋" w:hAnsi="仿宋" w:eastAsia="仿宋"/>
          <w:kern w:val="0"/>
          <w:sz w:val="32"/>
          <w:szCs w:val="32"/>
          <w:lang w:eastAsia="zh-CN"/>
        </w:rPr>
        <w:t>即扩展备注，</w:t>
      </w:r>
      <w:r>
        <w:rPr>
          <w:rFonts w:hint="eastAsia" w:ascii="仿宋" w:hAnsi="仿宋" w:eastAsia="仿宋"/>
          <w:kern w:val="0"/>
          <w:sz w:val="32"/>
          <w:szCs w:val="32"/>
        </w:rPr>
        <w:t>如有）等。其中：</w:t>
      </w:r>
    </w:p>
    <w:p>
      <w:pPr>
        <w:numPr>
          <w:ilvl w:val="255"/>
          <w:numId w:val="0"/>
        </w:numPr>
        <w:spacing w:line="56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rPr>
        <w:t>“质押券数量”即用于协议回购的质押券发行面额，单位为元，</w:t>
      </w:r>
      <w:r>
        <w:rPr>
          <w:rFonts w:hint="eastAsia" w:ascii="仿宋" w:hAnsi="仿宋" w:eastAsia="仿宋"/>
          <w:kern w:val="0"/>
          <w:sz w:val="32"/>
          <w:szCs w:val="32"/>
          <w:lang w:eastAsia="zh-CN"/>
        </w:rPr>
        <w:t>不动产基金、债券</w:t>
      </w:r>
      <w:r>
        <w:rPr>
          <w:rFonts w:hint="eastAsia" w:ascii="仿宋" w:hAnsi="仿宋" w:eastAsia="仿宋"/>
          <w:kern w:val="0"/>
          <w:sz w:val="32"/>
          <w:szCs w:val="32"/>
          <w:lang w:val="en-US" w:eastAsia="zh-CN"/>
        </w:rPr>
        <w:t>ETF</w:t>
      </w:r>
      <w:r>
        <w:rPr>
          <w:rFonts w:hint="eastAsia" w:ascii="仿宋" w:hAnsi="仿宋" w:eastAsia="仿宋"/>
          <w:kern w:val="0"/>
          <w:sz w:val="32"/>
          <w:szCs w:val="32"/>
        </w:rPr>
        <w:t>作为质押券的，质押券数量单位为份</w:t>
      </w:r>
      <w:r>
        <w:rPr>
          <w:rFonts w:hint="eastAsia" w:ascii="仿宋" w:hAnsi="仿宋" w:eastAsia="仿宋"/>
          <w:kern w:val="0"/>
          <w:sz w:val="32"/>
          <w:szCs w:val="32"/>
          <w:lang w:eastAsia="zh-CN"/>
        </w:rPr>
        <w:t>。</w:t>
      </w:r>
    </w:p>
    <w:p>
      <w:pPr>
        <w:numPr>
          <w:ilvl w:val="255"/>
          <w:numId w:val="0"/>
        </w:numPr>
        <w:spacing w:line="56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rPr>
        <w:t>“股份性质”包含无限售流通份额、首发后限售份额两类，仅当质押券为</w:t>
      </w:r>
      <w:r>
        <w:rPr>
          <w:rFonts w:hint="eastAsia" w:ascii="仿宋" w:hAnsi="仿宋" w:eastAsia="仿宋"/>
          <w:kern w:val="0"/>
          <w:sz w:val="32"/>
          <w:szCs w:val="32"/>
          <w:lang w:eastAsia="zh-CN"/>
        </w:rPr>
        <w:t>不动产基金</w:t>
      </w:r>
      <w:r>
        <w:rPr>
          <w:rFonts w:hint="eastAsia" w:ascii="仿宋" w:hAnsi="仿宋" w:eastAsia="仿宋"/>
          <w:kern w:val="0"/>
          <w:sz w:val="32"/>
          <w:szCs w:val="32"/>
        </w:rPr>
        <w:t>时可选，其余必须为无限售流通份额</w:t>
      </w:r>
      <w:r>
        <w:rPr>
          <w:rFonts w:hint="eastAsia" w:ascii="仿宋" w:hAnsi="仿宋" w:eastAsia="仿宋"/>
          <w:kern w:val="0"/>
          <w:sz w:val="32"/>
          <w:szCs w:val="32"/>
          <w:lang w:eastAsia="zh-CN"/>
        </w:rPr>
        <w:t>。</w:t>
      </w:r>
    </w:p>
    <w:p>
      <w:pPr>
        <w:numPr>
          <w:ilvl w:val="255"/>
          <w:numId w:val="0"/>
        </w:numPr>
        <w:spacing w:line="560" w:lineRule="exact"/>
        <w:ind w:firstLine="640" w:firstLineChars="200"/>
        <w:rPr>
          <w:rFonts w:hint="eastAsia" w:ascii="仿宋" w:hAnsi="仿宋" w:eastAsia="仿宋" w:cs="方正仿宋简体"/>
          <w:sz w:val="32"/>
          <w:szCs w:val="32"/>
          <w:lang w:eastAsia="zh-CN"/>
        </w:rPr>
      </w:pPr>
      <w:r>
        <w:rPr>
          <w:rFonts w:hint="eastAsia" w:ascii="仿宋" w:hAnsi="仿宋" w:eastAsia="仿宋"/>
          <w:kern w:val="0"/>
          <w:sz w:val="32"/>
          <w:szCs w:val="32"/>
        </w:rPr>
        <w:t>“</w:t>
      </w:r>
      <w:r>
        <w:rPr>
          <w:rFonts w:hint="eastAsia" w:ascii="仿宋" w:hAnsi="仿宋" w:eastAsia="仿宋" w:cs="方正仿宋简体"/>
          <w:sz w:val="32"/>
          <w:szCs w:val="32"/>
        </w:rPr>
        <w:t>成交金额”即初始交易时正回购方实际融入金额（不含其他费用），单位为元，保留两位小数，成交金额不得超过质押券实际面额</w:t>
      </w:r>
      <w:r>
        <w:rPr>
          <w:rFonts w:hint="eastAsia" w:ascii="仿宋" w:hAnsi="仿宋" w:eastAsia="仿宋" w:cs="方正仿宋简体"/>
          <w:sz w:val="32"/>
          <w:szCs w:val="32"/>
          <w:lang w:eastAsia="zh-CN"/>
        </w:rPr>
        <w:t>。不动产基金</w:t>
      </w:r>
      <w:r>
        <w:rPr>
          <w:rFonts w:hint="eastAsia" w:ascii="仿宋" w:hAnsi="仿宋" w:eastAsia="仿宋" w:cs="方正仿宋简体"/>
          <w:sz w:val="32"/>
          <w:szCs w:val="32"/>
        </w:rPr>
        <w:t>作为质押券的，成交金额不得超过</w:t>
      </w:r>
      <w:r>
        <w:rPr>
          <w:rFonts w:hint="eastAsia" w:ascii="仿宋" w:hAnsi="仿宋" w:eastAsia="仿宋" w:cs="方正仿宋简体"/>
          <w:sz w:val="32"/>
          <w:szCs w:val="32"/>
          <w:lang w:eastAsia="zh-CN"/>
        </w:rPr>
        <w:t>不动产基金</w:t>
      </w:r>
      <w:r>
        <w:rPr>
          <w:rFonts w:hint="eastAsia" w:ascii="仿宋" w:hAnsi="仿宋" w:eastAsia="仿宋" w:cs="方正仿宋简体"/>
          <w:sz w:val="32"/>
          <w:szCs w:val="32"/>
        </w:rPr>
        <w:t>质押份数与</w:t>
      </w:r>
      <w:r>
        <w:rPr>
          <w:rFonts w:hint="eastAsia" w:ascii="仿宋" w:hAnsi="仿宋" w:eastAsia="仿宋" w:cs="方正仿宋简体"/>
          <w:sz w:val="32"/>
          <w:szCs w:val="32"/>
          <w:lang w:eastAsia="zh-CN"/>
        </w:rPr>
        <w:t>不动产基金</w:t>
      </w:r>
      <w:r>
        <w:rPr>
          <w:rFonts w:hint="eastAsia" w:ascii="仿宋" w:hAnsi="仿宋" w:eastAsia="仿宋" w:cs="方正仿宋简体"/>
          <w:sz w:val="32"/>
          <w:szCs w:val="32"/>
        </w:rPr>
        <w:t>前收盘价或者面值（取较大值）的乘积</w:t>
      </w:r>
      <w:r>
        <w:rPr>
          <w:rFonts w:hint="eastAsia" w:ascii="仿宋" w:hAnsi="仿宋" w:eastAsia="仿宋" w:cs="方正仿宋简体"/>
          <w:sz w:val="32"/>
          <w:szCs w:val="32"/>
          <w:lang w:eastAsia="zh-CN"/>
        </w:rPr>
        <w:t>。债券</w:t>
      </w:r>
      <w:r>
        <w:rPr>
          <w:rFonts w:hint="eastAsia" w:ascii="仿宋" w:hAnsi="仿宋" w:eastAsia="仿宋" w:cs="方正仿宋简体"/>
          <w:sz w:val="32"/>
          <w:szCs w:val="32"/>
          <w:lang w:val="en-US" w:eastAsia="zh-CN"/>
        </w:rPr>
        <w:t>ETF</w:t>
      </w:r>
      <w:r>
        <w:rPr>
          <w:rFonts w:hint="eastAsia" w:ascii="仿宋" w:hAnsi="仿宋" w:eastAsia="仿宋" w:cs="方正仿宋简体"/>
          <w:sz w:val="32"/>
          <w:szCs w:val="32"/>
        </w:rPr>
        <w:t>作为质押券的，</w:t>
      </w:r>
      <w:r>
        <w:rPr>
          <w:rFonts w:hint="eastAsia" w:ascii="仿宋" w:hAnsi="仿宋" w:eastAsia="仿宋" w:cs="仿宋"/>
          <w:kern w:val="2"/>
          <w:sz w:val="32"/>
          <w:szCs w:val="32"/>
          <w:lang w:val="en-US" w:eastAsia="zh-CN" w:bidi="ar"/>
        </w:rPr>
        <w:t>成交金额不得超过债券ETF质押份数与前收盘价的乘积</w:t>
      </w:r>
      <w:r>
        <w:rPr>
          <w:rFonts w:hint="eastAsia" w:ascii="仿宋" w:hAnsi="仿宋" w:eastAsia="仿宋" w:cs="方正仿宋简体"/>
          <w:sz w:val="32"/>
          <w:szCs w:val="32"/>
          <w:lang w:eastAsia="zh-CN"/>
        </w:rPr>
        <w:t>。</w:t>
      </w:r>
    </w:p>
    <w:p>
      <w:pPr>
        <w:numPr>
          <w:ilvl w:val="255"/>
          <w:numId w:val="0"/>
        </w:numPr>
        <w:spacing w:line="560" w:lineRule="exact"/>
        <w:ind w:firstLine="640" w:firstLineChars="200"/>
        <w:rPr>
          <w:rFonts w:hint="default" w:ascii="仿宋" w:hAnsi="仿宋" w:eastAsia="仿宋" w:cs="方正仿宋简体"/>
          <w:sz w:val="32"/>
          <w:szCs w:val="32"/>
          <w:lang w:val="en-US" w:eastAsia="zh-CN"/>
        </w:rPr>
      </w:pPr>
      <w:r>
        <w:rPr>
          <w:rFonts w:hint="eastAsia" w:ascii="仿宋" w:hAnsi="仿宋" w:eastAsia="仿宋" w:cs="方正仿宋简体"/>
          <w:sz w:val="32"/>
          <w:szCs w:val="32"/>
          <w:lang w:eastAsia="zh-CN"/>
        </w:rPr>
        <w:t>“回购利率”为年化利率</w:t>
      </w:r>
      <w:r>
        <w:rPr>
          <w:rFonts w:hint="eastAsia" w:ascii="仿宋" w:hAnsi="仿宋" w:eastAsia="仿宋" w:cs="方正仿宋简体"/>
          <w:sz w:val="32"/>
          <w:szCs w:val="32"/>
          <w:lang w:val="en-US" w:eastAsia="zh-CN"/>
        </w:rPr>
        <w:t>，单位为%，需为0.01的整数倍。</w:t>
      </w:r>
    </w:p>
    <w:p>
      <w:pPr>
        <w:numPr>
          <w:ilvl w:val="255"/>
          <w:numId w:val="0"/>
        </w:numPr>
        <w:spacing w:line="560" w:lineRule="exact"/>
        <w:ind w:firstLine="640" w:firstLineChars="200"/>
        <w:rPr>
          <w:rFonts w:hint="eastAsia" w:ascii="仿宋" w:hAnsi="仿宋" w:eastAsia="仿宋"/>
          <w:kern w:val="0"/>
          <w:sz w:val="32"/>
          <w:szCs w:val="32"/>
          <w:lang w:eastAsia="zh-CN"/>
        </w:rPr>
      </w:pPr>
      <w:r>
        <w:rPr>
          <w:rFonts w:hint="eastAsia" w:ascii="仿宋" w:hAnsi="仿宋" w:eastAsia="仿宋" w:cs="方正仿宋简体"/>
          <w:sz w:val="32"/>
          <w:szCs w:val="32"/>
        </w:rPr>
        <w:t>“</w:t>
      </w:r>
      <w:r>
        <w:rPr>
          <w:rFonts w:hint="eastAsia" w:ascii="仿宋" w:hAnsi="仿宋" w:eastAsia="仿宋"/>
          <w:kern w:val="0"/>
          <w:sz w:val="32"/>
          <w:szCs w:val="32"/>
        </w:rPr>
        <w:t>回购期限”</w:t>
      </w:r>
      <w:r>
        <w:rPr>
          <w:rFonts w:hint="eastAsia" w:ascii="仿宋" w:hAnsi="仿宋" w:eastAsia="仿宋"/>
          <w:kern w:val="0"/>
          <w:sz w:val="32"/>
          <w:szCs w:val="32"/>
          <w:lang w:eastAsia="zh-CN"/>
        </w:rPr>
        <w:t>可以</w:t>
      </w:r>
      <w:r>
        <w:rPr>
          <w:rFonts w:hint="eastAsia" w:ascii="仿宋" w:hAnsi="仿宋" w:eastAsia="仿宋"/>
          <w:kern w:val="0"/>
          <w:sz w:val="32"/>
          <w:szCs w:val="32"/>
        </w:rPr>
        <w:t>由回购双方自行商定，不得超过</w:t>
      </w:r>
      <w:r>
        <w:rPr>
          <w:rFonts w:ascii="仿宋" w:hAnsi="仿宋" w:eastAsia="仿宋"/>
          <w:kern w:val="0"/>
          <w:sz w:val="32"/>
          <w:szCs w:val="32"/>
        </w:rPr>
        <w:t>365天，且不得超过质押券的存续期间</w:t>
      </w:r>
      <w:r>
        <w:rPr>
          <w:rFonts w:hint="eastAsia" w:ascii="仿宋" w:hAnsi="仿宋" w:eastAsia="仿宋"/>
          <w:kern w:val="0"/>
          <w:sz w:val="32"/>
          <w:szCs w:val="32"/>
          <w:lang w:eastAsia="zh-CN"/>
        </w:rPr>
        <w:t>。</w:t>
      </w:r>
    </w:p>
    <w:p>
      <w:pPr>
        <w:numPr>
          <w:ilvl w:val="255"/>
          <w:numId w:val="0"/>
        </w:numPr>
        <w:spacing w:line="56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rPr>
        <w:t>“违约宽限期”填写回购双方约定的违约宽限期天数，单位为交易日,违约宽限期的设置不改变质押券变更申报、到期续做申报</w:t>
      </w:r>
      <w:r>
        <w:rPr>
          <w:rFonts w:hint="eastAsia" w:ascii="仿宋" w:hAnsi="仿宋" w:eastAsia="仿宋"/>
          <w:kern w:val="0"/>
          <w:sz w:val="32"/>
          <w:szCs w:val="32"/>
          <w:lang w:eastAsia="zh-CN"/>
        </w:rPr>
        <w:t>、</w:t>
      </w:r>
      <w:r>
        <w:rPr>
          <w:rFonts w:hint="eastAsia" w:ascii="仿宋" w:hAnsi="仿宋" w:eastAsia="仿宋"/>
          <w:kern w:val="0"/>
          <w:sz w:val="32"/>
          <w:szCs w:val="32"/>
        </w:rPr>
        <w:t>购回交易申报</w:t>
      </w:r>
      <w:r>
        <w:rPr>
          <w:rFonts w:hint="eastAsia" w:ascii="仿宋" w:hAnsi="仿宋" w:eastAsia="仿宋"/>
          <w:kern w:val="0"/>
          <w:sz w:val="32"/>
          <w:szCs w:val="32"/>
          <w:lang w:eastAsia="zh-CN"/>
        </w:rPr>
        <w:t>和解除质押申报</w:t>
      </w:r>
      <w:r>
        <w:rPr>
          <w:rFonts w:hint="eastAsia" w:ascii="仿宋" w:hAnsi="仿宋" w:eastAsia="仿宋"/>
          <w:kern w:val="0"/>
          <w:sz w:val="32"/>
          <w:szCs w:val="32"/>
        </w:rPr>
        <w:t>的适用</w:t>
      </w:r>
      <w:r>
        <w:rPr>
          <w:rFonts w:hint="eastAsia" w:ascii="仿宋" w:hAnsi="仿宋" w:eastAsia="仿宋"/>
          <w:kern w:val="0"/>
          <w:sz w:val="32"/>
          <w:szCs w:val="32"/>
          <w:lang w:eastAsia="zh-CN"/>
        </w:rPr>
        <w:t>时间</w:t>
      </w:r>
      <w:r>
        <w:rPr>
          <w:rFonts w:hint="eastAsia" w:ascii="仿宋" w:hAnsi="仿宋" w:eastAsia="仿宋"/>
          <w:kern w:val="0"/>
          <w:sz w:val="32"/>
          <w:szCs w:val="32"/>
        </w:rPr>
        <w:t>区间，即对于已过到期结算日</w:t>
      </w:r>
      <w:r>
        <w:rPr>
          <w:rFonts w:hint="eastAsia" w:ascii="仿宋" w:hAnsi="仿宋" w:eastAsia="仿宋"/>
          <w:kern w:val="0"/>
          <w:sz w:val="32"/>
          <w:szCs w:val="32"/>
          <w:lang w:eastAsia="zh-CN"/>
        </w:rPr>
        <w:t>但</w:t>
      </w:r>
      <w:r>
        <w:rPr>
          <w:rFonts w:hint="eastAsia" w:ascii="仿宋" w:hAnsi="仿宋" w:eastAsia="仿宋"/>
          <w:kern w:val="0"/>
          <w:sz w:val="32"/>
          <w:szCs w:val="32"/>
        </w:rPr>
        <w:t>未购回</w:t>
      </w:r>
      <w:r>
        <w:rPr>
          <w:rFonts w:hint="eastAsia" w:ascii="仿宋" w:hAnsi="仿宋" w:eastAsia="仿宋"/>
          <w:kern w:val="0"/>
          <w:sz w:val="32"/>
          <w:szCs w:val="32"/>
          <w:lang w:eastAsia="zh-CN"/>
        </w:rPr>
        <w:t>或者续做</w:t>
      </w:r>
      <w:r>
        <w:rPr>
          <w:rFonts w:hint="eastAsia" w:ascii="仿宋" w:hAnsi="仿宋" w:eastAsia="仿宋"/>
          <w:kern w:val="0"/>
          <w:sz w:val="32"/>
          <w:szCs w:val="32"/>
        </w:rPr>
        <w:t>、仍在违约宽限期内的协议回购交易，不</w:t>
      </w:r>
      <w:r>
        <w:rPr>
          <w:rFonts w:hint="eastAsia" w:ascii="仿宋" w:hAnsi="仿宋" w:eastAsia="仿宋"/>
          <w:kern w:val="0"/>
          <w:sz w:val="32"/>
          <w:szCs w:val="32"/>
          <w:lang w:eastAsia="zh-CN"/>
        </w:rPr>
        <w:t>支持</w:t>
      </w:r>
      <w:r>
        <w:rPr>
          <w:rFonts w:hint="eastAsia" w:ascii="仿宋" w:hAnsi="仿宋" w:eastAsia="仿宋"/>
          <w:kern w:val="0"/>
          <w:sz w:val="32"/>
          <w:szCs w:val="32"/>
        </w:rPr>
        <w:t>进行质押券变更申报、到期续做申报或者购回交易申报，仅支持进行</w:t>
      </w:r>
      <w:r>
        <w:rPr>
          <w:rFonts w:hint="eastAsia" w:ascii="仿宋" w:hAnsi="仿宋" w:eastAsia="仿宋"/>
          <w:sz w:val="32"/>
          <w:szCs w:val="32"/>
        </w:rPr>
        <w:t>解除质押申报</w:t>
      </w:r>
      <w:r>
        <w:rPr>
          <w:rFonts w:hint="eastAsia" w:ascii="仿宋" w:hAnsi="仿宋" w:eastAsia="仿宋"/>
          <w:kern w:val="0"/>
          <w:sz w:val="32"/>
          <w:szCs w:val="32"/>
          <w:lang w:eastAsia="zh-CN"/>
        </w:rPr>
        <w:t>。</w:t>
      </w:r>
    </w:p>
    <w:p>
      <w:pPr>
        <w:numPr>
          <w:ilvl w:val="255"/>
          <w:numId w:val="0"/>
        </w:numPr>
        <w:spacing w:line="56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rPr>
        <w:t>“</w:t>
      </w:r>
      <w:r>
        <w:rPr>
          <w:rFonts w:hint="eastAsia" w:ascii="仿宋" w:hAnsi="仿宋" w:eastAsia="仿宋" w:cs="Times New Roman"/>
          <w:sz w:val="32"/>
          <w:szCs w:val="32"/>
        </w:rPr>
        <w:t>是否同意在违约情形下由质权方对该违约交易项下的质押券直接以拍卖、变卖等方式进行处置”</w:t>
      </w:r>
      <w:r>
        <w:rPr>
          <w:rFonts w:hint="eastAsia" w:ascii="仿宋" w:hAnsi="仿宋" w:eastAsia="仿宋" w:cs="Times New Roman"/>
          <w:sz w:val="32"/>
          <w:szCs w:val="32"/>
          <w:lang w:eastAsia="zh-CN"/>
        </w:rPr>
        <w:t>（即</w:t>
      </w:r>
      <w:r>
        <w:rPr>
          <w:rFonts w:hint="eastAsia" w:ascii="仿宋" w:hAnsi="仿宋" w:eastAsia="仿宋"/>
          <w:kern w:val="0"/>
          <w:sz w:val="32"/>
          <w:szCs w:val="32"/>
        </w:rPr>
        <w:t>处置标识</w:t>
      </w:r>
      <w:r>
        <w:rPr>
          <w:rFonts w:hint="eastAsia" w:ascii="仿宋" w:hAnsi="仿宋" w:eastAsia="仿宋" w:cs="Times New Roman"/>
          <w:sz w:val="32"/>
          <w:szCs w:val="32"/>
          <w:lang w:eastAsia="zh-CN"/>
        </w:rPr>
        <w:t>）</w:t>
      </w:r>
      <w:r>
        <w:rPr>
          <w:rFonts w:hint="eastAsia" w:ascii="仿宋" w:hAnsi="仿宋" w:eastAsia="仿宋"/>
          <w:kern w:val="0"/>
          <w:sz w:val="32"/>
          <w:szCs w:val="32"/>
        </w:rPr>
        <w:t>指投资者</w:t>
      </w:r>
      <w:r>
        <w:rPr>
          <w:rFonts w:hint="eastAsia" w:ascii="仿宋" w:hAnsi="仿宋" w:eastAsia="仿宋" w:cs="Times New Roman"/>
          <w:sz w:val="32"/>
          <w:szCs w:val="32"/>
        </w:rPr>
        <w:t>是否同意在违约情形下由质权方对该违约交易项下的质押券直接以拍卖、变卖等方式进行处置，需填写“是”或者“否”</w:t>
      </w:r>
      <w:r>
        <w:rPr>
          <w:rFonts w:hint="eastAsia" w:ascii="仿宋" w:hAnsi="仿宋" w:eastAsia="仿宋"/>
          <w:kern w:val="0"/>
          <w:sz w:val="32"/>
          <w:szCs w:val="32"/>
          <w:lang w:eastAsia="zh-CN"/>
        </w:rPr>
        <w:t>。</w:t>
      </w:r>
    </w:p>
    <w:p>
      <w:pPr>
        <w:spacing w:line="560" w:lineRule="exact"/>
        <w:ind w:firstLine="640" w:firstLineChars="200"/>
        <w:rPr>
          <w:rFonts w:ascii="仿宋" w:hAnsi="仿宋" w:eastAsia="仿宋"/>
          <w:kern w:val="0"/>
          <w:sz w:val="32"/>
          <w:szCs w:val="32"/>
        </w:rPr>
      </w:pPr>
      <w:r>
        <w:rPr>
          <w:rFonts w:hint="eastAsia" w:ascii="仿宋" w:hAnsi="仿宋" w:eastAsia="仿宋" w:cs="Times New Roman"/>
          <w:sz w:val="32"/>
          <w:szCs w:val="32"/>
        </w:rPr>
        <w:t>“</w:t>
      </w:r>
      <w:r>
        <w:rPr>
          <w:rFonts w:hint="eastAsia" w:ascii="仿宋" w:hAnsi="仿宋" w:eastAsia="仿宋"/>
          <w:kern w:val="0"/>
          <w:sz w:val="32"/>
          <w:szCs w:val="32"/>
        </w:rPr>
        <w:t>补充约定及其他”</w:t>
      </w:r>
      <w:r>
        <w:rPr>
          <w:rFonts w:hint="eastAsia" w:ascii="仿宋" w:hAnsi="仿宋" w:eastAsia="仿宋"/>
          <w:kern w:val="0"/>
          <w:sz w:val="32"/>
          <w:szCs w:val="32"/>
          <w:lang w:eastAsia="zh-CN"/>
        </w:rPr>
        <w:t>（即扩展备注）</w:t>
      </w:r>
      <w:r>
        <w:rPr>
          <w:rFonts w:hint="eastAsia" w:ascii="仿宋" w:hAnsi="仿宋" w:eastAsia="仿宋"/>
          <w:kern w:val="0"/>
          <w:sz w:val="32"/>
          <w:szCs w:val="32"/>
        </w:rPr>
        <w:t>支持填写不超过900个字符，回购双方应根据</w:t>
      </w:r>
      <w:r>
        <w:rPr>
          <w:rFonts w:ascii="仿宋" w:hAnsi="仿宋" w:eastAsia="仿宋" w:cs="Times New Roman"/>
          <w:sz w:val="32"/>
          <w:szCs w:val="32"/>
        </w:rPr>
        <w:t>《办法》</w:t>
      </w:r>
      <w:r>
        <w:rPr>
          <w:rFonts w:hint="eastAsia" w:ascii="仿宋" w:hAnsi="仿宋" w:eastAsia="仿宋" w:cs="Times New Roman"/>
          <w:sz w:val="32"/>
          <w:szCs w:val="32"/>
        </w:rPr>
        <w:t>和《风控指引》要求填报</w:t>
      </w:r>
      <w:r>
        <w:rPr>
          <w:rFonts w:hint="eastAsia" w:ascii="仿宋" w:hAnsi="仿宋" w:eastAsia="仿宋" w:cs="Times New Roman"/>
          <w:sz w:val="32"/>
          <w:szCs w:val="32"/>
          <w:lang w:eastAsia="zh-CN"/>
        </w:rPr>
        <w:t>下列</w:t>
      </w:r>
      <w:r>
        <w:rPr>
          <w:rFonts w:hint="eastAsia" w:ascii="仿宋" w:hAnsi="仿宋" w:eastAsia="仿宋" w:cs="Times New Roman"/>
          <w:sz w:val="32"/>
          <w:szCs w:val="32"/>
        </w:rPr>
        <w:t>事项：一是正回购方为理财产品</w:t>
      </w:r>
      <w:r>
        <w:rPr>
          <w:rStyle w:val="26"/>
          <w:rFonts w:ascii="仿宋" w:hAnsi="仿宋" w:eastAsia="仿宋" w:cs="Times New Roman"/>
          <w:sz w:val="32"/>
          <w:szCs w:val="32"/>
        </w:rPr>
        <w:footnoteReference w:id="0"/>
      </w:r>
      <w:r>
        <w:rPr>
          <w:rFonts w:hint="eastAsia" w:ascii="仿宋" w:hAnsi="仿宋" w:eastAsia="仿宋" w:cs="Times New Roman"/>
          <w:sz w:val="32"/>
          <w:szCs w:val="32"/>
        </w:rPr>
        <w:t>的，应向逆回购方披露该产品的相关信息，包括产品委托人和管理人信息，并就协议回购交易违约时的风险处置和责任承担作出明确约定；二是回购双方利率报价应</w:t>
      </w:r>
      <w:r>
        <w:rPr>
          <w:rFonts w:hint="eastAsia" w:ascii="仿宋" w:hAnsi="仿宋" w:eastAsia="仿宋" w:cs="Times New Roman"/>
          <w:sz w:val="32"/>
          <w:szCs w:val="32"/>
          <w:lang w:eastAsia="zh-CN"/>
        </w:rPr>
        <w:t>当</w:t>
      </w:r>
      <w:r>
        <w:rPr>
          <w:rFonts w:hint="eastAsia" w:ascii="仿宋" w:hAnsi="仿宋" w:eastAsia="仿宋" w:cs="Times New Roman"/>
          <w:sz w:val="32"/>
          <w:szCs w:val="32"/>
        </w:rPr>
        <w:t>具备合理性，年化回购利率在8</w:t>
      </w:r>
      <w:r>
        <w:rPr>
          <w:rFonts w:ascii="仿宋" w:hAnsi="仿宋" w:eastAsia="仿宋" w:cs="Times New Roman"/>
          <w:sz w:val="32"/>
          <w:szCs w:val="32"/>
        </w:rPr>
        <w:t>%</w:t>
      </w:r>
      <w:r>
        <w:rPr>
          <w:rFonts w:hint="eastAsia" w:ascii="仿宋" w:hAnsi="仿宋" w:eastAsia="仿宋" w:cs="Times New Roman"/>
          <w:sz w:val="32"/>
          <w:szCs w:val="32"/>
        </w:rPr>
        <w:t>以上的，应</w:t>
      </w:r>
      <w:r>
        <w:rPr>
          <w:rFonts w:hint="eastAsia" w:ascii="仿宋" w:hAnsi="仿宋" w:eastAsia="仿宋" w:cs="Times New Roman"/>
          <w:sz w:val="32"/>
          <w:szCs w:val="32"/>
          <w:lang w:eastAsia="zh-CN"/>
        </w:rPr>
        <w:t>当</w:t>
      </w:r>
      <w:r>
        <w:rPr>
          <w:rFonts w:hint="eastAsia" w:ascii="仿宋" w:hAnsi="仿宋" w:eastAsia="仿宋" w:cs="Times New Roman"/>
          <w:sz w:val="32"/>
          <w:szCs w:val="32"/>
        </w:rPr>
        <w:t>备注原因；三是回购双方</w:t>
      </w:r>
      <w:r>
        <w:rPr>
          <w:rFonts w:hint="eastAsia" w:ascii="仿宋" w:hAnsi="仿宋" w:eastAsia="仿宋"/>
          <w:kern w:val="0"/>
          <w:sz w:val="32"/>
          <w:szCs w:val="32"/>
        </w:rPr>
        <w:t>约定</w:t>
      </w:r>
      <w:r>
        <w:rPr>
          <w:rFonts w:hint="eastAsia" w:ascii="仿宋" w:hAnsi="仿宋" w:eastAsia="仿宋" w:cs="Times New Roman"/>
          <w:sz w:val="32"/>
          <w:szCs w:val="32"/>
        </w:rPr>
        <w:t>在违约情形下</w:t>
      </w:r>
      <w:r>
        <w:rPr>
          <w:rFonts w:hint="eastAsia" w:ascii="仿宋" w:hAnsi="仿宋" w:eastAsia="仿宋"/>
          <w:kern w:val="0"/>
          <w:sz w:val="32"/>
          <w:szCs w:val="32"/>
        </w:rPr>
        <w:t>质权方不得直接以拍卖、变卖等方式处置</w:t>
      </w:r>
      <w:r>
        <w:rPr>
          <w:rFonts w:hint="eastAsia" w:ascii="仿宋" w:hAnsi="仿宋" w:eastAsia="仿宋" w:cs="Times New Roman"/>
          <w:sz w:val="32"/>
          <w:szCs w:val="32"/>
        </w:rPr>
        <w:t>该违约交易项下的质押券</w:t>
      </w:r>
      <w:r>
        <w:rPr>
          <w:rFonts w:hint="eastAsia" w:ascii="仿宋" w:hAnsi="仿宋" w:eastAsia="仿宋"/>
          <w:kern w:val="0"/>
          <w:sz w:val="32"/>
          <w:szCs w:val="32"/>
        </w:rPr>
        <w:t>的，可以在</w:t>
      </w:r>
      <w:r>
        <w:rPr>
          <w:rFonts w:hint="eastAsia" w:ascii="仿宋" w:hAnsi="仿宋" w:eastAsia="仿宋"/>
          <w:kern w:val="0"/>
          <w:sz w:val="32"/>
          <w:szCs w:val="32"/>
          <w:lang w:eastAsia="zh-CN"/>
        </w:rPr>
        <w:t>本要素</w:t>
      </w:r>
      <w:r>
        <w:rPr>
          <w:rFonts w:hint="eastAsia" w:ascii="仿宋" w:hAnsi="仿宋" w:eastAsia="仿宋"/>
          <w:kern w:val="0"/>
          <w:sz w:val="32"/>
          <w:szCs w:val="32"/>
        </w:rPr>
        <w:t>或者补充协议中约定其他违约处置方式</w:t>
      </w:r>
      <w:r>
        <w:rPr>
          <w:rFonts w:hint="eastAsia" w:ascii="仿宋" w:hAnsi="仿宋" w:eastAsia="仿宋" w:cs="Times New Roman"/>
          <w:sz w:val="32"/>
          <w:szCs w:val="32"/>
        </w:rPr>
        <w:t>；四是回购双方其他交易补充约定事项等。</w:t>
      </w:r>
    </w:p>
    <w:p>
      <w:pPr>
        <w:spacing w:line="560" w:lineRule="exact"/>
        <w:ind w:firstLine="640" w:firstLineChars="200"/>
        <w:rPr>
          <w:rFonts w:ascii="仿宋" w:hAnsi="仿宋" w:eastAsia="仿宋"/>
          <w:kern w:val="0"/>
          <w:sz w:val="32"/>
          <w:szCs w:val="32"/>
        </w:rPr>
      </w:pPr>
      <w:bookmarkStart w:id="77" w:name="_Toc513792064"/>
      <w:r>
        <w:rPr>
          <w:rFonts w:hint="eastAsia" w:ascii="仿宋" w:hAnsi="仿宋" w:eastAsia="仿宋"/>
          <w:kern w:val="0"/>
          <w:sz w:val="32"/>
          <w:szCs w:val="32"/>
          <w:lang w:val="en-US" w:eastAsia="zh-CN"/>
        </w:rPr>
        <w:t>2</w:t>
      </w:r>
      <w:r>
        <w:rPr>
          <w:rFonts w:hint="eastAsia" w:ascii="仿宋" w:hAnsi="仿宋" w:eastAsia="仿宋"/>
          <w:kern w:val="0"/>
          <w:sz w:val="32"/>
          <w:szCs w:val="32"/>
        </w:rPr>
        <w:t>.其他要求及说明</w:t>
      </w:r>
    </w:p>
    <w:p>
      <w:pPr>
        <w:spacing w:line="560" w:lineRule="exact"/>
        <w:ind w:firstLine="640" w:firstLineChars="200"/>
        <w:rPr>
          <w:rFonts w:ascii="仿宋" w:hAnsi="仿宋" w:eastAsia="仿宋"/>
          <w:sz w:val="32"/>
          <w:szCs w:val="32"/>
        </w:rPr>
      </w:pPr>
      <w:r>
        <w:rPr>
          <w:rFonts w:hint="eastAsia" w:ascii="仿宋" w:hAnsi="仿宋" w:eastAsia="仿宋"/>
          <w:kern w:val="0"/>
          <w:sz w:val="32"/>
          <w:szCs w:val="32"/>
        </w:rPr>
        <w:t>初始交易申报只能申报一只质押券。</w:t>
      </w:r>
      <w:r>
        <w:rPr>
          <w:rFonts w:hint="eastAsia" w:ascii="仿宋" w:hAnsi="仿宋" w:eastAsia="仿宋"/>
          <w:sz w:val="32"/>
          <w:szCs w:val="32"/>
          <w:lang w:eastAsia="zh-CN"/>
        </w:rPr>
        <w:t>不动产基金</w:t>
      </w:r>
      <w:r>
        <w:rPr>
          <w:rFonts w:hint="eastAsia" w:ascii="仿宋" w:hAnsi="仿宋" w:eastAsia="仿宋"/>
          <w:sz w:val="32"/>
          <w:szCs w:val="32"/>
        </w:rPr>
        <w:t>用于协议回购</w:t>
      </w:r>
      <w:r>
        <w:rPr>
          <w:rFonts w:hint="eastAsia" w:ascii="仿宋" w:hAnsi="仿宋" w:eastAsia="仿宋"/>
          <w:kern w:val="0"/>
          <w:sz w:val="32"/>
          <w:szCs w:val="32"/>
        </w:rPr>
        <w:t>质押，如涉及两种股份性质，则视作两只质押券，需按照不同股份性质逐笔申报。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投资者使用本所交易终端进行初始交易申报的，交易终端将根据投资者填写的成交金额、回购期限、回购利率，结合本所交易日历自动计算参考到期结算日、参考实际占款天数、参考利息和参考购回交易金额，供投资者交易时参考。交易日历尚未确定时，如回购到期日为周一至周五，交易终端中参考到期结算日将取值为回购到期日；如回购到期日为周六或者周日</w:t>
      </w:r>
      <w:r>
        <w:rPr>
          <w:rFonts w:hint="eastAsia" w:ascii="仿宋" w:hAnsi="仿宋" w:eastAsia="仿宋"/>
          <w:sz w:val="32"/>
          <w:szCs w:val="32"/>
          <w:lang w:eastAsia="zh-CN"/>
        </w:rPr>
        <w:t>，</w:t>
      </w:r>
      <w:r>
        <w:rPr>
          <w:rFonts w:hint="eastAsia" w:ascii="仿宋" w:hAnsi="仿宋" w:eastAsia="仿宋"/>
          <w:sz w:val="32"/>
          <w:szCs w:val="32"/>
        </w:rPr>
        <w:t>参考到期结算日将取值为回购到期日之后的第一个工作日。待双方购回时，交易系统将根据最终确定的交易日历调整到期结算日，并相应计算实际占款天数、利息及购回交易金额。</w:t>
      </w:r>
    </w:p>
    <w:p>
      <w:pPr>
        <w:spacing w:line="560" w:lineRule="exact"/>
        <w:ind w:firstLine="643" w:firstLineChars="200"/>
        <w:outlineLvl w:val="2"/>
        <w:rPr>
          <w:rFonts w:ascii="楷体" w:hAnsi="楷体" w:eastAsia="楷体"/>
          <w:b/>
          <w:sz w:val="32"/>
          <w:szCs w:val="32"/>
        </w:rPr>
      </w:pPr>
      <w:bookmarkStart w:id="78" w:name="_Toc122526344"/>
      <w:bookmarkStart w:id="79" w:name="_Toc19352"/>
      <w:bookmarkStart w:id="80" w:name="_Toc9188"/>
      <w:bookmarkStart w:id="81" w:name="_Toc20783"/>
      <w:r>
        <w:rPr>
          <w:rFonts w:hint="eastAsia" w:ascii="楷体" w:hAnsi="楷体" w:eastAsia="楷体"/>
          <w:b/>
          <w:sz w:val="32"/>
          <w:szCs w:val="32"/>
        </w:rPr>
        <w:t>（二）质押券变更申报</w:t>
      </w:r>
      <w:bookmarkEnd w:id="77"/>
      <w:bookmarkEnd w:id="78"/>
      <w:bookmarkEnd w:id="79"/>
      <w:bookmarkEnd w:id="80"/>
      <w:bookmarkEnd w:id="81"/>
    </w:p>
    <w:p>
      <w:pPr>
        <w:pStyle w:val="27"/>
        <w:spacing w:line="560" w:lineRule="exact"/>
        <w:ind w:firstLine="640" w:firstLineChars="200"/>
        <w:jc w:val="both"/>
        <w:rPr>
          <w:rFonts w:ascii="仿宋" w:hAnsi="仿宋" w:eastAsia="仿宋"/>
          <w:sz w:val="32"/>
          <w:szCs w:val="32"/>
        </w:rPr>
      </w:pPr>
      <w:r>
        <w:rPr>
          <w:rFonts w:hint="eastAsia" w:ascii="仿宋" w:hAnsi="仿宋" w:eastAsia="仿宋" w:cs="Times New Roman"/>
          <w:sz w:val="32"/>
          <w:szCs w:val="32"/>
        </w:rPr>
        <w:t>质押券变更申报，是指在协议回购存续期间（不含首次结算日和到期结算日），回购双方经协商一致后对质押券进行变更的交易申报。回购双方在确保担保品价值足额的前提下，经协商一致，</w:t>
      </w:r>
      <w:r>
        <w:rPr>
          <w:rFonts w:hint="eastAsia" w:ascii="仿宋" w:hAnsi="仿宋" w:eastAsia="仿宋" w:cs="Times New Roman"/>
          <w:sz w:val="32"/>
          <w:szCs w:val="32"/>
          <w:lang w:eastAsia="zh-CN"/>
        </w:rPr>
        <w:t>可以</w:t>
      </w:r>
      <w:r>
        <w:rPr>
          <w:rFonts w:hint="eastAsia" w:ascii="仿宋" w:hAnsi="仿宋" w:eastAsia="仿宋" w:cs="Times New Roman"/>
          <w:sz w:val="32"/>
          <w:szCs w:val="32"/>
        </w:rPr>
        <w:t>通过</w:t>
      </w:r>
      <w:r>
        <w:rPr>
          <w:rFonts w:hint="eastAsia" w:ascii="仿宋" w:hAnsi="仿宋" w:eastAsia="仿宋"/>
          <w:sz w:val="32"/>
          <w:szCs w:val="32"/>
        </w:rPr>
        <w:t>质押券变更申报进行以券换券、只换入券（补券）、只换出券或者只换出现金（即债券质押期间债券付息、分期偿还</w:t>
      </w:r>
      <w:r>
        <w:rPr>
          <w:rFonts w:hint="eastAsia" w:ascii="仿宋" w:hAnsi="仿宋" w:eastAsia="仿宋"/>
          <w:sz w:val="32"/>
          <w:szCs w:val="32"/>
          <w:lang w:eastAsia="zh-CN"/>
        </w:rPr>
        <w:t>、债券</w:t>
      </w:r>
      <w:r>
        <w:rPr>
          <w:rFonts w:hint="eastAsia" w:ascii="仿宋" w:hAnsi="仿宋" w:eastAsia="仿宋"/>
          <w:sz w:val="32"/>
          <w:szCs w:val="32"/>
          <w:lang w:val="en-US" w:eastAsia="zh-CN"/>
        </w:rPr>
        <w:t>ETF分红及清盘</w:t>
      </w:r>
      <w:r>
        <w:rPr>
          <w:rFonts w:hint="eastAsia" w:ascii="仿宋" w:hAnsi="仿宋" w:eastAsia="仿宋"/>
          <w:sz w:val="32"/>
          <w:szCs w:val="32"/>
        </w:rPr>
        <w:t>等所产生的现金）。质押券变更申报由正回购方填妥交易要素后发送到逆回购方，经逆回购方确认后成交。</w:t>
      </w:r>
    </w:p>
    <w:p>
      <w:pPr>
        <w:pStyle w:val="27"/>
        <w:spacing w:line="560" w:lineRule="exact"/>
        <w:ind w:firstLine="640" w:firstLineChars="200"/>
        <w:jc w:val="both"/>
        <w:rPr>
          <w:rFonts w:ascii="仿宋" w:hAnsi="仿宋" w:eastAsia="仿宋"/>
          <w:sz w:val="32"/>
          <w:szCs w:val="32"/>
        </w:rPr>
      </w:pPr>
      <w:r>
        <w:rPr>
          <w:rFonts w:hint="eastAsia" w:ascii="仿宋" w:hAnsi="仿宋" w:eastAsia="仿宋" w:cs="Times New Roman"/>
          <w:sz w:val="32"/>
          <w:szCs w:val="32"/>
        </w:rPr>
        <w:t>质押券变更指令申报要素应当包括换出、换入的质押券证券代码、股份性质及对应数量、</w:t>
      </w:r>
      <w:r>
        <w:rPr>
          <w:rFonts w:hint="eastAsia" w:ascii="仿宋" w:hAnsi="仿宋" w:eastAsia="仿宋"/>
          <w:sz w:val="32"/>
          <w:szCs w:val="32"/>
        </w:rPr>
        <w:t>补充约定及其他（</w:t>
      </w:r>
      <w:r>
        <w:rPr>
          <w:rFonts w:hint="eastAsia" w:ascii="Times New Roman" w:hAnsi="Times New Roman" w:eastAsia="仿宋" w:cs="Times New Roman"/>
          <w:kern w:val="0"/>
          <w:sz w:val="32"/>
          <w:szCs w:val="32"/>
          <w:lang w:eastAsia="zh-CN"/>
        </w:rPr>
        <w:t>即扩展备注，</w:t>
      </w:r>
      <w:r>
        <w:rPr>
          <w:rFonts w:hint="eastAsia" w:ascii="仿宋" w:hAnsi="仿宋" w:eastAsia="仿宋"/>
          <w:sz w:val="32"/>
          <w:szCs w:val="32"/>
        </w:rPr>
        <w:t>如有）</w:t>
      </w:r>
      <w:r>
        <w:rPr>
          <w:rFonts w:hint="eastAsia" w:ascii="仿宋" w:hAnsi="仿宋" w:eastAsia="仿宋" w:cs="Times New Roman"/>
          <w:sz w:val="32"/>
          <w:szCs w:val="32"/>
        </w:rPr>
        <w:t>等业务要素；若只换出现金，申报指令应当包括换出现金金额、</w:t>
      </w:r>
      <w:r>
        <w:rPr>
          <w:rFonts w:hint="eastAsia" w:ascii="仿宋" w:hAnsi="仿宋" w:eastAsia="仿宋"/>
          <w:sz w:val="32"/>
          <w:szCs w:val="32"/>
        </w:rPr>
        <w:t>补充约定及其他（</w:t>
      </w:r>
      <w:r>
        <w:rPr>
          <w:rFonts w:hint="eastAsia" w:ascii="Times New Roman" w:hAnsi="Times New Roman" w:eastAsia="仿宋" w:cs="Times New Roman"/>
          <w:kern w:val="0"/>
          <w:sz w:val="32"/>
          <w:szCs w:val="32"/>
          <w:lang w:eastAsia="zh-CN"/>
        </w:rPr>
        <w:t>即扩展备注，</w:t>
      </w:r>
      <w:r>
        <w:rPr>
          <w:rFonts w:hint="eastAsia" w:ascii="仿宋" w:hAnsi="仿宋" w:eastAsia="仿宋"/>
          <w:sz w:val="32"/>
          <w:szCs w:val="32"/>
        </w:rPr>
        <w:t>如有）</w:t>
      </w:r>
      <w:r>
        <w:rPr>
          <w:rFonts w:hint="eastAsia" w:ascii="仿宋" w:hAnsi="仿宋" w:eastAsia="仿宋" w:cs="Times New Roman"/>
          <w:sz w:val="32"/>
          <w:szCs w:val="32"/>
        </w:rPr>
        <w:t>等业务要素</w:t>
      </w:r>
      <w:r>
        <w:rPr>
          <w:rFonts w:hint="eastAsia" w:ascii="仿宋" w:hAnsi="仿宋" w:eastAsia="仿宋"/>
          <w:sz w:val="32"/>
          <w:szCs w:val="32"/>
        </w:rPr>
        <w:t>。每次质押券变更申报只能替换一只</w:t>
      </w:r>
      <w:r>
        <w:rPr>
          <w:rFonts w:hint="eastAsia" w:ascii="仿宋" w:hAnsi="仿宋" w:eastAsia="仿宋"/>
          <w:sz w:val="32"/>
          <w:szCs w:val="32"/>
          <w:lang w:eastAsia="zh-CN"/>
        </w:rPr>
        <w:t>质押券</w:t>
      </w:r>
      <w:r>
        <w:rPr>
          <w:rFonts w:hint="eastAsia" w:ascii="仿宋" w:hAnsi="仿宋" w:eastAsia="仿宋"/>
          <w:sz w:val="32"/>
          <w:szCs w:val="32"/>
        </w:rPr>
        <w:t>，换入质押券需在协议回购质押券范围之内，</w:t>
      </w:r>
      <w:r>
        <w:rPr>
          <w:rFonts w:hint="eastAsia" w:ascii="仿宋" w:hAnsi="仿宋" w:eastAsia="仿宋"/>
          <w:sz w:val="32"/>
          <w:szCs w:val="32"/>
          <w:lang w:eastAsia="zh-CN"/>
        </w:rPr>
        <w:t>质押券为债券的，</w:t>
      </w:r>
      <w:r>
        <w:rPr>
          <w:rFonts w:hint="eastAsia" w:ascii="仿宋" w:hAnsi="仿宋" w:eastAsia="仿宋"/>
          <w:sz w:val="32"/>
          <w:szCs w:val="32"/>
        </w:rPr>
        <w:t>到期日不得早于回购到期日。换入质押券可不同于原质押券，进行质押券变更后的协议回购在途合约支持同时有多只质押券</w:t>
      </w:r>
      <w:r>
        <w:rPr>
          <w:rFonts w:hint="eastAsia" w:ascii="仿宋" w:hAnsi="仿宋" w:eastAsia="仿宋" w:cs="Times New Roman"/>
          <w:sz w:val="32"/>
          <w:szCs w:val="32"/>
        </w:rPr>
        <w:t>。</w:t>
      </w:r>
    </w:p>
    <w:p>
      <w:pPr>
        <w:spacing w:line="560" w:lineRule="exact"/>
        <w:ind w:firstLine="643" w:firstLineChars="200"/>
        <w:outlineLvl w:val="2"/>
        <w:rPr>
          <w:rFonts w:ascii="楷体" w:hAnsi="楷体" w:eastAsia="楷体"/>
          <w:b/>
          <w:sz w:val="32"/>
          <w:szCs w:val="32"/>
        </w:rPr>
      </w:pPr>
      <w:bookmarkStart w:id="82" w:name="_Toc14162"/>
      <w:bookmarkStart w:id="83" w:name="_Toc379"/>
      <w:bookmarkStart w:id="84" w:name="_Toc16574"/>
      <w:bookmarkStart w:id="85" w:name="_Toc122526345"/>
      <w:bookmarkStart w:id="86" w:name="_Toc513792065"/>
      <w:r>
        <w:rPr>
          <w:rFonts w:hint="eastAsia" w:ascii="楷体" w:hAnsi="楷体" w:eastAsia="楷体"/>
          <w:b/>
          <w:sz w:val="32"/>
          <w:szCs w:val="32"/>
        </w:rPr>
        <w:t>（</w:t>
      </w:r>
      <w:r>
        <w:rPr>
          <w:rFonts w:hint="eastAsia" w:ascii="楷体" w:hAnsi="楷体" w:eastAsia="楷体"/>
          <w:b/>
          <w:sz w:val="32"/>
          <w:szCs w:val="32"/>
          <w:lang w:eastAsia="zh-CN"/>
        </w:rPr>
        <w:t>三</w:t>
      </w:r>
      <w:r>
        <w:rPr>
          <w:rFonts w:hint="eastAsia" w:ascii="楷体" w:hAnsi="楷体" w:eastAsia="楷体"/>
          <w:b/>
          <w:sz w:val="32"/>
          <w:szCs w:val="32"/>
        </w:rPr>
        <w:t>）购回交易申报</w:t>
      </w:r>
      <w:bookmarkEnd w:id="82"/>
      <w:bookmarkEnd w:id="83"/>
    </w:p>
    <w:p>
      <w:pPr>
        <w:pStyle w:val="27"/>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购回交易申报，是指正回购方按约定返还资金、解除相应</w:t>
      </w:r>
      <w:r>
        <w:rPr>
          <w:rFonts w:hint="eastAsia" w:ascii="仿宋" w:hAnsi="仿宋" w:eastAsia="仿宋" w:cs="Times New Roman"/>
          <w:sz w:val="32"/>
          <w:szCs w:val="32"/>
          <w:lang w:eastAsia="zh-CN"/>
        </w:rPr>
        <w:t>质押券</w:t>
      </w:r>
      <w:r>
        <w:rPr>
          <w:rFonts w:hint="eastAsia" w:ascii="仿宋" w:hAnsi="仿宋" w:eastAsia="仿宋" w:cs="Times New Roman"/>
          <w:sz w:val="32"/>
          <w:szCs w:val="32"/>
        </w:rPr>
        <w:t>质押的交易申报。购回交易申报包括到期购回申报和提前购回申报两类指令。购回交易仅支持</w:t>
      </w:r>
      <w:r>
        <w:rPr>
          <w:rFonts w:hint="eastAsia" w:ascii="仿宋" w:hAnsi="仿宋" w:eastAsia="仿宋" w:cs="Times New Roman"/>
          <w:sz w:val="32"/>
          <w:szCs w:val="32"/>
          <w:lang w:eastAsia="zh-CN"/>
        </w:rPr>
        <w:t>“</w:t>
      </w:r>
      <w:r>
        <w:rPr>
          <w:rFonts w:hint="eastAsia" w:ascii="仿宋" w:hAnsi="仿宋" w:eastAsia="仿宋" w:cs="Times New Roman"/>
          <w:sz w:val="32"/>
          <w:szCs w:val="32"/>
        </w:rPr>
        <w:t>全部购回</w:t>
      </w:r>
      <w:r>
        <w:rPr>
          <w:rFonts w:hint="eastAsia" w:ascii="仿宋" w:hAnsi="仿宋" w:eastAsia="仿宋" w:cs="Times New Roman"/>
          <w:sz w:val="32"/>
          <w:szCs w:val="32"/>
          <w:lang w:eastAsia="zh-CN"/>
        </w:rPr>
        <w:t>”</w:t>
      </w:r>
      <w:r>
        <w:rPr>
          <w:rFonts w:ascii="仿宋" w:hAnsi="仿宋" w:eastAsia="仿宋" w:cs="Times New Roman"/>
          <w:sz w:val="32"/>
          <w:szCs w:val="32"/>
        </w:rPr>
        <w:t>,</w:t>
      </w:r>
      <w:r>
        <w:rPr>
          <w:rFonts w:hint="eastAsia" w:ascii="仿宋" w:hAnsi="仿宋" w:eastAsia="仿宋"/>
          <w:sz w:val="32"/>
          <w:szCs w:val="32"/>
          <w:lang w:val="zh-CN"/>
        </w:rPr>
        <w:t>“部分购回”交易暂不开展。</w:t>
      </w:r>
    </w:p>
    <w:p>
      <w:pPr>
        <w:pStyle w:val="27"/>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到期购回申报指令由正回购方在回购到期结算日发起，因到期购回申报严格执行初始交易或者续做交易申报要素，到期购回申报指令无需逆回购方确认，逆回购方可查看正回购方是否已成功申报到期购回。</w:t>
      </w:r>
    </w:p>
    <w:p>
      <w:pPr>
        <w:pStyle w:val="27"/>
        <w:spacing w:line="560" w:lineRule="exact"/>
        <w:ind w:firstLine="641"/>
        <w:rPr>
          <w:rFonts w:hint="eastAsia" w:ascii="仿宋" w:hAnsi="仿宋" w:eastAsia="仿宋" w:cs="Times New Roman"/>
          <w:b w:val="0"/>
          <w:sz w:val="32"/>
          <w:szCs w:val="32"/>
        </w:rPr>
      </w:pPr>
      <w:bookmarkStart w:id="87" w:name="_Toc26688"/>
      <w:r>
        <w:rPr>
          <w:rFonts w:hint="eastAsia" w:ascii="仿宋" w:hAnsi="仿宋" w:eastAsia="仿宋" w:cs="Times New Roman"/>
          <w:sz w:val="32"/>
          <w:szCs w:val="32"/>
        </w:rPr>
        <w:t>提前购回申报指令可在协议回购存续期间（不含首次结算日和到期结算日）发起，双方可重新就回购利率进行协商从而确定购回交易金额，该指令由正回购方发起，经逆回购方确认后方可成交。提前购回申报指令具体包括回购利率、</w:t>
      </w:r>
      <w:r>
        <w:rPr>
          <w:rFonts w:hint="eastAsia" w:ascii="仿宋" w:hAnsi="仿宋" w:eastAsia="仿宋"/>
          <w:sz w:val="32"/>
          <w:szCs w:val="32"/>
        </w:rPr>
        <w:t>补充约定及其他（如有）</w:t>
      </w:r>
      <w:r>
        <w:rPr>
          <w:rFonts w:hint="eastAsia" w:ascii="仿宋" w:hAnsi="仿宋" w:eastAsia="仿宋" w:cs="Times New Roman"/>
          <w:sz w:val="32"/>
          <w:szCs w:val="32"/>
        </w:rPr>
        <w:t>等要素。</w:t>
      </w:r>
      <w:bookmarkEnd w:id="87"/>
    </w:p>
    <w:p>
      <w:pPr>
        <w:spacing w:line="560" w:lineRule="exact"/>
        <w:ind w:firstLine="643" w:firstLineChars="200"/>
        <w:outlineLvl w:val="2"/>
        <w:rPr>
          <w:rFonts w:ascii="楷体" w:hAnsi="楷体" w:eastAsia="楷体"/>
          <w:b/>
          <w:sz w:val="32"/>
          <w:szCs w:val="32"/>
        </w:rPr>
      </w:pPr>
      <w:bookmarkStart w:id="88" w:name="_Toc7353"/>
      <w:bookmarkStart w:id="89" w:name="_Toc19206"/>
      <w:r>
        <w:rPr>
          <w:rFonts w:hint="eastAsia" w:ascii="楷体" w:hAnsi="楷体" w:eastAsia="楷体"/>
          <w:b/>
          <w:sz w:val="32"/>
          <w:szCs w:val="32"/>
        </w:rPr>
        <w:t>（</w:t>
      </w:r>
      <w:r>
        <w:rPr>
          <w:rFonts w:hint="eastAsia" w:ascii="楷体" w:hAnsi="楷体" w:eastAsia="楷体"/>
          <w:b/>
          <w:sz w:val="32"/>
          <w:szCs w:val="32"/>
          <w:lang w:eastAsia="zh-CN"/>
        </w:rPr>
        <w:t>四</w:t>
      </w:r>
      <w:r>
        <w:rPr>
          <w:rFonts w:hint="eastAsia" w:ascii="楷体" w:hAnsi="楷体" w:eastAsia="楷体"/>
          <w:b/>
          <w:sz w:val="32"/>
          <w:szCs w:val="32"/>
        </w:rPr>
        <w:t>）到期续做申报</w:t>
      </w:r>
      <w:bookmarkEnd w:id="84"/>
      <w:bookmarkEnd w:id="85"/>
      <w:bookmarkEnd w:id="86"/>
      <w:bookmarkEnd w:id="88"/>
      <w:bookmarkEnd w:id="89"/>
    </w:p>
    <w:p>
      <w:pPr>
        <w:pStyle w:val="27"/>
        <w:spacing w:line="560" w:lineRule="exact"/>
        <w:ind w:firstLine="640" w:firstLineChars="200"/>
        <w:jc w:val="both"/>
        <w:rPr>
          <w:rFonts w:ascii="仿宋" w:hAnsi="仿宋" w:eastAsia="仿宋" w:cs="Times New Roman"/>
          <w:sz w:val="32"/>
          <w:szCs w:val="32"/>
        </w:rPr>
      </w:pPr>
      <w:r>
        <w:rPr>
          <w:rFonts w:hint="eastAsia" w:ascii="仿宋" w:hAnsi="仿宋" w:eastAsia="仿宋"/>
          <w:sz w:val="32"/>
          <w:szCs w:val="32"/>
        </w:rPr>
        <w:t>到期续做申报是指正回购方确认履行到期购回义务，同时使用到期购回的全部质押券进行一笔新的协议回购，并与到期续做的逆回购方约定在到期购回的质押券解除质押登记后用于新的协议回购。到期续做的逆回购方可以为原逆回</w:t>
      </w:r>
      <w:r>
        <w:rPr>
          <w:rFonts w:hint="eastAsia" w:ascii="仿宋" w:hAnsi="仿宋" w:eastAsia="仿宋" w:cs="Times New Roman"/>
          <w:sz w:val="32"/>
          <w:szCs w:val="32"/>
        </w:rPr>
        <w:t>购方，也可以为其他第三方。</w:t>
      </w:r>
      <w:r>
        <w:rPr>
          <w:rFonts w:hint="eastAsia" w:ascii="仿宋" w:hAnsi="仿宋" w:eastAsia="仿宋"/>
          <w:sz w:val="32"/>
          <w:szCs w:val="32"/>
        </w:rPr>
        <w:t>到期续做需在原协议回购的到期结算日当日通过指令申报方式进行。到期续做交收成功后，原合约到期购回并了结，正回购方与新逆回购方按续做指令要素形成新的合约。</w:t>
      </w:r>
    </w:p>
    <w:p>
      <w:pPr>
        <w:spacing w:line="560" w:lineRule="exact"/>
        <w:ind w:firstLine="640" w:firstLineChars="200"/>
        <w:rPr>
          <w:rFonts w:ascii="仿宋" w:hAnsi="仿宋" w:eastAsia="仿宋"/>
          <w:kern w:val="0"/>
          <w:sz w:val="32"/>
          <w:szCs w:val="32"/>
        </w:rPr>
      </w:pPr>
      <w:r>
        <w:rPr>
          <w:rFonts w:hint="eastAsia" w:ascii="仿宋" w:hAnsi="仿宋" w:eastAsia="仿宋"/>
          <w:sz w:val="32"/>
          <w:szCs w:val="32"/>
        </w:rPr>
        <w:t>续做不变更对手方的，</w:t>
      </w:r>
      <w:r>
        <w:rPr>
          <w:rFonts w:hint="eastAsia" w:ascii="仿宋" w:hAnsi="仿宋" w:eastAsia="仿宋"/>
          <w:kern w:val="0"/>
          <w:sz w:val="32"/>
          <w:szCs w:val="32"/>
        </w:rPr>
        <w:t>由正回购方填妥</w:t>
      </w:r>
      <w:r>
        <w:rPr>
          <w:rFonts w:hint="eastAsia" w:ascii="仿宋" w:hAnsi="仿宋" w:eastAsia="仿宋"/>
          <w:sz w:val="32"/>
          <w:szCs w:val="32"/>
        </w:rPr>
        <w:t>交易要素后发送到逆回购方，经逆回购方</w:t>
      </w:r>
      <w:r>
        <w:rPr>
          <w:rFonts w:hint="eastAsia" w:ascii="仿宋" w:hAnsi="仿宋" w:eastAsia="仿宋"/>
          <w:kern w:val="0"/>
          <w:sz w:val="32"/>
          <w:szCs w:val="32"/>
        </w:rPr>
        <w:t>确认后成交。续做变更对手方的，由正回购方提交申报，原逆回购方不需确认，新逆回购方进行确认即可。</w:t>
      </w:r>
    </w:p>
    <w:p>
      <w:pPr>
        <w:spacing w:line="560" w:lineRule="exact"/>
        <w:ind w:firstLine="640" w:firstLineChars="200"/>
        <w:rPr>
          <w:rFonts w:ascii="仿宋" w:hAnsi="仿宋" w:eastAsia="仿宋"/>
          <w:kern w:val="0"/>
          <w:sz w:val="32"/>
          <w:szCs w:val="32"/>
        </w:rPr>
      </w:pPr>
      <w:r>
        <w:rPr>
          <w:rFonts w:hint="eastAsia" w:ascii="仿宋" w:hAnsi="仿宋" w:eastAsia="仿宋" w:cs="Times New Roman"/>
          <w:color w:val="000000"/>
          <w:kern w:val="0"/>
          <w:sz w:val="32"/>
          <w:szCs w:val="32"/>
        </w:rPr>
        <w:t>到期续做申报指令具体包括成交金额、回购期限、回购利率、</w:t>
      </w:r>
      <w:r>
        <w:rPr>
          <w:rFonts w:hint="eastAsia" w:ascii="仿宋" w:hAnsi="仿宋" w:eastAsia="仿宋"/>
          <w:kern w:val="0"/>
          <w:sz w:val="32"/>
          <w:szCs w:val="32"/>
        </w:rPr>
        <w:t>违约宽限期、“</w:t>
      </w:r>
      <w:r>
        <w:rPr>
          <w:rFonts w:hint="eastAsia" w:ascii="仿宋" w:hAnsi="仿宋" w:eastAsia="仿宋" w:cs="Times New Roman"/>
          <w:sz w:val="32"/>
          <w:szCs w:val="32"/>
        </w:rPr>
        <w:t>是否同意在违约情形下由质权方对该违约交易项下的质押券直接以拍卖、变卖等方式进行处置”</w:t>
      </w:r>
      <w:r>
        <w:rPr>
          <w:rFonts w:hint="eastAsia" w:ascii="仿宋" w:hAnsi="仿宋" w:eastAsia="仿宋" w:cs="Times New Roman"/>
          <w:sz w:val="32"/>
          <w:szCs w:val="32"/>
          <w:lang w:eastAsia="zh-CN"/>
        </w:rPr>
        <w:t>（即</w:t>
      </w:r>
      <w:r>
        <w:rPr>
          <w:rFonts w:hint="eastAsia" w:ascii="仿宋" w:hAnsi="仿宋" w:eastAsia="仿宋"/>
          <w:kern w:val="0"/>
          <w:sz w:val="32"/>
          <w:szCs w:val="32"/>
        </w:rPr>
        <w:t>处置标识</w:t>
      </w:r>
      <w:r>
        <w:rPr>
          <w:rFonts w:hint="eastAsia" w:ascii="仿宋" w:hAnsi="仿宋" w:eastAsia="仿宋" w:cs="Times New Roman"/>
          <w:sz w:val="32"/>
          <w:szCs w:val="32"/>
          <w:lang w:eastAsia="zh-CN"/>
        </w:rPr>
        <w:t>）</w:t>
      </w:r>
      <w:r>
        <w:rPr>
          <w:rFonts w:hint="eastAsia" w:ascii="仿宋" w:hAnsi="仿宋" w:eastAsia="仿宋"/>
          <w:kern w:val="0"/>
          <w:sz w:val="32"/>
          <w:szCs w:val="32"/>
        </w:rPr>
        <w:t>、补充约定及其他（</w:t>
      </w:r>
      <w:r>
        <w:rPr>
          <w:rFonts w:hint="eastAsia" w:ascii="仿宋" w:hAnsi="仿宋" w:eastAsia="仿宋"/>
          <w:kern w:val="0"/>
          <w:sz w:val="32"/>
          <w:szCs w:val="32"/>
          <w:lang w:eastAsia="zh-CN"/>
        </w:rPr>
        <w:t>即扩展备注，</w:t>
      </w:r>
      <w:r>
        <w:rPr>
          <w:rFonts w:hint="eastAsia" w:ascii="仿宋" w:hAnsi="仿宋" w:eastAsia="仿宋"/>
          <w:kern w:val="0"/>
          <w:sz w:val="32"/>
          <w:szCs w:val="32"/>
        </w:rPr>
        <w:t>如有）</w:t>
      </w:r>
      <w:r>
        <w:rPr>
          <w:rFonts w:hint="eastAsia" w:ascii="仿宋" w:hAnsi="仿宋" w:eastAsia="仿宋" w:cs="Times New Roman"/>
          <w:color w:val="000000"/>
          <w:kern w:val="0"/>
          <w:sz w:val="32"/>
          <w:szCs w:val="32"/>
        </w:rPr>
        <w:t>等业务要素，更换对手方续做还需填写变更后的</w:t>
      </w:r>
      <w:r>
        <w:rPr>
          <w:rFonts w:hint="eastAsia" w:ascii="仿宋" w:hAnsi="仿宋" w:eastAsia="仿宋"/>
          <w:kern w:val="0"/>
          <w:sz w:val="32"/>
          <w:szCs w:val="32"/>
        </w:rPr>
        <w:t>对方交易商和对方交易主体。其中：</w:t>
      </w:r>
    </w:p>
    <w:p>
      <w:pPr>
        <w:spacing w:line="560" w:lineRule="exact"/>
        <w:ind w:firstLine="640" w:firstLineChars="200"/>
        <w:rPr>
          <w:rFonts w:ascii="仿宋" w:hAnsi="仿宋" w:eastAsia="仿宋" w:cs="方正仿宋简体"/>
          <w:sz w:val="32"/>
          <w:szCs w:val="32"/>
        </w:rPr>
      </w:pPr>
      <w:r>
        <w:rPr>
          <w:rFonts w:hint="eastAsia" w:ascii="仿宋" w:hAnsi="仿宋" w:eastAsia="仿宋"/>
          <w:kern w:val="0"/>
          <w:sz w:val="32"/>
          <w:szCs w:val="32"/>
        </w:rPr>
        <w:t>“</w:t>
      </w:r>
      <w:r>
        <w:rPr>
          <w:rFonts w:hint="eastAsia" w:ascii="仿宋" w:hAnsi="仿宋" w:eastAsia="仿宋" w:cs="方正仿宋简体"/>
          <w:sz w:val="32"/>
          <w:szCs w:val="32"/>
        </w:rPr>
        <w:t>成交金额”即续做时正回购方实际融入金额（不含其他费用），单位为元，保留两位小数，成交金额无需与原合约一致，可以高于或者低于原合约成交金额，但不得超过所有质押券实际面额总和</w:t>
      </w:r>
      <w:r>
        <w:rPr>
          <w:rFonts w:hint="eastAsia" w:ascii="仿宋" w:hAnsi="仿宋" w:eastAsia="仿宋" w:cs="方正仿宋简体"/>
          <w:sz w:val="32"/>
          <w:szCs w:val="32"/>
          <w:lang w:eastAsia="zh-CN"/>
        </w:rPr>
        <w:t>；不动产基金</w:t>
      </w:r>
      <w:r>
        <w:rPr>
          <w:rFonts w:hint="eastAsia" w:ascii="仿宋" w:hAnsi="仿宋" w:eastAsia="仿宋" w:cs="方正仿宋简体"/>
          <w:sz w:val="32"/>
          <w:szCs w:val="32"/>
        </w:rPr>
        <w:t>作为质押券的，成交金额不得超过</w:t>
      </w:r>
      <w:r>
        <w:rPr>
          <w:rFonts w:hint="eastAsia" w:ascii="仿宋" w:hAnsi="仿宋" w:eastAsia="仿宋" w:cs="方正仿宋简体"/>
          <w:sz w:val="32"/>
          <w:szCs w:val="32"/>
          <w:lang w:eastAsia="zh-CN"/>
        </w:rPr>
        <w:t>不动产基金</w:t>
      </w:r>
      <w:r>
        <w:rPr>
          <w:rFonts w:hint="eastAsia" w:ascii="仿宋" w:hAnsi="仿宋" w:eastAsia="仿宋" w:cs="方正仿宋简体"/>
          <w:sz w:val="32"/>
          <w:szCs w:val="32"/>
        </w:rPr>
        <w:t>质押份数与</w:t>
      </w:r>
      <w:r>
        <w:rPr>
          <w:rFonts w:hint="eastAsia" w:ascii="仿宋" w:hAnsi="仿宋" w:eastAsia="仿宋" w:cs="方正仿宋简体"/>
          <w:sz w:val="32"/>
          <w:szCs w:val="32"/>
          <w:lang w:eastAsia="zh-CN"/>
        </w:rPr>
        <w:t>不动产基金</w:t>
      </w:r>
      <w:r>
        <w:rPr>
          <w:rFonts w:hint="eastAsia" w:ascii="仿宋" w:hAnsi="仿宋" w:eastAsia="仿宋" w:cs="方正仿宋简体"/>
          <w:sz w:val="32"/>
          <w:szCs w:val="32"/>
        </w:rPr>
        <w:t>前收盘价或者面值（取较大值）的乘积；</w:t>
      </w:r>
      <w:r>
        <w:rPr>
          <w:rFonts w:hint="eastAsia" w:ascii="仿宋" w:hAnsi="仿宋" w:eastAsia="仿宋" w:cs="仿宋"/>
          <w:kern w:val="2"/>
          <w:sz w:val="32"/>
          <w:szCs w:val="32"/>
          <w:lang w:val="en-US" w:eastAsia="zh-CN" w:bidi="ar"/>
        </w:rPr>
        <w:t>债券ETF作为质押券的，成交金额不得超过债券ETF质押份数与前收盘价的乘积。</w:t>
      </w:r>
    </w:p>
    <w:p>
      <w:pPr>
        <w:spacing w:line="560" w:lineRule="exact"/>
        <w:ind w:firstLine="640" w:firstLineChars="200"/>
        <w:rPr>
          <w:rFonts w:hint="eastAsia" w:ascii="仿宋" w:hAnsi="仿宋" w:eastAsia="仿宋"/>
          <w:kern w:val="0"/>
          <w:sz w:val="32"/>
          <w:szCs w:val="32"/>
          <w:lang w:eastAsia="zh-CN"/>
        </w:rPr>
      </w:pPr>
      <w:r>
        <w:rPr>
          <w:rFonts w:hint="eastAsia" w:ascii="仿宋" w:hAnsi="仿宋" w:eastAsia="仿宋" w:cs="方正仿宋简体"/>
          <w:sz w:val="32"/>
          <w:szCs w:val="32"/>
        </w:rPr>
        <w:t>“</w:t>
      </w:r>
      <w:r>
        <w:rPr>
          <w:rFonts w:hint="eastAsia" w:ascii="仿宋" w:hAnsi="仿宋" w:eastAsia="仿宋"/>
          <w:kern w:val="0"/>
          <w:sz w:val="32"/>
          <w:szCs w:val="32"/>
        </w:rPr>
        <w:t>回购期限”从续做日开始计算，不得超过</w:t>
      </w:r>
      <w:r>
        <w:rPr>
          <w:rFonts w:ascii="仿宋" w:hAnsi="仿宋" w:eastAsia="仿宋"/>
          <w:kern w:val="0"/>
          <w:sz w:val="32"/>
          <w:szCs w:val="32"/>
        </w:rPr>
        <w:t>365天</w:t>
      </w:r>
      <w:r>
        <w:rPr>
          <w:rFonts w:hint="eastAsia" w:ascii="仿宋" w:hAnsi="仿宋" w:eastAsia="仿宋"/>
          <w:kern w:val="0"/>
          <w:sz w:val="32"/>
          <w:szCs w:val="32"/>
        </w:rPr>
        <w:t>，</w:t>
      </w:r>
      <w:r>
        <w:rPr>
          <w:rFonts w:ascii="仿宋" w:hAnsi="仿宋" w:eastAsia="仿宋"/>
          <w:kern w:val="0"/>
          <w:sz w:val="32"/>
          <w:szCs w:val="32"/>
        </w:rPr>
        <w:t>且不得超过质押券的存续期间</w:t>
      </w:r>
      <w:r>
        <w:rPr>
          <w:rFonts w:hint="eastAsia" w:ascii="仿宋" w:hAnsi="仿宋" w:eastAsia="仿宋"/>
          <w:kern w:val="0"/>
          <w:sz w:val="32"/>
          <w:szCs w:val="32"/>
          <w:lang w:eastAsia="zh-CN"/>
        </w:rPr>
        <w:t>。</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lang w:eastAsia="zh-CN"/>
        </w:rPr>
        <w:t>“回购利率”</w:t>
      </w:r>
      <w:r>
        <w:rPr>
          <w:rFonts w:hint="eastAsia" w:ascii="仿宋" w:hAnsi="仿宋" w:eastAsia="仿宋"/>
          <w:kern w:val="0"/>
          <w:sz w:val="32"/>
          <w:szCs w:val="32"/>
        </w:rPr>
        <w:t>“违约宽限期”“</w:t>
      </w:r>
      <w:r>
        <w:rPr>
          <w:rFonts w:hint="eastAsia" w:ascii="仿宋" w:hAnsi="仿宋" w:eastAsia="仿宋" w:cs="Times New Roman"/>
          <w:sz w:val="32"/>
          <w:szCs w:val="32"/>
        </w:rPr>
        <w:t>是否同意在违约情形下由质权方对该违约交易项下的质押券直接以拍卖、变卖等方式进行处置”</w:t>
      </w:r>
      <w:r>
        <w:rPr>
          <w:rFonts w:hint="eastAsia" w:ascii="仿宋" w:hAnsi="仿宋" w:eastAsia="仿宋" w:cs="Times New Roman"/>
          <w:sz w:val="32"/>
          <w:szCs w:val="32"/>
          <w:lang w:eastAsia="zh-CN"/>
        </w:rPr>
        <w:t>（即处置标识）</w:t>
      </w:r>
      <w:r>
        <w:rPr>
          <w:rFonts w:hint="eastAsia" w:ascii="仿宋" w:hAnsi="仿宋" w:eastAsia="仿宋"/>
          <w:kern w:val="0"/>
          <w:sz w:val="32"/>
          <w:szCs w:val="32"/>
        </w:rPr>
        <w:t>“补充约定及其他”</w:t>
      </w:r>
      <w:r>
        <w:rPr>
          <w:rFonts w:hint="eastAsia" w:ascii="仿宋" w:hAnsi="仿宋" w:eastAsia="仿宋"/>
          <w:kern w:val="0"/>
          <w:sz w:val="32"/>
          <w:szCs w:val="32"/>
          <w:lang w:eastAsia="zh-CN"/>
        </w:rPr>
        <w:t>（即扩展备注，如有）</w:t>
      </w:r>
      <w:r>
        <w:rPr>
          <w:rFonts w:hint="eastAsia" w:ascii="仿宋" w:hAnsi="仿宋" w:eastAsia="仿宋"/>
          <w:kern w:val="0"/>
          <w:sz w:val="32"/>
          <w:szCs w:val="32"/>
        </w:rPr>
        <w:t>相关填报要求与初始交易</w:t>
      </w:r>
      <w:r>
        <w:rPr>
          <w:rFonts w:hint="eastAsia" w:ascii="仿宋" w:hAnsi="仿宋" w:eastAsia="仿宋"/>
          <w:kern w:val="0"/>
          <w:sz w:val="32"/>
          <w:szCs w:val="32"/>
          <w:lang w:eastAsia="zh-CN"/>
        </w:rPr>
        <w:t>申报</w:t>
      </w:r>
      <w:r>
        <w:rPr>
          <w:rFonts w:hint="eastAsia" w:ascii="仿宋" w:hAnsi="仿宋" w:eastAsia="仿宋"/>
          <w:kern w:val="0"/>
          <w:sz w:val="32"/>
          <w:szCs w:val="32"/>
        </w:rPr>
        <w:t>一致。</w:t>
      </w:r>
    </w:p>
    <w:p>
      <w:pPr>
        <w:spacing w:line="560" w:lineRule="exact"/>
        <w:ind w:firstLine="640" w:firstLineChars="200"/>
        <w:jc w:val="both"/>
        <w:rPr>
          <w:rFonts w:ascii="仿宋" w:hAnsi="仿宋" w:eastAsia="仿宋" w:cs="Times New Roman"/>
          <w:sz w:val="32"/>
          <w:szCs w:val="32"/>
        </w:rPr>
      </w:pPr>
      <w:r>
        <w:rPr>
          <w:rFonts w:hint="eastAsia" w:ascii="仿宋" w:hAnsi="仿宋" w:eastAsia="仿宋"/>
          <w:sz w:val="32"/>
          <w:szCs w:val="32"/>
        </w:rPr>
        <w:t>投资者使用本所交易终端进行到期续做申报的，交易终端将根据投资者填写的续做成交金额、回购期限、回购利率，结合本所交易日历自动计算参考到期结算日、参考实际占款天数、参考利息和参考购回交易金额，供投资者交易时参考，计算逻辑与初始交易</w:t>
      </w:r>
      <w:r>
        <w:rPr>
          <w:rFonts w:hint="eastAsia" w:ascii="仿宋" w:hAnsi="仿宋" w:eastAsia="仿宋"/>
          <w:sz w:val="32"/>
          <w:szCs w:val="32"/>
          <w:lang w:eastAsia="zh-CN"/>
        </w:rPr>
        <w:t>申报</w:t>
      </w:r>
      <w:r>
        <w:rPr>
          <w:rFonts w:hint="eastAsia" w:ascii="仿宋" w:hAnsi="仿宋" w:eastAsia="仿宋"/>
          <w:sz w:val="32"/>
          <w:szCs w:val="32"/>
        </w:rPr>
        <w:t>一致。</w:t>
      </w:r>
    </w:p>
    <w:p>
      <w:pPr>
        <w:pStyle w:val="4"/>
        <w:spacing w:before="0" w:after="0" w:line="560" w:lineRule="exact"/>
        <w:ind w:firstLine="640" w:firstLineChars="200"/>
        <w:jc w:val="both"/>
        <w:rPr>
          <w:rFonts w:ascii="黑体" w:hAnsi="黑体" w:eastAsia="黑体"/>
          <w:b w:val="0"/>
        </w:rPr>
      </w:pPr>
      <w:bookmarkStart w:id="90" w:name="_Toc661"/>
      <w:bookmarkStart w:id="91" w:name="_Toc23658"/>
      <w:bookmarkStart w:id="92" w:name="_Toc21809"/>
      <w:bookmarkStart w:id="93" w:name="_Toc122526347"/>
      <w:bookmarkStart w:id="94" w:name="_Toc513792067"/>
      <w:r>
        <w:rPr>
          <w:rFonts w:hint="eastAsia" w:ascii="黑体" w:hAnsi="黑体" w:eastAsia="黑体"/>
          <w:b w:val="0"/>
        </w:rPr>
        <w:t>四、结算</w:t>
      </w:r>
      <w:r>
        <w:rPr>
          <w:rFonts w:hint="eastAsia" w:ascii="黑体" w:hAnsi="黑体" w:eastAsia="黑体"/>
          <w:b w:val="0"/>
          <w:lang w:eastAsia="zh-CN"/>
        </w:rPr>
        <w:t>方式</w:t>
      </w:r>
      <w:r>
        <w:rPr>
          <w:rFonts w:hint="eastAsia" w:ascii="黑体" w:hAnsi="黑体" w:eastAsia="黑体"/>
          <w:b w:val="0"/>
        </w:rPr>
        <w:t>与用券效率</w:t>
      </w:r>
      <w:bookmarkEnd w:id="90"/>
      <w:bookmarkEnd w:id="91"/>
      <w:bookmarkEnd w:id="92"/>
      <w:bookmarkEnd w:id="93"/>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协议回购的初始交易、到期续做、提前购回和到期购回统一采用实时逐笔全额结算模式（即</w:t>
      </w:r>
      <w:r>
        <w:rPr>
          <w:rFonts w:ascii="仿宋" w:hAnsi="仿宋" w:eastAsia="仿宋"/>
          <w:color w:val="000000"/>
          <w:sz w:val="32"/>
          <w:szCs w:val="32"/>
        </w:rPr>
        <w:t>RTGS）</w:t>
      </w:r>
      <w:r>
        <w:rPr>
          <w:rFonts w:hint="eastAsia" w:ascii="仿宋" w:hAnsi="仿宋" w:eastAsia="仿宋"/>
          <w:color w:val="000000"/>
          <w:sz w:val="32"/>
          <w:szCs w:val="32"/>
        </w:rPr>
        <w:t>，</w:t>
      </w:r>
      <w:r>
        <w:rPr>
          <w:rFonts w:ascii="仿宋" w:hAnsi="仿宋" w:eastAsia="仿宋"/>
          <w:color w:val="000000"/>
          <w:sz w:val="32"/>
          <w:szCs w:val="32"/>
        </w:rPr>
        <w:t>日间未完成交收的自动转为日终逐笔全额非担保交收。</w:t>
      </w:r>
      <w:r>
        <w:rPr>
          <w:rFonts w:hint="eastAsia" w:ascii="仿宋" w:hAnsi="仿宋" w:eastAsia="仿宋"/>
          <w:color w:val="000000"/>
          <w:sz w:val="32"/>
          <w:szCs w:val="32"/>
          <w:lang w:eastAsia="zh-CN"/>
        </w:rPr>
        <w:t>协议回购各类交易指令的</w:t>
      </w:r>
      <w:r>
        <w:rPr>
          <w:rFonts w:hint="eastAsia" w:ascii="仿宋" w:hAnsi="仿宋" w:eastAsia="仿宋"/>
          <w:color w:val="000000"/>
          <w:sz w:val="32"/>
          <w:szCs w:val="32"/>
        </w:rPr>
        <w:t>具体</w:t>
      </w:r>
      <w:r>
        <w:rPr>
          <w:rFonts w:hint="eastAsia" w:ascii="仿宋" w:hAnsi="仿宋" w:eastAsia="仿宋"/>
          <w:color w:val="000000"/>
          <w:sz w:val="32"/>
          <w:szCs w:val="32"/>
          <w:lang w:eastAsia="zh-CN"/>
        </w:rPr>
        <w:t>清算交收</w:t>
      </w:r>
      <w:r>
        <w:rPr>
          <w:rFonts w:hint="eastAsia" w:ascii="仿宋" w:hAnsi="仿宋" w:eastAsia="仿宋"/>
          <w:color w:val="000000"/>
          <w:sz w:val="32"/>
          <w:szCs w:val="32"/>
        </w:rPr>
        <w:t>安排参见中国结算</w:t>
      </w:r>
      <w:r>
        <w:rPr>
          <w:rFonts w:hint="eastAsia" w:ascii="仿宋" w:hAnsi="仿宋" w:eastAsia="仿宋"/>
          <w:color w:val="000000"/>
          <w:sz w:val="32"/>
          <w:szCs w:val="32"/>
          <w:lang w:eastAsia="zh-CN"/>
        </w:rPr>
        <w:t>《中国证券登记结算有限责任公司深圳分公司债券质押式协议回购登记结算业务指南》</w:t>
      </w:r>
      <w:r>
        <w:rPr>
          <w:rFonts w:hint="eastAsia" w:ascii="仿宋" w:hAnsi="仿宋" w:eastAsia="仿宋"/>
          <w:color w:val="000000"/>
          <w:sz w:val="32"/>
          <w:szCs w:val="32"/>
        </w:rPr>
        <w:t>相关规定。</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s="方正仿宋简体"/>
          <w:sz w:val="32"/>
          <w:szCs w:val="32"/>
        </w:rPr>
        <w:t>当日买入的债券，</w:t>
      </w:r>
      <w:r>
        <w:rPr>
          <w:rFonts w:hint="eastAsia" w:ascii="仿宋" w:hAnsi="仿宋" w:eastAsia="仿宋"/>
          <w:sz w:val="32"/>
          <w:szCs w:val="32"/>
        </w:rPr>
        <w:t>采用逐笔全额结算方式的，当日完成交收后</w:t>
      </w:r>
      <w:r>
        <w:rPr>
          <w:rFonts w:hint="eastAsia" w:ascii="仿宋" w:hAnsi="仿宋" w:eastAsia="仿宋"/>
          <w:color w:val="000000"/>
          <w:sz w:val="32"/>
          <w:szCs w:val="32"/>
        </w:rPr>
        <w:t>可</w:t>
      </w:r>
      <w:r>
        <w:rPr>
          <w:rFonts w:hint="eastAsia" w:ascii="仿宋" w:hAnsi="仿宋" w:eastAsia="仿宋"/>
          <w:color w:val="000000"/>
          <w:sz w:val="32"/>
          <w:szCs w:val="32"/>
          <w:lang w:eastAsia="zh-CN"/>
        </w:rPr>
        <w:t>以</w:t>
      </w:r>
      <w:r>
        <w:rPr>
          <w:rFonts w:hint="eastAsia" w:ascii="仿宋" w:hAnsi="仿宋" w:eastAsia="仿宋"/>
          <w:color w:val="000000"/>
          <w:sz w:val="32"/>
          <w:szCs w:val="32"/>
        </w:rPr>
        <w:t>作为协议回购的质押券；采用多边净额结算方式的，</w:t>
      </w:r>
      <w:r>
        <w:rPr>
          <w:rFonts w:hint="eastAsia" w:ascii="仿宋" w:hAnsi="仿宋" w:eastAsia="仿宋"/>
          <w:color w:val="000000"/>
          <w:sz w:val="32"/>
          <w:szCs w:val="32"/>
          <w:lang w:eastAsia="zh-CN"/>
        </w:rPr>
        <w:t>次一交易日</w:t>
      </w:r>
      <w:r>
        <w:rPr>
          <w:rFonts w:hint="eastAsia" w:ascii="仿宋" w:hAnsi="仿宋" w:eastAsia="仿宋"/>
          <w:color w:val="000000"/>
          <w:sz w:val="32"/>
          <w:szCs w:val="32"/>
        </w:rPr>
        <w:t>方可作为协议回购的质押券。协议回购购回交易交收成功后，相应的质押券可以申报卖出。</w:t>
      </w:r>
    </w:p>
    <w:p>
      <w:pPr>
        <w:pStyle w:val="2"/>
        <w:rPr>
          <w:rFonts w:hint="eastAsia" w:ascii="仿宋" w:hAnsi="仿宋" w:eastAsia="仿宋"/>
          <w:b w:val="0"/>
          <w:bCs/>
          <w:color w:val="000000"/>
          <w:sz w:val="32"/>
          <w:szCs w:val="32"/>
          <w:lang w:val="en-US" w:eastAsia="zh-CN"/>
        </w:rPr>
      </w:pPr>
      <w:bookmarkStart w:id="95" w:name="_Toc20133"/>
      <w:bookmarkStart w:id="96" w:name="_Toc21661"/>
      <w:bookmarkStart w:id="97" w:name="_Toc26939"/>
      <w:bookmarkStart w:id="98" w:name="_Toc2671"/>
      <w:r>
        <w:rPr>
          <w:rFonts w:hint="eastAsia" w:ascii="仿宋" w:hAnsi="仿宋" w:eastAsia="仿宋"/>
          <w:b w:val="0"/>
          <w:bCs/>
          <w:color w:val="000000"/>
          <w:sz w:val="32"/>
          <w:szCs w:val="32"/>
          <w:lang w:eastAsia="zh-CN"/>
        </w:rPr>
        <w:t>当日买入的不动产基金</w:t>
      </w:r>
      <w:r>
        <w:rPr>
          <w:rFonts w:hint="eastAsia" w:ascii="仿宋" w:hAnsi="仿宋" w:eastAsia="仿宋"/>
          <w:b w:val="0"/>
          <w:bCs/>
          <w:color w:val="000000"/>
          <w:sz w:val="32"/>
          <w:szCs w:val="32"/>
          <w:lang w:val="en-US" w:eastAsia="zh-CN"/>
        </w:rPr>
        <w:t>份额，次一交易日可以作为协议回购的质押券。协议回购购回交易交收成功后，相应的不动产基金份额可以申报卖出。</w:t>
      </w:r>
      <w:bookmarkEnd w:id="95"/>
      <w:bookmarkEnd w:id="96"/>
      <w:bookmarkEnd w:id="97"/>
      <w:bookmarkEnd w:id="98"/>
    </w:p>
    <w:p>
      <w:pPr>
        <w:spacing w:line="56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当日以现金为对价申购的债券ETF份额，</w:t>
      </w:r>
      <w:r>
        <w:rPr>
          <w:rFonts w:hint="eastAsia" w:ascii="仿宋" w:hAnsi="仿宋" w:eastAsia="仿宋"/>
          <w:sz w:val="32"/>
          <w:szCs w:val="32"/>
        </w:rPr>
        <w:t>采用逐笔全额结算方式的</w:t>
      </w:r>
      <w:r>
        <w:rPr>
          <w:rFonts w:hint="eastAsia" w:ascii="仿宋" w:hAnsi="仿宋" w:eastAsia="仿宋"/>
          <w:color w:val="000000"/>
          <w:sz w:val="32"/>
          <w:szCs w:val="32"/>
          <w:lang w:val="en-US" w:eastAsia="zh-CN"/>
        </w:rPr>
        <w:t>，当日交收完成后当日可以作为协议回购的质押券；当日以组合证券为对价申购的债券ETF份额，次一交易日可以作为协议回购的质押券；当日买入的债券ETF份额，次一交易日可以作为协议回购的质押券；协议回购购回交易交收成功后，相应的债券ETF份额可以申报卖出和赎回。</w:t>
      </w:r>
    </w:p>
    <w:bookmarkEnd w:id="94"/>
    <w:p>
      <w:pPr>
        <w:pStyle w:val="4"/>
        <w:spacing w:before="0" w:after="0" w:line="560" w:lineRule="exact"/>
        <w:ind w:firstLine="640" w:firstLineChars="200"/>
        <w:jc w:val="both"/>
      </w:pPr>
      <w:bookmarkStart w:id="99" w:name="_Toc15307"/>
      <w:bookmarkStart w:id="100" w:name="_Toc122526348"/>
      <w:bookmarkStart w:id="101" w:name="_Toc15943"/>
      <w:bookmarkStart w:id="102" w:name="_Toc17590"/>
      <w:r>
        <w:rPr>
          <w:rFonts w:hint="eastAsia" w:ascii="黑体" w:hAnsi="黑体" w:eastAsia="黑体"/>
          <w:b w:val="0"/>
        </w:rPr>
        <w:t>五、质押券孳息及相关权利行使安排</w:t>
      </w:r>
      <w:bookmarkEnd w:id="99"/>
      <w:bookmarkEnd w:id="100"/>
      <w:bookmarkEnd w:id="101"/>
      <w:bookmarkEnd w:id="102"/>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协议回购质押券在质押登记期间，</w:t>
      </w:r>
      <w:r>
        <w:rPr>
          <w:rFonts w:hint="eastAsia" w:ascii="仿宋" w:hAnsi="仿宋" w:eastAsia="仿宋" w:cs="方正仿宋简体"/>
          <w:sz w:val="32"/>
          <w:szCs w:val="32"/>
        </w:rPr>
        <w:t>质押债券发生付息、分期偿还、提前赎回、到期兑付</w:t>
      </w:r>
      <w:r>
        <w:rPr>
          <w:rFonts w:hint="eastAsia" w:ascii="仿宋" w:hAnsi="仿宋" w:eastAsia="仿宋" w:cs="方正仿宋简体"/>
          <w:sz w:val="32"/>
          <w:szCs w:val="32"/>
          <w:lang w:eastAsia="zh-CN"/>
        </w:rPr>
        <w:t>或者质押债券</w:t>
      </w:r>
      <w:r>
        <w:rPr>
          <w:rFonts w:hint="eastAsia" w:ascii="仿宋" w:hAnsi="仿宋" w:eastAsia="仿宋" w:cs="方正仿宋简体"/>
          <w:sz w:val="32"/>
          <w:szCs w:val="32"/>
          <w:lang w:val="en-US" w:eastAsia="zh-CN"/>
        </w:rPr>
        <w:t>ETF发生</w:t>
      </w:r>
      <w:r>
        <w:rPr>
          <w:rFonts w:hint="eastAsia" w:ascii="仿宋" w:hAnsi="仿宋" w:eastAsia="仿宋" w:cs="方正仿宋简体"/>
          <w:sz w:val="32"/>
          <w:szCs w:val="32"/>
          <w:lang w:eastAsia="zh-CN"/>
        </w:rPr>
        <w:t>分红、清盘</w:t>
      </w:r>
      <w:r>
        <w:rPr>
          <w:rFonts w:hint="eastAsia" w:ascii="仿宋" w:hAnsi="仿宋" w:eastAsia="仿宋" w:cs="方正仿宋简体"/>
          <w:sz w:val="32"/>
          <w:szCs w:val="32"/>
        </w:rPr>
        <w:t>等情形的，相关资金作为质押财产，除回购双方另有约定外，待</w:t>
      </w:r>
      <w:r>
        <w:rPr>
          <w:rFonts w:hint="eastAsia" w:ascii="仿宋" w:hAnsi="仿宋" w:eastAsia="仿宋" w:cs="方正仿宋简体"/>
          <w:sz w:val="32"/>
          <w:szCs w:val="32"/>
          <w:lang w:eastAsia="zh-CN"/>
        </w:rPr>
        <w:t>质押券</w:t>
      </w:r>
      <w:r>
        <w:rPr>
          <w:rFonts w:hint="eastAsia" w:ascii="仿宋" w:hAnsi="仿宋" w:eastAsia="仿宋" w:cs="方正仿宋简体"/>
          <w:sz w:val="32"/>
          <w:szCs w:val="32"/>
        </w:rPr>
        <w:t>解除质押登记后方可提取</w:t>
      </w:r>
      <w:r>
        <w:rPr>
          <w:rFonts w:hint="eastAsia" w:ascii="仿宋" w:hAnsi="仿宋" w:eastAsia="仿宋"/>
          <w:color w:val="000000"/>
          <w:sz w:val="32"/>
          <w:szCs w:val="32"/>
        </w:rPr>
        <w:t>。回购双方协商一致的，可</w:t>
      </w:r>
      <w:r>
        <w:rPr>
          <w:rFonts w:hint="eastAsia" w:ascii="仿宋" w:hAnsi="仿宋" w:eastAsia="仿宋"/>
          <w:color w:val="000000"/>
          <w:sz w:val="32"/>
          <w:szCs w:val="32"/>
          <w:lang w:eastAsia="zh-CN"/>
        </w:rPr>
        <w:t>以</w:t>
      </w:r>
      <w:r>
        <w:rPr>
          <w:rFonts w:hint="eastAsia" w:ascii="仿宋" w:hAnsi="仿宋" w:eastAsia="仿宋"/>
          <w:color w:val="000000"/>
          <w:sz w:val="32"/>
          <w:szCs w:val="32"/>
        </w:rPr>
        <w:t>提交质押券变更申报换出上述现金质押物。</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质押</w:t>
      </w:r>
      <w:r>
        <w:rPr>
          <w:rFonts w:hint="eastAsia" w:ascii="仿宋" w:hAnsi="仿宋" w:eastAsia="仿宋" w:cs="Times New Roman"/>
          <w:sz w:val="32"/>
          <w:szCs w:val="32"/>
          <w:lang w:eastAsia="zh-CN"/>
        </w:rPr>
        <w:t>债券</w:t>
      </w:r>
      <w:r>
        <w:rPr>
          <w:rFonts w:hint="eastAsia" w:ascii="仿宋" w:hAnsi="仿宋" w:eastAsia="仿宋" w:cs="Times New Roman"/>
          <w:sz w:val="32"/>
          <w:szCs w:val="32"/>
        </w:rPr>
        <w:t>含回售、转股、换股等条款的，</w:t>
      </w:r>
      <w:r>
        <w:rPr>
          <w:rFonts w:hint="eastAsia" w:ascii="仿宋" w:hAnsi="仿宋" w:eastAsia="仿宋"/>
          <w:color w:val="000000"/>
          <w:sz w:val="32"/>
          <w:szCs w:val="32"/>
        </w:rPr>
        <w:t>债券在质押登记期间，正回购方不得行使</w:t>
      </w:r>
      <w:r>
        <w:rPr>
          <w:rFonts w:hint="eastAsia" w:ascii="仿宋" w:hAnsi="仿宋" w:eastAsia="仿宋" w:cs="Times New Roman"/>
          <w:sz w:val="32"/>
          <w:szCs w:val="32"/>
        </w:rPr>
        <w:t>回售、转股、换股等权利</w:t>
      </w:r>
      <w:r>
        <w:rPr>
          <w:rFonts w:hint="eastAsia" w:ascii="仿宋" w:hAnsi="仿宋" w:eastAsia="仿宋"/>
          <w:color w:val="000000"/>
          <w:sz w:val="32"/>
          <w:szCs w:val="32"/>
        </w:rPr>
        <w:t>。</w:t>
      </w:r>
      <w:r>
        <w:rPr>
          <w:rFonts w:hint="eastAsia" w:ascii="仿宋" w:hAnsi="仿宋" w:eastAsia="仿宋" w:cs="Times New Roman"/>
          <w:sz w:val="32"/>
          <w:szCs w:val="32"/>
        </w:rPr>
        <w:t>正回购方如需行使回售、转股、换股等权利的，须与逆回购方协商一致，将质押券解除质押后再行使相关权利。</w:t>
      </w:r>
    </w:p>
    <w:p>
      <w:pPr>
        <w:spacing w:line="560" w:lineRule="exact"/>
        <w:ind w:firstLine="640" w:firstLineChars="200"/>
        <w:rPr>
          <w:rFonts w:hint="eastAsia" w:ascii="仿宋" w:hAnsi="仿宋" w:eastAsia="仿宋" w:cs="方正仿宋简体"/>
          <w:sz w:val="32"/>
          <w:szCs w:val="32"/>
        </w:rPr>
      </w:pPr>
      <w:r>
        <w:rPr>
          <w:rFonts w:hint="eastAsia" w:ascii="仿宋" w:hAnsi="仿宋" w:eastAsia="仿宋" w:cs="方正仿宋简体"/>
          <w:sz w:val="32"/>
          <w:szCs w:val="32"/>
        </w:rPr>
        <w:t>正回购方作为债券持有人享有出席债券持有人大会、提案、表决、追索等权利</w:t>
      </w:r>
      <w:r>
        <w:rPr>
          <w:rFonts w:hint="eastAsia" w:ascii="仿宋" w:hAnsi="仿宋" w:eastAsia="仿宋" w:cs="方正仿宋简体"/>
          <w:sz w:val="32"/>
          <w:szCs w:val="32"/>
          <w:lang w:eastAsia="zh-CN"/>
        </w:rPr>
        <w:t>。</w:t>
      </w:r>
      <w:r>
        <w:rPr>
          <w:rFonts w:hint="eastAsia" w:ascii="仿宋" w:hAnsi="仿宋" w:eastAsia="仿宋" w:cs="方正仿宋简体"/>
          <w:sz w:val="32"/>
          <w:szCs w:val="32"/>
        </w:rPr>
        <w:t>正回购方</w:t>
      </w:r>
      <w:r>
        <w:rPr>
          <w:rFonts w:hint="eastAsia" w:ascii="仿宋" w:hAnsi="仿宋" w:eastAsia="仿宋" w:cs="方正仿宋简体"/>
          <w:sz w:val="32"/>
          <w:szCs w:val="32"/>
          <w:lang w:eastAsia="zh-CN"/>
        </w:rPr>
        <w:t>作为债券</w:t>
      </w:r>
      <w:r>
        <w:rPr>
          <w:rFonts w:hint="eastAsia" w:ascii="仿宋" w:hAnsi="仿宋" w:eastAsia="仿宋" w:cs="方正仿宋简体"/>
          <w:sz w:val="32"/>
          <w:szCs w:val="32"/>
          <w:lang w:val="en-US" w:eastAsia="zh-CN"/>
        </w:rPr>
        <w:t>ETF持有人享有出席基金份额持有人大会行使表决权、提起诉讼等权利</w:t>
      </w:r>
      <w:r>
        <w:rPr>
          <w:rFonts w:hint="eastAsia" w:ascii="仿宋" w:hAnsi="仿宋" w:eastAsia="仿宋" w:cs="方正仿宋简体"/>
          <w:sz w:val="32"/>
          <w:szCs w:val="32"/>
        </w:rPr>
        <w:t>。</w:t>
      </w:r>
    </w:p>
    <w:p>
      <w:pPr>
        <w:pStyle w:val="2"/>
        <w:outlineLvl w:val="9"/>
      </w:pPr>
    </w:p>
    <w:p>
      <w:pPr>
        <w:pStyle w:val="3"/>
        <w:spacing w:before="120" w:after="120"/>
        <w:jc w:val="center"/>
        <w:rPr>
          <w:rFonts w:hint="eastAsia" w:ascii="黑体" w:hAnsi="黑体" w:eastAsia="黑体" w:cs="黑体"/>
          <w:b w:val="0"/>
          <w:bCs/>
          <w:kern w:val="2"/>
          <w:sz w:val="32"/>
          <w:szCs w:val="32"/>
        </w:rPr>
      </w:pPr>
      <w:bookmarkStart w:id="103" w:name="_Toc122526349"/>
      <w:bookmarkStart w:id="104" w:name="_Toc70597849"/>
      <w:bookmarkStart w:id="105" w:name="_Toc19714"/>
      <w:bookmarkStart w:id="106" w:name="_Toc26123"/>
      <w:bookmarkStart w:id="107" w:name="_Toc1854"/>
      <w:r>
        <w:rPr>
          <w:rFonts w:hint="eastAsia" w:ascii="黑体" w:hAnsi="黑体" w:eastAsia="黑体" w:cs="黑体"/>
          <w:b w:val="0"/>
          <w:bCs/>
          <w:kern w:val="2"/>
          <w:sz w:val="32"/>
          <w:szCs w:val="32"/>
        </w:rPr>
        <w:t>第三章</w:t>
      </w:r>
      <w:r>
        <w:rPr>
          <w:rFonts w:hint="eastAsia" w:ascii="黑体" w:hAnsi="黑体" w:eastAsia="黑体" w:cs="黑体"/>
          <w:b w:val="0"/>
          <w:bCs/>
          <w:kern w:val="2"/>
          <w:sz w:val="32"/>
          <w:szCs w:val="32"/>
          <w:lang w:val="en-US" w:eastAsia="zh-CN"/>
        </w:rPr>
        <w:t xml:space="preserve"> </w:t>
      </w:r>
      <w:r>
        <w:rPr>
          <w:rFonts w:hint="eastAsia" w:ascii="黑体" w:hAnsi="黑体" w:eastAsia="黑体" w:cs="黑体"/>
          <w:b w:val="0"/>
          <w:bCs/>
          <w:kern w:val="2"/>
          <w:sz w:val="32"/>
          <w:szCs w:val="32"/>
        </w:rPr>
        <w:t>风险控制和处置安排</w:t>
      </w:r>
      <w:bookmarkEnd w:id="103"/>
      <w:bookmarkEnd w:id="104"/>
      <w:bookmarkEnd w:id="105"/>
      <w:bookmarkEnd w:id="106"/>
      <w:bookmarkEnd w:id="107"/>
    </w:p>
    <w:p>
      <w:pPr>
        <w:pStyle w:val="4"/>
        <w:spacing w:before="0" w:after="0" w:line="560" w:lineRule="exact"/>
        <w:ind w:firstLine="704" w:firstLineChars="220"/>
        <w:jc w:val="both"/>
        <w:rPr>
          <w:rFonts w:ascii="黑体" w:hAnsi="黑体" w:eastAsia="黑体" w:cstheme="minorBidi"/>
          <w:b w:val="0"/>
          <w:bCs w:val="0"/>
        </w:rPr>
      </w:pPr>
      <w:bookmarkStart w:id="108" w:name="_Toc24722"/>
      <w:bookmarkStart w:id="109" w:name="_Toc20756"/>
      <w:bookmarkStart w:id="110" w:name="_Toc14078"/>
      <w:bookmarkStart w:id="111" w:name="_Toc122526350"/>
      <w:r>
        <w:rPr>
          <w:rFonts w:hint="eastAsia" w:ascii="黑体" w:hAnsi="黑体" w:eastAsia="黑体" w:cstheme="minorBidi"/>
          <w:b w:val="0"/>
          <w:bCs w:val="0"/>
        </w:rPr>
        <w:t>一、风险控制安排</w:t>
      </w:r>
      <w:bookmarkEnd w:id="108"/>
      <w:bookmarkEnd w:id="109"/>
      <w:bookmarkEnd w:id="110"/>
      <w:bookmarkEnd w:id="111"/>
    </w:p>
    <w:p>
      <w:pPr>
        <w:spacing w:line="560" w:lineRule="exact"/>
        <w:ind w:firstLine="643" w:firstLineChars="200"/>
        <w:outlineLvl w:val="2"/>
        <w:rPr>
          <w:rFonts w:ascii="楷体" w:hAnsi="楷体" w:eastAsia="楷体"/>
          <w:b/>
          <w:sz w:val="32"/>
          <w:szCs w:val="32"/>
        </w:rPr>
      </w:pPr>
      <w:bookmarkStart w:id="112" w:name="_Toc29955"/>
      <w:bookmarkStart w:id="113" w:name="_Toc31412"/>
      <w:bookmarkStart w:id="114" w:name="_Toc122526351"/>
      <w:bookmarkStart w:id="115" w:name="_Toc4236"/>
      <w:r>
        <w:rPr>
          <w:rFonts w:hint="eastAsia" w:ascii="楷体" w:hAnsi="楷体" w:eastAsia="楷体"/>
          <w:b/>
          <w:sz w:val="32"/>
          <w:szCs w:val="32"/>
        </w:rPr>
        <w:t>（一）参与机构风险控制管理要求</w:t>
      </w:r>
      <w:bookmarkEnd w:id="112"/>
      <w:bookmarkEnd w:id="113"/>
      <w:bookmarkEnd w:id="114"/>
      <w:bookmarkEnd w:id="115"/>
    </w:p>
    <w:p>
      <w:pPr>
        <w:pStyle w:val="27"/>
        <w:spacing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协议回购参与机构（即直接拥有或者租用本所交易单元的机构、经纪业务下的证券公司等）应当按照中国证监会、自律组织的有关规定以及《风控指引》的相关要求，加强对自身以及客户的协议回购交易风险管理，建立健全内部风险控制机制，将协议回购交易风险管理纳入本机构风险管理的总体框架中，建立健全协议回购交易风险管理制度。</w:t>
      </w:r>
    </w:p>
    <w:p>
      <w:pPr>
        <w:spacing w:line="560" w:lineRule="exact"/>
        <w:ind w:firstLine="643" w:firstLineChars="200"/>
        <w:outlineLvl w:val="2"/>
        <w:rPr>
          <w:rFonts w:ascii="仿宋" w:hAnsi="仿宋" w:eastAsia="仿宋"/>
          <w:sz w:val="32"/>
          <w:szCs w:val="32"/>
        </w:rPr>
      </w:pPr>
      <w:bookmarkStart w:id="116" w:name="_Toc717"/>
      <w:bookmarkStart w:id="117" w:name="_Toc31045"/>
      <w:bookmarkStart w:id="118" w:name="_Toc122526352"/>
      <w:bookmarkStart w:id="119" w:name="_Toc1372"/>
      <w:r>
        <w:rPr>
          <w:rFonts w:hint="eastAsia" w:ascii="楷体" w:hAnsi="楷体" w:eastAsia="楷体"/>
          <w:b/>
          <w:sz w:val="32"/>
          <w:szCs w:val="32"/>
        </w:rPr>
        <w:t>（二）</w:t>
      </w:r>
      <w:r>
        <w:rPr>
          <w:rFonts w:hint="eastAsia" w:ascii="楷体" w:hAnsi="楷体" w:eastAsia="楷体"/>
          <w:b/>
          <w:sz w:val="32"/>
          <w:szCs w:val="32"/>
          <w:lang w:eastAsia="zh-CN"/>
        </w:rPr>
        <w:t>融资主体</w:t>
      </w:r>
      <w:r>
        <w:rPr>
          <w:rFonts w:hint="eastAsia" w:ascii="楷体" w:hAnsi="楷体" w:eastAsia="楷体"/>
          <w:b/>
          <w:sz w:val="32"/>
          <w:szCs w:val="32"/>
        </w:rPr>
        <w:t>数据报送机制</w:t>
      </w:r>
      <w:bookmarkEnd w:id="116"/>
      <w:bookmarkEnd w:id="117"/>
      <w:bookmarkEnd w:id="118"/>
      <w:bookmarkEnd w:id="119"/>
    </w:p>
    <w:p>
      <w:pPr>
        <w:pStyle w:val="47"/>
        <w:adjustRightInd w:val="0"/>
        <w:snapToGrid w:val="0"/>
        <w:spacing w:line="560" w:lineRule="exact"/>
        <w:ind w:firstLine="600"/>
        <w:jc w:val="both"/>
        <w:rPr>
          <w:rFonts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根据《风控指引》要求，参与机构应当加强对协议回购正回购方信用风险的监测与评估，定期将融资主体相关数据指标报送本所。证券公司应当履行其经纪客户相关数据报送义务；托管人应当履行其托管客户相关数据报送义务。</w:t>
      </w:r>
    </w:p>
    <w:p>
      <w:pPr>
        <w:pStyle w:val="27"/>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数据报送频率为每月一次。</w:t>
      </w:r>
      <w:r>
        <w:rPr>
          <w:rFonts w:hint="eastAsia" w:ascii="仿宋" w:hAnsi="仿宋" w:eastAsia="仿宋" w:cs="Times New Roman"/>
          <w:bCs/>
          <w:sz w:val="32"/>
          <w:szCs w:val="32"/>
        </w:rPr>
        <w:t>数据报送范围为月末协议回购未到期余额不为零的回购融资主体。</w:t>
      </w:r>
      <w:r>
        <w:rPr>
          <w:rFonts w:hint="eastAsia" w:ascii="仿宋" w:hAnsi="仿宋" w:eastAsia="仿宋" w:cs="Times New Roman"/>
          <w:sz w:val="32"/>
          <w:szCs w:val="32"/>
        </w:rPr>
        <w:t>数据报送格式适用《中国证券登记结算有限责任公司、上海证券交易所、深圳证券交易所债券质押式回购融资主体数据报送报表》中协议回购相关内容。数据报送途经与债券通用质押式回购数据报送途径一致，即通过</w:t>
      </w:r>
      <w:r>
        <w:rPr>
          <w:rFonts w:hint="eastAsia" w:ascii="仿宋" w:hAnsi="仿宋" w:eastAsia="仿宋" w:cs="Times New Roman"/>
          <w:sz w:val="32"/>
          <w:szCs w:val="32"/>
          <w:lang w:eastAsia="zh-CN"/>
        </w:rPr>
        <w:t>上海证券交易所</w:t>
      </w:r>
      <w:r>
        <w:rPr>
          <w:rFonts w:hint="eastAsia" w:ascii="仿宋" w:hAnsi="仿宋" w:eastAsia="仿宋" w:cs="Times New Roman"/>
          <w:sz w:val="32"/>
          <w:szCs w:val="32"/>
        </w:rPr>
        <w:t>“债券回购融资主体数据报送系统”报送，本所与</w:t>
      </w:r>
      <w:r>
        <w:rPr>
          <w:rFonts w:hint="eastAsia" w:ascii="仿宋" w:hAnsi="仿宋" w:eastAsia="仿宋" w:cs="Times New Roman"/>
          <w:sz w:val="32"/>
          <w:szCs w:val="32"/>
          <w:lang w:eastAsia="zh-CN"/>
        </w:rPr>
        <w:t>上海证券交易所</w:t>
      </w:r>
      <w:r>
        <w:rPr>
          <w:rFonts w:hint="eastAsia" w:ascii="仿宋" w:hAnsi="仿宋" w:eastAsia="仿宋" w:cs="Times New Roman"/>
          <w:sz w:val="32"/>
          <w:szCs w:val="32"/>
        </w:rPr>
        <w:t>共享相关数据。</w:t>
      </w:r>
    </w:p>
    <w:p>
      <w:pPr>
        <w:spacing w:line="560" w:lineRule="exact"/>
        <w:ind w:firstLine="643"/>
        <w:outlineLvl w:val="2"/>
        <w:rPr>
          <w:rFonts w:ascii="楷体" w:hAnsi="楷体" w:eastAsia="楷体"/>
          <w:b/>
          <w:sz w:val="32"/>
          <w:szCs w:val="32"/>
        </w:rPr>
      </w:pPr>
      <w:bookmarkStart w:id="120" w:name="_Toc7915"/>
      <w:bookmarkStart w:id="121" w:name="_Toc14331"/>
      <w:bookmarkStart w:id="122" w:name="_Toc32444"/>
      <w:r>
        <w:rPr>
          <w:rFonts w:hint="eastAsia" w:ascii="楷体" w:hAnsi="楷体" w:eastAsia="楷体"/>
          <w:b/>
          <w:sz w:val="32"/>
          <w:szCs w:val="32"/>
        </w:rPr>
        <w:t>（三）业务联络人机制</w:t>
      </w:r>
      <w:bookmarkEnd w:id="120"/>
      <w:bookmarkEnd w:id="121"/>
      <w:bookmarkEnd w:id="122"/>
    </w:p>
    <w:p>
      <w:pPr>
        <w:pStyle w:val="27"/>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参与机构应当至少指派一名协议回购业务联络人，代表其与本所进行业务联系。参与机构同时开展自营、经纪或者资管业务参与协议回购交易的，可以指派同一业务联络人。参与机构指定或者变更业务联络人的，应将机构名称、联络人姓名、</w:t>
      </w:r>
      <w:r>
        <w:rPr>
          <w:rFonts w:hint="eastAsia" w:ascii="仿宋" w:hAnsi="仿宋" w:eastAsia="仿宋" w:cs="Times New Roman"/>
          <w:sz w:val="32"/>
          <w:szCs w:val="32"/>
          <w:lang w:eastAsia="zh-CN"/>
        </w:rPr>
        <w:t>所在</w:t>
      </w:r>
      <w:r>
        <w:rPr>
          <w:rFonts w:hint="eastAsia" w:ascii="仿宋" w:hAnsi="仿宋" w:eastAsia="仿宋" w:cs="Times New Roman"/>
          <w:sz w:val="32"/>
          <w:szCs w:val="32"/>
        </w:rPr>
        <w:t>部门及职务、联系电话、手机号和电子邮箱发送至本所邮箱</w:t>
      </w:r>
      <w:r>
        <w:rPr>
          <w:rFonts w:ascii="仿宋" w:hAnsi="仿宋" w:eastAsia="仿宋" w:cs="Times New Roman"/>
          <w:sz w:val="32"/>
          <w:szCs w:val="32"/>
        </w:rPr>
        <w:t>szsebond@szse.cn</w:t>
      </w:r>
      <w:r>
        <w:rPr>
          <w:rFonts w:hint="eastAsia" w:ascii="仿宋" w:hAnsi="仿宋" w:eastAsia="仿宋" w:cs="Times New Roman"/>
          <w:sz w:val="32"/>
          <w:szCs w:val="32"/>
        </w:rPr>
        <w:t>。</w:t>
      </w:r>
    </w:p>
    <w:p>
      <w:pPr>
        <w:pStyle w:val="4"/>
        <w:spacing w:before="0" w:after="0" w:line="560" w:lineRule="exact"/>
        <w:ind w:firstLine="704" w:firstLineChars="220"/>
        <w:jc w:val="both"/>
        <w:rPr>
          <w:rFonts w:ascii="黑体" w:hAnsi="黑体" w:eastAsia="黑体" w:cstheme="minorBidi"/>
          <w:b w:val="0"/>
          <w:bCs w:val="0"/>
        </w:rPr>
      </w:pPr>
      <w:bookmarkStart w:id="123" w:name="_Toc122526353"/>
      <w:bookmarkStart w:id="124" w:name="_Toc4115"/>
      <w:bookmarkStart w:id="125" w:name="_Toc11466"/>
      <w:bookmarkStart w:id="126" w:name="_Toc17822"/>
      <w:r>
        <w:rPr>
          <w:rFonts w:hint="eastAsia" w:ascii="黑体" w:hAnsi="黑体" w:eastAsia="黑体" w:cstheme="minorBidi"/>
          <w:b w:val="0"/>
          <w:bCs w:val="0"/>
        </w:rPr>
        <w:t>二、风险处置安排</w:t>
      </w:r>
      <w:bookmarkEnd w:id="123"/>
      <w:bookmarkEnd w:id="124"/>
      <w:bookmarkEnd w:id="125"/>
      <w:bookmarkEnd w:id="126"/>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协议回购发生违约</w:t>
      </w:r>
      <w:r>
        <w:rPr>
          <w:rFonts w:hint="eastAsia" w:ascii="仿宋" w:hAnsi="仿宋" w:eastAsia="仿宋" w:cs="Times New Roman"/>
          <w:sz w:val="32"/>
          <w:szCs w:val="32"/>
          <w:lang w:eastAsia="zh-CN"/>
        </w:rPr>
        <w:t>的</w:t>
      </w:r>
      <w:r>
        <w:rPr>
          <w:rFonts w:hint="eastAsia" w:ascii="仿宋" w:hAnsi="仿宋" w:eastAsia="仿宋" w:cs="Times New Roman"/>
          <w:sz w:val="32"/>
          <w:szCs w:val="32"/>
        </w:rPr>
        <w:t>，回购双方应当协商解决，守约方有权要求违约方继续履行回购协议，也有权终止回购协议，并可</w:t>
      </w:r>
      <w:r>
        <w:rPr>
          <w:rFonts w:hint="eastAsia" w:ascii="仿宋" w:hAnsi="仿宋" w:eastAsia="仿宋" w:cs="Times New Roman"/>
          <w:sz w:val="32"/>
          <w:szCs w:val="32"/>
          <w:lang w:eastAsia="zh-CN"/>
        </w:rPr>
        <w:t>以</w:t>
      </w:r>
      <w:r>
        <w:rPr>
          <w:rFonts w:hint="eastAsia" w:ascii="仿宋" w:hAnsi="仿宋" w:eastAsia="仿宋" w:cs="Times New Roman"/>
          <w:sz w:val="32"/>
          <w:szCs w:val="32"/>
        </w:rPr>
        <w:t>要求违约方根据《办法》、主协议</w:t>
      </w:r>
      <w:r>
        <w:rPr>
          <w:rFonts w:hint="eastAsia" w:ascii="仿宋" w:hAnsi="仿宋" w:eastAsia="仿宋" w:cs="Times New Roman"/>
          <w:sz w:val="32"/>
          <w:szCs w:val="32"/>
          <w:lang w:eastAsia="zh-CN"/>
        </w:rPr>
        <w:t>、</w:t>
      </w:r>
      <w:r>
        <w:rPr>
          <w:rFonts w:hint="eastAsia" w:ascii="仿宋" w:hAnsi="仿宋" w:eastAsia="仿宋" w:cs="Times New Roman"/>
          <w:sz w:val="32"/>
          <w:szCs w:val="32"/>
        </w:rPr>
        <w:t>补充协议</w:t>
      </w:r>
      <w:r>
        <w:rPr>
          <w:rFonts w:hint="eastAsia" w:ascii="仿宋" w:hAnsi="仿宋" w:eastAsia="仿宋" w:cs="Times New Roman"/>
          <w:sz w:val="32"/>
          <w:szCs w:val="32"/>
          <w:lang w:eastAsia="zh-CN"/>
        </w:rPr>
        <w:t>和交易补充约定</w:t>
      </w:r>
      <w:r>
        <w:rPr>
          <w:rFonts w:hint="eastAsia" w:ascii="仿宋" w:hAnsi="仿宋" w:eastAsia="仿宋" w:cs="Times New Roman"/>
          <w:sz w:val="32"/>
          <w:szCs w:val="32"/>
        </w:rPr>
        <w:t>等，采取收取补息、罚息等方式进行赔偿。</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投资者应当及时向本所报备违约情况。回购双方对质押券处置达成一致的，可</w:t>
      </w:r>
      <w:r>
        <w:rPr>
          <w:rFonts w:hint="eastAsia" w:ascii="仿宋" w:hAnsi="仿宋" w:eastAsia="仿宋" w:cs="Times New Roman"/>
          <w:sz w:val="32"/>
          <w:szCs w:val="32"/>
          <w:lang w:eastAsia="zh-CN"/>
        </w:rPr>
        <w:t>以</w:t>
      </w:r>
      <w:r>
        <w:rPr>
          <w:rFonts w:hint="eastAsia" w:ascii="仿宋" w:hAnsi="仿宋" w:eastAsia="仿宋" w:cs="Times New Roman"/>
          <w:sz w:val="32"/>
          <w:szCs w:val="32"/>
        </w:rPr>
        <w:t>向本所申报解除相应的质押券质押、进行质押券处置过户或者本所认可的其他方式进行处理</w:t>
      </w:r>
      <w:r>
        <w:rPr>
          <w:rFonts w:ascii="仿宋" w:hAnsi="仿宋" w:eastAsia="仿宋" w:cs="Times New Roman"/>
          <w:sz w:val="32"/>
          <w:szCs w:val="32"/>
        </w:rPr>
        <w:t>。</w:t>
      </w:r>
      <w:r>
        <w:rPr>
          <w:rFonts w:hint="eastAsia" w:ascii="仿宋" w:hAnsi="仿宋" w:eastAsia="仿宋" w:cs="Times New Roman"/>
          <w:sz w:val="32"/>
          <w:szCs w:val="32"/>
        </w:rPr>
        <w:t>回购双方经协商无法达成一致的，可以采取仲裁、诉讼等违约救济方式</w:t>
      </w:r>
      <w:r>
        <w:rPr>
          <w:rFonts w:ascii="仿宋" w:hAnsi="仿宋" w:eastAsia="仿宋" w:cs="Times New Roman"/>
          <w:sz w:val="32"/>
          <w:szCs w:val="32"/>
        </w:rPr>
        <w:t>。</w:t>
      </w:r>
      <w:r>
        <w:rPr>
          <w:rFonts w:hint="eastAsia" w:ascii="仿宋" w:hAnsi="仿宋" w:eastAsia="仿宋" w:cs="方正仿宋简体"/>
          <w:sz w:val="32"/>
          <w:szCs w:val="32"/>
        </w:rPr>
        <w:t>未能及时消除违约后果的，本所可以通过在市场参与主体之间公开违约信息等方式提示交易风险。</w:t>
      </w:r>
    </w:p>
    <w:p>
      <w:pPr>
        <w:spacing w:line="560" w:lineRule="exact"/>
        <w:ind w:firstLine="643" w:firstLineChars="200"/>
        <w:outlineLvl w:val="2"/>
        <w:rPr>
          <w:rFonts w:ascii="楷体" w:hAnsi="楷体" w:eastAsia="楷体"/>
          <w:b/>
          <w:sz w:val="32"/>
          <w:szCs w:val="32"/>
        </w:rPr>
      </w:pPr>
      <w:bookmarkStart w:id="127" w:name="_Toc122526354"/>
      <w:bookmarkStart w:id="128" w:name="_Toc11652"/>
      <w:bookmarkStart w:id="129" w:name="_Toc23304"/>
      <w:bookmarkStart w:id="130" w:name="_Toc9553"/>
      <w:r>
        <w:rPr>
          <w:rFonts w:hint="eastAsia" w:ascii="楷体" w:hAnsi="楷体" w:eastAsia="楷体"/>
          <w:b/>
          <w:sz w:val="32"/>
          <w:szCs w:val="32"/>
        </w:rPr>
        <w:t>（一）违约报备</w:t>
      </w:r>
      <w:bookmarkEnd w:id="127"/>
      <w:bookmarkEnd w:id="128"/>
      <w:bookmarkEnd w:id="129"/>
      <w:bookmarkEnd w:id="130"/>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参与机构发现正回购方可能出现违约或者已发生违约且无法偿还等情形的，应</w:t>
      </w:r>
      <w:r>
        <w:rPr>
          <w:rFonts w:hint="eastAsia" w:ascii="仿宋" w:hAnsi="仿宋" w:eastAsia="仿宋" w:cs="Times New Roman"/>
          <w:sz w:val="32"/>
          <w:szCs w:val="32"/>
          <w:lang w:eastAsia="zh-CN"/>
        </w:rPr>
        <w:t>当</w:t>
      </w:r>
      <w:r>
        <w:rPr>
          <w:rFonts w:hint="eastAsia" w:ascii="仿宋" w:hAnsi="仿宋" w:eastAsia="仿宋" w:cs="Times New Roman"/>
          <w:sz w:val="32"/>
          <w:szCs w:val="32"/>
        </w:rPr>
        <w:t>在事件发生之日起</w:t>
      </w:r>
      <w:r>
        <w:rPr>
          <w:rFonts w:ascii="仿宋" w:hAnsi="仿宋" w:eastAsia="仿宋" w:cs="Times New Roman"/>
          <w:sz w:val="32"/>
          <w:szCs w:val="32"/>
        </w:rPr>
        <w:t>3个交易日</w:t>
      </w:r>
      <w:r>
        <w:rPr>
          <w:rFonts w:hint="eastAsia" w:ascii="仿宋" w:hAnsi="仿宋" w:eastAsia="仿宋" w:cs="Times New Roman"/>
          <w:sz w:val="32"/>
          <w:szCs w:val="32"/>
        </w:rPr>
        <w:t>内通过邮件向本所报备相关情况及后续处理安排。本所接收邮箱为</w:t>
      </w:r>
      <w:r>
        <w:rPr>
          <w:rFonts w:ascii="仿宋" w:hAnsi="仿宋" w:eastAsia="仿宋" w:cs="Times New Roman"/>
          <w:sz w:val="32"/>
          <w:szCs w:val="32"/>
        </w:rPr>
        <w:t>szsebond@szse.cn</w:t>
      </w:r>
      <w:r>
        <w:rPr>
          <w:rFonts w:hint="eastAsia" w:ascii="仿宋" w:hAnsi="仿宋" w:eastAsia="仿宋" w:cs="Times New Roman"/>
          <w:sz w:val="32"/>
          <w:szCs w:val="32"/>
        </w:rPr>
        <w:t>。</w:t>
      </w:r>
    </w:p>
    <w:p>
      <w:pPr>
        <w:spacing w:line="560" w:lineRule="exact"/>
        <w:ind w:firstLine="643" w:firstLineChars="200"/>
        <w:outlineLvl w:val="2"/>
        <w:rPr>
          <w:rFonts w:ascii="楷体" w:hAnsi="楷体" w:eastAsia="楷体"/>
          <w:b/>
          <w:sz w:val="32"/>
          <w:szCs w:val="32"/>
        </w:rPr>
      </w:pPr>
      <w:bookmarkStart w:id="131" w:name="_Toc122526355"/>
      <w:bookmarkStart w:id="132" w:name="_Toc31752"/>
      <w:bookmarkStart w:id="133" w:name="_Toc21057"/>
      <w:bookmarkStart w:id="134" w:name="_Toc31935"/>
      <w:r>
        <w:rPr>
          <w:rFonts w:hint="eastAsia" w:ascii="楷体" w:hAnsi="楷体" w:eastAsia="楷体"/>
          <w:b/>
          <w:sz w:val="32"/>
          <w:szCs w:val="32"/>
        </w:rPr>
        <w:t>（二）解除质押</w:t>
      </w:r>
      <w:bookmarkEnd w:id="131"/>
      <w:bookmarkEnd w:id="132"/>
      <w:bookmarkEnd w:id="133"/>
      <w:bookmarkEnd w:id="134"/>
    </w:p>
    <w:p>
      <w:pPr>
        <w:spacing w:line="560" w:lineRule="exact"/>
        <w:ind w:firstLine="640" w:firstLineChars="200"/>
        <w:rPr>
          <w:rFonts w:ascii="仿宋" w:hAnsi="仿宋" w:eastAsia="仿宋"/>
          <w:sz w:val="32"/>
          <w:szCs w:val="32"/>
        </w:rPr>
      </w:pPr>
      <w:r>
        <w:rPr>
          <w:rFonts w:hint="eastAsia" w:ascii="仿宋" w:hAnsi="仿宋" w:eastAsia="仿宋"/>
          <w:sz w:val="32"/>
          <w:szCs w:val="32"/>
        </w:rPr>
        <w:t>已过到期结算日的协议回购合约，</w:t>
      </w:r>
      <w:r>
        <w:rPr>
          <w:rFonts w:ascii="仿宋" w:hAnsi="仿宋" w:eastAsia="仿宋"/>
          <w:sz w:val="32"/>
          <w:szCs w:val="32"/>
        </w:rPr>
        <w:t>经回购双方协商一致，</w:t>
      </w:r>
      <w:r>
        <w:rPr>
          <w:rFonts w:hint="eastAsia" w:ascii="仿宋" w:hAnsi="仿宋" w:eastAsia="仿宋"/>
          <w:sz w:val="32"/>
          <w:szCs w:val="32"/>
        </w:rPr>
        <w:t>可以通过交易系统进行解除质押申报了结合约。解除质押申报由</w:t>
      </w:r>
      <w:r>
        <w:rPr>
          <w:rFonts w:ascii="仿宋" w:hAnsi="仿宋" w:eastAsia="仿宋"/>
          <w:sz w:val="32"/>
          <w:szCs w:val="32"/>
        </w:rPr>
        <w:t>正回购方</w:t>
      </w:r>
      <w:r>
        <w:rPr>
          <w:rFonts w:hint="eastAsia" w:ascii="仿宋" w:hAnsi="仿宋" w:eastAsia="仿宋"/>
          <w:sz w:val="32"/>
          <w:szCs w:val="32"/>
        </w:rPr>
        <w:t>发起</w:t>
      </w:r>
      <w:r>
        <w:rPr>
          <w:rFonts w:ascii="仿宋" w:hAnsi="仿宋" w:eastAsia="仿宋"/>
          <w:sz w:val="32"/>
          <w:szCs w:val="32"/>
        </w:rPr>
        <w:t>，</w:t>
      </w:r>
      <w:r>
        <w:rPr>
          <w:rFonts w:hint="eastAsia" w:ascii="仿宋" w:hAnsi="仿宋" w:eastAsia="仿宋"/>
          <w:sz w:val="32"/>
          <w:szCs w:val="32"/>
        </w:rPr>
        <w:t>经逆回购方确认后成交。解除质押申报包括结算金额、</w:t>
      </w:r>
      <w:r>
        <w:rPr>
          <w:rFonts w:hint="eastAsia" w:ascii="仿宋" w:hAnsi="仿宋" w:eastAsia="仿宋"/>
          <w:kern w:val="0"/>
          <w:sz w:val="32"/>
          <w:szCs w:val="32"/>
        </w:rPr>
        <w:t>补充约定及其他（</w:t>
      </w:r>
      <w:r>
        <w:rPr>
          <w:rFonts w:hint="eastAsia" w:ascii="Times New Roman" w:hAnsi="Times New Roman" w:eastAsia="仿宋" w:cs="Times New Roman"/>
          <w:kern w:val="0"/>
          <w:sz w:val="32"/>
          <w:szCs w:val="32"/>
          <w:lang w:eastAsia="zh-CN"/>
        </w:rPr>
        <w:t>即扩展备注，</w:t>
      </w:r>
      <w:r>
        <w:rPr>
          <w:rFonts w:hint="eastAsia" w:ascii="仿宋" w:hAnsi="仿宋" w:eastAsia="仿宋"/>
          <w:kern w:val="0"/>
          <w:sz w:val="32"/>
          <w:szCs w:val="32"/>
        </w:rPr>
        <w:t>如有）等业务要素。</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回购双方资金通过场外往来的，解除质押申报的“结算金额”要素填零，该申报仅解除该笔交易项下质押券的质押登记。回购双方资金通过场内往来的，正回购方还</w:t>
      </w:r>
      <w:r>
        <w:rPr>
          <w:rFonts w:hint="eastAsia" w:ascii="仿宋" w:hAnsi="仿宋" w:eastAsia="仿宋" w:cs="Times New Roman"/>
          <w:sz w:val="32"/>
          <w:szCs w:val="32"/>
        </w:rPr>
        <w:t>需根据双方协商情况申报结算金额，中国结算</w:t>
      </w:r>
      <w:r>
        <w:rPr>
          <w:rFonts w:ascii="仿宋" w:hAnsi="仿宋" w:eastAsia="仿宋"/>
          <w:sz w:val="32"/>
          <w:szCs w:val="32"/>
        </w:rPr>
        <w:t>依据</w:t>
      </w:r>
      <w:r>
        <w:rPr>
          <w:rFonts w:hint="eastAsia" w:ascii="仿宋" w:hAnsi="仿宋" w:eastAsia="仿宋"/>
          <w:sz w:val="32"/>
          <w:szCs w:val="32"/>
        </w:rPr>
        <w:t>本</w:t>
      </w:r>
      <w:r>
        <w:rPr>
          <w:rFonts w:ascii="仿宋" w:hAnsi="仿宋" w:eastAsia="仿宋"/>
          <w:sz w:val="32"/>
          <w:szCs w:val="32"/>
        </w:rPr>
        <w:t>所发送的</w:t>
      </w:r>
      <w:r>
        <w:rPr>
          <w:rFonts w:hint="eastAsia" w:ascii="仿宋" w:hAnsi="仿宋" w:eastAsia="仿宋"/>
          <w:sz w:val="32"/>
          <w:szCs w:val="32"/>
        </w:rPr>
        <w:t>成交</w:t>
      </w:r>
      <w:r>
        <w:rPr>
          <w:rFonts w:ascii="仿宋" w:hAnsi="仿宋" w:eastAsia="仿宋"/>
          <w:sz w:val="32"/>
          <w:szCs w:val="32"/>
        </w:rPr>
        <w:t>数据</w:t>
      </w:r>
      <w:r>
        <w:rPr>
          <w:rFonts w:hint="eastAsia" w:ascii="仿宋" w:hAnsi="仿宋" w:eastAsia="仿宋"/>
          <w:sz w:val="32"/>
          <w:szCs w:val="32"/>
        </w:rPr>
        <w:t>办理资金交收，同时解除该笔交易项下质押券的质押登记。</w:t>
      </w:r>
    </w:p>
    <w:p>
      <w:pPr>
        <w:spacing w:line="560" w:lineRule="exact"/>
        <w:ind w:firstLine="640" w:firstLineChars="200"/>
        <w:outlineLvl w:val="9"/>
        <w:rPr>
          <w:rFonts w:hint="eastAsia" w:ascii="仿宋" w:hAnsi="仿宋" w:eastAsia="仿宋"/>
          <w:sz w:val="32"/>
          <w:szCs w:val="32"/>
          <w:lang w:eastAsia="zh-CN"/>
        </w:rPr>
      </w:pPr>
      <w:r>
        <w:rPr>
          <w:rFonts w:hint="eastAsia" w:ascii="仿宋" w:hAnsi="仿宋" w:eastAsia="仿宋"/>
          <w:b w:val="0"/>
          <w:bCs w:val="0"/>
          <w:kern w:val="2"/>
          <w:sz w:val="32"/>
          <w:szCs w:val="32"/>
          <w:lang w:eastAsia="zh-CN" w:bidi="ar-SA"/>
        </w:rPr>
        <w:t>涉及场外资金结</w:t>
      </w:r>
      <w:r>
        <w:rPr>
          <w:rFonts w:hint="eastAsia" w:ascii="仿宋" w:hAnsi="仿宋" w:eastAsia="仿宋"/>
          <w:b w:val="0"/>
          <w:bCs w:val="0"/>
          <w:kern w:val="2"/>
          <w:sz w:val="32"/>
          <w:szCs w:val="32"/>
          <w:highlight w:val="none"/>
          <w:lang w:eastAsia="zh-CN" w:bidi="ar-SA"/>
        </w:rPr>
        <w:t>算的，参与机构应当在资金划转后的</w:t>
      </w:r>
      <w:r>
        <w:rPr>
          <w:rFonts w:hint="eastAsia" w:ascii="仿宋" w:hAnsi="仿宋" w:eastAsia="仿宋"/>
          <w:b w:val="0"/>
          <w:bCs w:val="0"/>
          <w:kern w:val="2"/>
          <w:sz w:val="32"/>
          <w:szCs w:val="32"/>
          <w:highlight w:val="none"/>
          <w:lang w:val="en-US" w:eastAsia="zh-CN" w:bidi="ar-SA"/>
        </w:rPr>
        <w:t>5个交易日内，向本所</w:t>
      </w:r>
      <w:r>
        <w:rPr>
          <w:rFonts w:hint="eastAsia" w:ascii="仿宋" w:hAnsi="仿宋" w:eastAsia="仿宋"/>
          <w:b w:val="0"/>
          <w:bCs w:val="0"/>
          <w:kern w:val="2"/>
          <w:sz w:val="32"/>
          <w:szCs w:val="32"/>
          <w:highlight w:val="none"/>
          <w:lang w:eastAsia="zh-CN" w:bidi="ar-SA"/>
        </w:rPr>
        <w:t>提交</w:t>
      </w:r>
      <w:r>
        <w:rPr>
          <w:rFonts w:hint="eastAsia" w:ascii="仿宋" w:hAnsi="仿宋" w:eastAsia="仿宋" w:cs="Times New Roman"/>
          <w:sz w:val="32"/>
          <w:szCs w:val="32"/>
          <w:highlight w:val="none"/>
          <w:lang w:eastAsia="zh-CN"/>
        </w:rPr>
        <w:t>回购双方场外资金划转证明等材料</w:t>
      </w:r>
      <w:r>
        <w:rPr>
          <w:rFonts w:hint="eastAsia"/>
          <w:highlight w:val="none"/>
          <w:lang w:eastAsia="zh-CN"/>
        </w:rPr>
        <w:t>。</w:t>
      </w:r>
      <w:r>
        <w:rPr>
          <w:rFonts w:hint="eastAsia" w:ascii="仿宋" w:hAnsi="仿宋" w:eastAsia="仿宋"/>
          <w:sz w:val="32"/>
          <w:szCs w:val="32"/>
          <w:lang w:eastAsia="zh-CN"/>
        </w:rPr>
        <w:t>证明材料中</w:t>
      </w:r>
      <w:r>
        <w:rPr>
          <w:rFonts w:hint="eastAsia" w:ascii="仿宋" w:hAnsi="仿宋" w:eastAsia="仿宋" w:cstheme="minorBidi"/>
          <w:kern w:val="2"/>
          <w:sz w:val="32"/>
          <w:szCs w:val="32"/>
          <w:lang w:val="en-US" w:eastAsia="zh-CN" w:bidi="ar-SA"/>
        </w:rPr>
        <w:t>回</w:t>
      </w:r>
      <w:r>
        <w:rPr>
          <w:rFonts w:hint="eastAsia" w:ascii="Times New Roman" w:hAnsi="Times New Roman" w:eastAsia="仿宋" w:cs="Times New Roman"/>
          <w:kern w:val="2"/>
          <w:sz w:val="32"/>
          <w:szCs w:val="20"/>
          <w:lang w:val="en-US" w:eastAsia="zh-CN" w:bidi="ar-SA"/>
        </w:rPr>
        <w:t>购双方名称、划转时间、划转金额等要素应当真实、准确、完整。</w:t>
      </w:r>
      <w:r>
        <w:rPr>
          <w:rFonts w:hint="eastAsia" w:ascii="仿宋" w:hAnsi="仿宋" w:eastAsia="仿宋" w:cs="Times New Roman"/>
          <w:sz w:val="32"/>
          <w:szCs w:val="32"/>
        </w:rPr>
        <w:t>本所接收邮箱为</w:t>
      </w:r>
      <w:r>
        <w:rPr>
          <w:rFonts w:ascii="仿宋" w:hAnsi="仿宋" w:eastAsia="仿宋" w:cs="Times New Roman"/>
          <w:sz w:val="32"/>
          <w:szCs w:val="32"/>
        </w:rPr>
        <w:t>szsebond@szse.cn</w:t>
      </w:r>
      <w:r>
        <w:rPr>
          <w:rFonts w:hint="eastAsia" w:ascii="仿宋" w:hAnsi="仿宋" w:eastAsia="仿宋" w:cs="Times New Roman"/>
          <w:sz w:val="32"/>
          <w:szCs w:val="32"/>
        </w:rPr>
        <w:t>。</w:t>
      </w:r>
    </w:p>
    <w:p>
      <w:pPr>
        <w:spacing w:line="560" w:lineRule="exact"/>
        <w:ind w:firstLine="643" w:firstLineChars="200"/>
        <w:outlineLvl w:val="2"/>
        <w:rPr>
          <w:rFonts w:ascii="楷体" w:hAnsi="楷体" w:eastAsia="楷体"/>
          <w:b/>
          <w:sz w:val="32"/>
          <w:szCs w:val="32"/>
        </w:rPr>
      </w:pPr>
      <w:bookmarkStart w:id="135" w:name="_Toc12009"/>
      <w:bookmarkStart w:id="136" w:name="_Toc122526356"/>
      <w:bookmarkStart w:id="137" w:name="_Toc738"/>
      <w:bookmarkStart w:id="138" w:name="_Toc1176"/>
      <w:r>
        <w:rPr>
          <w:rFonts w:hint="eastAsia" w:ascii="楷体" w:hAnsi="楷体" w:eastAsia="楷体"/>
          <w:b/>
          <w:sz w:val="32"/>
          <w:szCs w:val="32"/>
        </w:rPr>
        <w:t>（三）质押券处置</w:t>
      </w:r>
      <w:bookmarkEnd w:id="135"/>
      <w:bookmarkEnd w:id="136"/>
      <w:r>
        <w:rPr>
          <w:rFonts w:hint="eastAsia" w:ascii="楷体" w:hAnsi="楷体" w:eastAsia="楷体"/>
          <w:b/>
          <w:sz w:val="32"/>
          <w:szCs w:val="32"/>
        </w:rPr>
        <w:t>安排</w:t>
      </w:r>
      <w:bookmarkEnd w:id="137"/>
      <w:bookmarkEnd w:id="138"/>
    </w:p>
    <w:p>
      <w:pPr>
        <w:spacing w:line="560" w:lineRule="exact"/>
        <w:ind w:firstLine="640" w:firstLineChars="200"/>
        <w:rPr>
          <w:rFonts w:ascii="仿宋" w:hAnsi="仿宋" w:eastAsia="仿宋"/>
          <w:sz w:val="32"/>
          <w:szCs w:val="32"/>
        </w:rPr>
      </w:pPr>
      <w:r>
        <w:rPr>
          <w:rFonts w:ascii="仿宋" w:hAnsi="仿宋" w:eastAsia="仿宋"/>
          <w:sz w:val="32"/>
          <w:szCs w:val="32"/>
        </w:rPr>
        <w:t>经协商一致，回购双方</w:t>
      </w:r>
      <w:r>
        <w:rPr>
          <w:rFonts w:hint="eastAsia" w:ascii="仿宋" w:hAnsi="仿宋" w:eastAsia="仿宋"/>
          <w:sz w:val="32"/>
          <w:szCs w:val="32"/>
        </w:rPr>
        <w:t>可以向本所和中国结算申请办理协议回购质押券处置过户。申请机构需提交申请表、处置过户协议、有效身份证明文件等材料。具体办理要求</w:t>
      </w:r>
      <w:r>
        <w:rPr>
          <w:rFonts w:hint="eastAsia" w:ascii="仿宋" w:hAnsi="仿宋" w:eastAsia="仿宋"/>
          <w:sz w:val="32"/>
          <w:szCs w:val="32"/>
          <w:lang w:eastAsia="zh-CN"/>
        </w:rPr>
        <w:t>可以</w:t>
      </w:r>
      <w:r>
        <w:rPr>
          <w:rFonts w:hint="eastAsia" w:ascii="仿宋" w:hAnsi="仿宋" w:eastAsia="仿宋"/>
          <w:sz w:val="32"/>
          <w:szCs w:val="32"/>
        </w:rPr>
        <w:t>通过邮箱或</w:t>
      </w:r>
      <w:r>
        <w:rPr>
          <w:rFonts w:hint="eastAsia" w:ascii="仿宋" w:hAnsi="仿宋" w:eastAsia="仿宋"/>
          <w:sz w:val="32"/>
          <w:szCs w:val="32"/>
          <w:lang w:eastAsia="zh-CN"/>
        </w:rPr>
        <w:t>者</w:t>
      </w:r>
      <w:r>
        <w:rPr>
          <w:rFonts w:hint="eastAsia" w:ascii="仿宋" w:hAnsi="仿宋" w:eastAsia="仿宋"/>
          <w:sz w:val="32"/>
          <w:szCs w:val="32"/>
        </w:rPr>
        <w:t>电话向本所咨询。</w:t>
      </w:r>
    </w:p>
    <w:p>
      <w:pPr>
        <w:spacing w:line="560" w:lineRule="exact"/>
        <w:ind w:firstLine="640" w:firstLineChars="200"/>
        <w:outlineLvl w:val="9"/>
        <w:rPr>
          <w:rFonts w:ascii="楷体" w:hAnsi="楷体" w:eastAsia="楷体"/>
          <w:b/>
          <w:sz w:val="32"/>
          <w:szCs w:val="32"/>
        </w:rPr>
      </w:pPr>
      <w:r>
        <w:rPr>
          <w:rFonts w:hint="eastAsia" w:ascii="仿宋" w:hAnsi="仿宋" w:eastAsia="仿宋"/>
          <w:sz w:val="32"/>
          <w:szCs w:val="32"/>
          <w:lang w:eastAsia="zh-CN"/>
        </w:rPr>
        <w:t>不动产基金</w:t>
      </w:r>
      <w:r>
        <w:rPr>
          <w:rFonts w:hint="eastAsia" w:ascii="仿宋" w:hAnsi="仿宋" w:eastAsia="仿宋"/>
          <w:sz w:val="32"/>
          <w:szCs w:val="32"/>
        </w:rPr>
        <w:t>作为协议回购质押券的，若违约发生时质押的</w:t>
      </w:r>
      <w:r>
        <w:rPr>
          <w:rFonts w:hint="eastAsia" w:ascii="仿宋" w:hAnsi="仿宋" w:eastAsia="仿宋"/>
          <w:sz w:val="32"/>
          <w:szCs w:val="32"/>
          <w:lang w:eastAsia="zh-CN"/>
        </w:rPr>
        <w:t>不动产基金</w:t>
      </w:r>
      <w:r>
        <w:rPr>
          <w:rFonts w:ascii="仿宋" w:hAnsi="仿宋" w:eastAsia="仿宋"/>
          <w:sz w:val="32"/>
          <w:szCs w:val="32"/>
        </w:rPr>
        <w:t>份额尚未解除限售，限售部分的</w:t>
      </w:r>
      <w:r>
        <w:rPr>
          <w:rFonts w:hint="eastAsia" w:ascii="仿宋" w:hAnsi="仿宋" w:eastAsia="仿宋"/>
          <w:sz w:val="32"/>
          <w:szCs w:val="32"/>
          <w:lang w:eastAsia="zh-CN"/>
        </w:rPr>
        <w:t>不动产基金</w:t>
      </w:r>
      <w:r>
        <w:rPr>
          <w:rFonts w:ascii="仿宋" w:hAnsi="仿宋" w:eastAsia="仿宋"/>
          <w:sz w:val="32"/>
          <w:szCs w:val="32"/>
        </w:rPr>
        <w:t>份额</w:t>
      </w:r>
      <w:r>
        <w:rPr>
          <w:rFonts w:hint="eastAsia" w:ascii="仿宋" w:hAnsi="仿宋" w:eastAsia="仿宋"/>
          <w:sz w:val="32"/>
          <w:szCs w:val="32"/>
        </w:rPr>
        <w:t>需待解除限售后</w:t>
      </w:r>
      <w:r>
        <w:rPr>
          <w:rFonts w:hint="eastAsia" w:ascii="仿宋" w:hAnsi="仿宋" w:eastAsia="仿宋"/>
          <w:sz w:val="32"/>
          <w:szCs w:val="32"/>
          <w:lang w:eastAsia="zh-CN"/>
        </w:rPr>
        <w:t>方</w:t>
      </w:r>
      <w:r>
        <w:rPr>
          <w:rFonts w:hint="eastAsia" w:ascii="仿宋" w:hAnsi="仿宋" w:eastAsia="仿宋"/>
          <w:sz w:val="32"/>
          <w:szCs w:val="32"/>
        </w:rPr>
        <w:t>可办理</w:t>
      </w:r>
      <w:r>
        <w:rPr>
          <w:rFonts w:ascii="仿宋" w:hAnsi="仿宋" w:eastAsia="仿宋"/>
          <w:sz w:val="32"/>
          <w:szCs w:val="32"/>
        </w:rPr>
        <w:t>处置过户。</w:t>
      </w:r>
    </w:p>
    <w:p>
      <w:pPr>
        <w:spacing w:line="560" w:lineRule="exact"/>
        <w:ind w:firstLine="640" w:firstLineChars="200"/>
        <w:rPr>
          <w:rFonts w:ascii="仿宋" w:hAnsi="仿宋" w:eastAsia="仿宋"/>
          <w:sz w:val="32"/>
          <w:szCs w:val="32"/>
        </w:rPr>
      </w:pPr>
    </w:p>
    <w:p>
      <w:pPr>
        <w:pStyle w:val="3"/>
        <w:spacing w:before="156" w:beforeLines="50" w:after="156" w:afterLines="50" w:line="560" w:lineRule="exact"/>
        <w:jc w:val="center"/>
        <w:rPr>
          <w:rFonts w:hint="eastAsia" w:ascii="黑体" w:hAnsi="黑体" w:eastAsia="黑体" w:cs="黑体"/>
          <w:b w:val="0"/>
          <w:bCs w:val="0"/>
          <w:sz w:val="32"/>
          <w:szCs w:val="32"/>
        </w:rPr>
      </w:pPr>
      <w:bookmarkStart w:id="139" w:name="_Toc2019"/>
      <w:bookmarkStart w:id="140" w:name="_Toc122526358"/>
      <w:bookmarkStart w:id="141" w:name="_Toc18439"/>
      <w:bookmarkStart w:id="142" w:name="_Toc70597850"/>
      <w:bookmarkStart w:id="143" w:name="_Toc16955"/>
      <w:r>
        <w:rPr>
          <w:rFonts w:hint="eastAsia" w:ascii="黑体" w:hAnsi="黑体" w:eastAsia="黑体" w:cs="黑体"/>
          <w:b w:val="0"/>
          <w:bCs w:val="0"/>
          <w:sz w:val="32"/>
          <w:szCs w:val="32"/>
        </w:rPr>
        <w:t>第四章 信息披露</w:t>
      </w:r>
      <w:bookmarkEnd w:id="139"/>
      <w:bookmarkEnd w:id="140"/>
      <w:bookmarkEnd w:id="141"/>
      <w:bookmarkEnd w:id="142"/>
      <w:bookmarkEnd w:id="143"/>
    </w:p>
    <w:p>
      <w:pPr>
        <w:spacing w:line="560" w:lineRule="exact"/>
        <w:ind w:firstLine="643" w:firstLineChars="201"/>
        <w:jc w:val="left"/>
        <w:rPr>
          <w:rFonts w:ascii="仿宋" w:hAnsi="仿宋" w:eastAsia="仿宋" w:cs="Times New Roman"/>
          <w:sz w:val="32"/>
          <w:szCs w:val="32"/>
        </w:rPr>
      </w:pPr>
      <w:r>
        <w:rPr>
          <w:rFonts w:hint="eastAsia" w:ascii="仿宋" w:hAnsi="仿宋" w:eastAsia="仿宋" w:cs="Times New Roman"/>
          <w:sz w:val="32"/>
          <w:szCs w:val="32"/>
        </w:rPr>
        <w:t>本所在每个交易日结束后，通过本所网站公布协议回购当日交易汇总信息，包括最高利率、最低利率、加权平均利率、加权涨跌幅度、初始交易</w:t>
      </w:r>
      <w:r>
        <w:rPr>
          <w:rFonts w:hint="eastAsia" w:ascii="仿宋" w:hAnsi="仿宋" w:eastAsia="仿宋" w:cs="Times New Roman"/>
          <w:sz w:val="32"/>
          <w:szCs w:val="32"/>
          <w:lang w:eastAsia="zh-CN"/>
        </w:rPr>
        <w:t>以</w:t>
      </w:r>
      <w:r>
        <w:rPr>
          <w:rFonts w:hint="eastAsia" w:ascii="仿宋" w:hAnsi="仿宋" w:eastAsia="仿宋" w:cs="Times New Roman"/>
          <w:sz w:val="32"/>
          <w:szCs w:val="32"/>
        </w:rPr>
        <w:t>及续做成交金额、购回交易金额</w:t>
      </w:r>
      <w:r>
        <w:rPr>
          <w:rFonts w:hint="eastAsia" w:ascii="仿宋" w:hAnsi="仿宋" w:eastAsia="仿宋" w:cs="Times New Roman"/>
          <w:sz w:val="32"/>
          <w:szCs w:val="32"/>
          <w:lang w:eastAsia="zh-CN"/>
        </w:rPr>
        <w:t>以</w:t>
      </w:r>
      <w:r>
        <w:rPr>
          <w:rFonts w:hint="eastAsia" w:ascii="仿宋" w:hAnsi="仿宋" w:eastAsia="仿宋" w:cs="Times New Roman"/>
          <w:sz w:val="32"/>
          <w:szCs w:val="32"/>
        </w:rPr>
        <w:t>及续做对应的购回金额等信息，并定期披露未到期余额的统计数据。</w:t>
      </w:r>
    </w:p>
    <w:p>
      <w:pPr>
        <w:spacing w:line="560" w:lineRule="exact"/>
        <w:ind w:firstLine="643" w:firstLineChars="201"/>
        <w:jc w:val="left"/>
        <w:rPr>
          <w:rFonts w:ascii="仿宋" w:hAnsi="仿宋" w:eastAsia="仿宋" w:cs="Times New Roman"/>
          <w:sz w:val="32"/>
          <w:szCs w:val="32"/>
        </w:rPr>
      </w:pPr>
      <w:r>
        <w:rPr>
          <w:rFonts w:hint="eastAsia" w:ascii="仿宋" w:hAnsi="仿宋" w:eastAsia="仿宋" w:cs="Times New Roman"/>
          <w:sz w:val="32"/>
          <w:szCs w:val="32"/>
        </w:rPr>
        <w:t>部分统计数据按照回购期限分为</w:t>
      </w:r>
      <w:r>
        <w:rPr>
          <w:rFonts w:ascii="仿宋" w:hAnsi="仿宋" w:eastAsia="仿宋" w:cs="Times New Roman"/>
          <w:sz w:val="32"/>
          <w:szCs w:val="32"/>
        </w:rPr>
        <w:t>9个品种，代码分别为131981、131982、131983、131984、131985、131986、131987、131988、131989，简称分别为RR-001、RR-007、RR-014、RR-021、RR-1M、RR-3M、RR-6M、RR-9M、RR-12M。其中，RR-001为隔夜</w:t>
      </w:r>
      <w:r>
        <w:rPr>
          <w:rFonts w:hint="eastAsia" w:ascii="仿宋" w:hAnsi="仿宋" w:eastAsia="仿宋" w:cs="Times New Roman"/>
          <w:sz w:val="32"/>
          <w:szCs w:val="32"/>
        </w:rPr>
        <w:t>回购</w:t>
      </w:r>
      <w:r>
        <w:rPr>
          <w:rFonts w:ascii="仿宋" w:hAnsi="仿宋" w:eastAsia="仿宋" w:cs="Times New Roman"/>
          <w:sz w:val="32"/>
          <w:szCs w:val="32"/>
        </w:rPr>
        <w:t>加权平均利率</w:t>
      </w:r>
      <w:r>
        <w:rPr>
          <w:rFonts w:hint="eastAsia" w:ascii="仿宋" w:hAnsi="仿宋" w:eastAsia="仿宋" w:cs="Times New Roman"/>
          <w:sz w:val="32"/>
          <w:szCs w:val="32"/>
        </w:rPr>
        <w:t>，</w:t>
      </w:r>
      <w:r>
        <w:rPr>
          <w:rFonts w:ascii="仿宋" w:hAnsi="仿宋" w:eastAsia="仿宋" w:cs="Times New Roman"/>
          <w:sz w:val="32"/>
          <w:szCs w:val="32"/>
        </w:rPr>
        <w:t>RR-007为2-7天的</w:t>
      </w:r>
      <w:r>
        <w:rPr>
          <w:rFonts w:hint="eastAsia" w:ascii="仿宋" w:hAnsi="仿宋" w:eastAsia="仿宋" w:cs="Times New Roman"/>
          <w:sz w:val="32"/>
          <w:szCs w:val="32"/>
        </w:rPr>
        <w:t>回购</w:t>
      </w:r>
      <w:r>
        <w:rPr>
          <w:rFonts w:ascii="仿宋" w:hAnsi="仿宋" w:eastAsia="仿宋" w:cs="Times New Roman"/>
          <w:sz w:val="32"/>
          <w:szCs w:val="32"/>
        </w:rPr>
        <w:t>加权平均利率</w:t>
      </w:r>
      <w:r>
        <w:rPr>
          <w:rFonts w:hint="eastAsia" w:ascii="仿宋" w:hAnsi="仿宋" w:eastAsia="仿宋" w:cs="Times New Roman"/>
          <w:sz w:val="32"/>
          <w:szCs w:val="32"/>
        </w:rPr>
        <w:t>，</w:t>
      </w:r>
      <w:r>
        <w:rPr>
          <w:rFonts w:ascii="仿宋" w:hAnsi="仿宋" w:eastAsia="仿宋" w:cs="Times New Roman"/>
          <w:sz w:val="32"/>
          <w:szCs w:val="32"/>
        </w:rPr>
        <w:t>RR-014为8-14天的</w:t>
      </w:r>
      <w:r>
        <w:rPr>
          <w:rFonts w:hint="eastAsia" w:ascii="仿宋" w:hAnsi="仿宋" w:eastAsia="仿宋" w:cs="Times New Roman"/>
          <w:sz w:val="32"/>
          <w:szCs w:val="32"/>
        </w:rPr>
        <w:t>回购</w:t>
      </w:r>
      <w:r>
        <w:rPr>
          <w:rFonts w:ascii="仿宋" w:hAnsi="仿宋" w:eastAsia="仿宋" w:cs="Times New Roman"/>
          <w:sz w:val="32"/>
          <w:szCs w:val="32"/>
        </w:rPr>
        <w:t>加权平均利率，RR-021为15-21天的</w:t>
      </w:r>
      <w:r>
        <w:rPr>
          <w:rFonts w:hint="eastAsia" w:ascii="仿宋" w:hAnsi="仿宋" w:eastAsia="仿宋" w:cs="Times New Roman"/>
          <w:sz w:val="32"/>
          <w:szCs w:val="32"/>
        </w:rPr>
        <w:t>回购</w:t>
      </w:r>
      <w:r>
        <w:rPr>
          <w:rFonts w:ascii="仿宋" w:hAnsi="仿宋" w:eastAsia="仿宋" w:cs="Times New Roman"/>
          <w:sz w:val="32"/>
          <w:szCs w:val="32"/>
        </w:rPr>
        <w:t>加权平均利率，RR-1M为22-30天</w:t>
      </w:r>
      <w:r>
        <w:rPr>
          <w:rFonts w:hint="eastAsia" w:ascii="仿宋" w:hAnsi="仿宋" w:eastAsia="仿宋" w:cs="Times New Roman"/>
          <w:sz w:val="32"/>
          <w:szCs w:val="32"/>
        </w:rPr>
        <w:t>的回购加权平均利率。其他品种以此类推。</w:t>
      </w:r>
    </w:p>
    <w:p>
      <w:pPr>
        <w:spacing w:line="560" w:lineRule="exact"/>
        <w:jc w:val="left"/>
        <w:rPr>
          <w:rFonts w:hint="default" w:ascii="仿宋" w:hAnsi="仿宋" w:eastAsia="仿宋" w:cs="Times New Roman"/>
          <w:sz w:val="32"/>
          <w:szCs w:val="32"/>
          <w:lang w:val="en-US" w:eastAsia="zh-CN"/>
        </w:rPr>
      </w:pPr>
    </w:p>
    <w:p>
      <w:pPr>
        <w:pStyle w:val="2"/>
        <w:outlineLvl w:val="9"/>
        <w:rPr>
          <w:rFonts w:hint="default" w:ascii="仿宋" w:hAnsi="仿宋" w:eastAsia="仿宋" w:cs="Times New Roman"/>
          <w:sz w:val="32"/>
          <w:szCs w:val="32"/>
          <w:lang w:val="en-US" w:eastAsia="zh-CN"/>
        </w:rPr>
      </w:pPr>
    </w:p>
    <w:p>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附件：协议回购出资人信息披露意愿表</w:t>
      </w:r>
    </w:p>
    <w:p>
      <w:pPr>
        <w:rPr>
          <w:rFonts w:hint="default"/>
          <w:lang w:val="en-US" w:eastAsia="zh-CN"/>
        </w:rPr>
      </w:pPr>
      <w:r>
        <w:rPr>
          <w:rFonts w:hint="default"/>
          <w:lang w:val="en-US" w:eastAsia="zh-CN"/>
        </w:rPr>
        <w:br w:type="page"/>
      </w:r>
    </w:p>
    <w:p>
      <w:pPr>
        <w:widowControl/>
        <w:spacing w:line="560" w:lineRule="exact"/>
        <w:ind w:firstLine="640" w:firstLineChars="200"/>
        <w:jc w:val="left"/>
        <w:outlineLvl w:val="9"/>
        <w:rPr>
          <w:rFonts w:hint="eastAsia" w:ascii="仿宋" w:hAnsi="仿宋" w:eastAsia="仿宋" w:cstheme="minorBidi"/>
          <w:sz w:val="32"/>
          <w:szCs w:val="32"/>
          <w:lang w:eastAsia="zh-CN"/>
        </w:rPr>
      </w:pPr>
      <w:bookmarkStart w:id="144" w:name="_Toc31531"/>
      <w:r>
        <w:rPr>
          <w:rFonts w:hint="eastAsia" w:ascii="仿宋" w:hAnsi="仿宋" w:eastAsia="仿宋" w:cstheme="minorBidi"/>
          <w:sz w:val="32"/>
          <w:szCs w:val="32"/>
          <w:lang w:eastAsia="zh-CN"/>
        </w:rPr>
        <w:t>附件</w:t>
      </w:r>
      <w:bookmarkEnd w:id="144"/>
    </w:p>
    <w:p>
      <w:pPr>
        <w:spacing w:line="600" w:lineRule="exact"/>
        <w:ind w:firstLine="482"/>
        <w:jc w:val="center"/>
        <w:outlineLvl w:val="0"/>
        <w:rPr>
          <w:rFonts w:ascii="Calibri" w:hAnsi="Calibri" w:eastAsia="仿宋_GB2312"/>
          <w:b/>
          <w:sz w:val="24"/>
          <w:szCs w:val="22"/>
        </w:rPr>
      </w:pPr>
      <w:bookmarkStart w:id="145" w:name="_Toc199"/>
      <w:r>
        <w:rPr>
          <w:rFonts w:hint="eastAsia" w:ascii="黑体" w:hAnsi="黑体" w:eastAsia="黑体" w:cs="黑体"/>
          <w:b/>
          <w:sz w:val="44"/>
          <w:szCs w:val="44"/>
        </w:rPr>
        <w:t>协议回购出资人信息披露意愿表</w:t>
      </w:r>
      <w:bookmarkEnd w:id="145"/>
    </w:p>
    <w:tbl>
      <w:tblPr>
        <w:tblStyle w:val="21"/>
        <w:tblpPr w:leftFromText="180" w:rightFromText="180" w:vertAnchor="text" w:horzAnchor="page" w:tblpX="1852" w:tblpY="225"/>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6"/>
        <w:gridCol w:w="1785"/>
        <w:gridCol w:w="2580"/>
        <w:gridCol w:w="1620"/>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机构名称</w:t>
            </w:r>
          </w:p>
        </w:tc>
        <w:tc>
          <w:tcPr>
            <w:tcW w:w="256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i w:val="0"/>
                <w:iCs w:val="0"/>
                <w:color w:val="000000"/>
                <w:sz w:val="18"/>
                <w:szCs w:val="18"/>
                <w:u w:val="none"/>
              </w:rPr>
            </w:pP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填表日期</w:t>
            </w:r>
          </w:p>
        </w:tc>
        <w:tc>
          <w:tcPr>
            <w:tcW w:w="8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业务联络人（必填）</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姓名</w:t>
            </w:r>
          </w:p>
        </w:tc>
        <w:tc>
          <w:tcPr>
            <w:tcW w:w="15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i w:val="0"/>
                <w:iCs w:val="0"/>
                <w:color w:val="000000"/>
                <w:sz w:val="18"/>
                <w:szCs w:val="18"/>
                <w:u w:val="none"/>
              </w:rPr>
            </w:pP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是否对外披露  </w:t>
            </w:r>
          </w:p>
        </w:tc>
        <w:tc>
          <w:tcPr>
            <w:tcW w:w="8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iCs w:val="0"/>
                <w:color w:val="000000"/>
                <w:sz w:val="18"/>
                <w:szCs w:val="18"/>
                <w:u w:val="none"/>
              </w:rPr>
            </w:pPr>
          </w:p>
        </w:tc>
        <w:tc>
          <w:tcPr>
            <w:tcW w:w="10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固定电话/手机</w:t>
            </w:r>
          </w:p>
        </w:tc>
        <w:tc>
          <w:tcPr>
            <w:tcW w:w="15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i w:val="0"/>
                <w:iCs w:val="0"/>
                <w:color w:val="000000"/>
                <w:sz w:val="18"/>
                <w:szCs w:val="18"/>
                <w:u w:val="none"/>
              </w:rPr>
            </w:pP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是否对外披露  </w:t>
            </w:r>
          </w:p>
        </w:tc>
        <w:tc>
          <w:tcPr>
            <w:tcW w:w="8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iCs w:val="0"/>
                <w:color w:val="000000"/>
                <w:sz w:val="18"/>
                <w:szCs w:val="18"/>
                <w:u w:val="none"/>
              </w:rPr>
            </w:pPr>
          </w:p>
        </w:tc>
        <w:tc>
          <w:tcPr>
            <w:tcW w:w="10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邮箱</w:t>
            </w:r>
          </w:p>
        </w:tc>
        <w:tc>
          <w:tcPr>
            <w:tcW w:w="15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i w:val="0"/>
                <w:iCs w:val="0"/>
                <w:color w:val="000000"/>
                <w:sz w:val="18"/>
                <w:szCs w:val="18"/>
                <w:u w:val="none"/>
              </w:rPr>
            </w:pP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是否对外披露  </w:t>
            </w:r>
          </w:p>
        </w:tc>
        <w:tc>
          <w:tcPr>
            <w:tcW w:w="8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6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可接受债券质押券</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信息</w:t>
            </w:r>
          </w:p>
        </w:tc>
        <w:tc>
          <w:tcPr>
            <w:tcW w:w="1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所属类型</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(打勾，可多选）</w:t>
            </w:r>
          </w:p>
        </w:tc>
        <w:tc>
          <w:tcPr>
            <w:tcW w:w="3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（1）国债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（2）地方债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（3）政策性金融债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（4）政府支持机构债券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（5）主体评级或债项评级为AAA级的公司债券（含企业债券）和资产支持证券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（6）债券ETF</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（7）其他_________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66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iCs w:val="0"/>
                <w:color w:val="000000"/>
                <w:sz w:val="18"/>
                <w:szCs w:val="18"/>
                <w:u w:val="none"/>
              </w:rPr>
            </w:pPr>
          </w:p>
        </w:tc>
        <w:tc>
          <w:tcPr>
            <w:tcW w:w="10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特殊要求（如有）</w:t>
            </w:r>
          </w:p>
        </w:tc>
        <w:tc>
          <w:tcPr>
            <w:tcW w:w="3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（可简要描述对质押券评级、发行人行业、剩余期限等要求，不超过30个字）</w:t>
            </w:r>
          </w:p>
        </w:tc>
      </w:tr>
    </w:tbl>
    <w:p>
      <w:pPr>
        <w:keepNext w:val="0"/>
        <w:keepLines w:val="0"/>
        <w:pageBreakBefore w:val="0"/>
        <w:kinsoku/>
        <w:wordWrap/>
        <w:overflowPunct/>
        <w:topLinePunct w:val="0"/>
        <w:autoSpaceDE/>
        <w:autoSpaceDN/>
        <w:bidi w:val="0"/>
        <w:adjustRightInd/>
        <w:snapToGrid/>
        <w:spacing w:line="560" w:lineRule="exact"/>
        <w:ind w:firstLine="480"/>
        <w:jc w:val="left"/>
        <w:rPr>
          <w:rFonts w:hint="eastAsia" w:ascii="仿宋" w:hAnsi="仿宋" w:eastAsia="仿宋" w:cs="仿宋"/>
          <w:sz w:val="18"/>
          <w:szCs w:val="18"/>
          <w:lang w:eastAsia="zh-CN"/>
        </w:rPr>
      </w:pPr>
      <w:r>
        <w:rPr>
          <w:rFonts w:hint="eastAsia" w:ascii="仿宋" w:hAnsi="仿宋" w:eastAsia="仿宋" w:cs="仿宋"/>
          <w:sz w:val="18"/>
          <w:szCs w:val="18"/>
          <w:lang w:eastAsia="zh-CN"/>
        </w:rPr>
        <w:t>注</w:t>
      </w:r>
      <w:r>
        <w:rPr>
          <w:rFonts w:hint="eastAsia" w:ascii="仿宋" w:hAnsi="仿宋" w:eastAsia="仿宋" w:cs="仿宋"/>
          <w:sz w:val="18"/>
          <w:szCs w:val="18"/>
        </w:rPr>
        <w:t>：</w:t>
      </w:r>
      <w:r>
        <w:rPr>
          <w:rFonts w:hint="eastAsia" w:ascii="仿宋" w:hAnsi="仿宋" w:eastAsia="仿宋" w:cs="仿宋"/>
          <w:sz w:val="18"/>
          <w:szCs w:val="18"/>
          <w:lang w:val="en-US" w:eastAsia="zh-CN"/>
        </w:rPr>
        <w:t>1.</w:t>
      </w:r>
      <w:r>
        <w:rPr>
          <w:rFonts w:hint="eastAsia" w:ascii="仿宋" w:hAnsi="仿宋" w:eastAsia="仿宋" w:cs="仿宋"/>
          <w:sz w:val="18"/>
          <w:szCs w:val="18"/>
          <w:lang w:eastAsia="zh-CN"/>
        </w:rPr>
        <w:t>“可接受债券质押券信息”均默认为本所可对外披露信息。</w:t>
      </w:r>
    </w:p>
    <w:p>
      <w:pPr>
        <w:keepNext w:val="0"/>
        <w:keepLines w:val="0"/>
        <w:pageBreakBefore w:val="0"/>
        <w:numPr>
          <w:ilvl w:val="0"/>
          <w:numId w:val="3"/>
        </w:numPr>
        <w:kinsoku/>
        <w:wordWrap/>
        <w:overflowPunct/>
        <w:topLinePunct w:val="0"/>
        <w:autoSpaceDE/>
        <w:autoSpaceDN/>
        <w:bidi w:val="0"/>
        <w:adjustRightInd/>
        <w:snapToGrid/>
        <w:spacing w:line="560" w:lineRule="exact"/>
        <w:ind w:left="960" w:leftChars="0" w:firstLine="0" w:firstLineChars="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本所不对材料信息的真实性、有效性进行审查。</w:t>
      </w:r>
    </w:p>
    <w:p>
      <w:pPr>
        <w:keepNext w:val="0"/>
        <w:keepLines w:val="0"/>
        <w:pageBreakBefore w:val="0"/>
        <w:numPr>
          <w:ilvl w:val="0"/>
          <w:numId w:val="3"/>
        </w:numPr>
        <w:kinsoku/>
        <w:wordWrap/>
        <w:overflowPunct/>
        <w:topLinePunct w:val="0"/>
        <w:autoSpaceDE/>
        <w:autoSpaceDN/>
        <w:bidi w:val="0"/>
        <w:adjustRightInd/>
        <w:snapToGrid/>
        <w:spacing w:line="560" w:lineRule="exact"/>
        <w:ind w:left="960" w:leftChars="0" w:firstLine="0" w:firstLineChars="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本所自收到该表格后可根据自身工作安排披露意愿表内相关信息。</w:t>
      </w:r>
    </w:p>
    <w:p>
      <w:pPr>
        <w:ind w:firstLine="360" w:firstLineChars="200"/>
        <w:rPr>
          <w:rFonts w:hint="default"/>
          <w:lang w:val="en-US" w:eastAsia="zh-CN"/>
        </w:rPr>
      </w:pPr>
      <w:r>
        <w:rPr>
          <w:rFonts w:hint="eastAsia" w:ascii="仿宋" w:hAnsi="仿宋" w:eastAsia="仿宋" w:cs="仿宋"/>
          <w:sz w:val="18"/>
          <w:szCs w:val="18"/>
        </w:rPr>
        <w:t xml:space="preserve">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等线 Light">
    <w:altName w:val="Arial Unicode MS"/>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426359"/>
    </w:sdtPr>
    <w:sdtContent>
      <w:p>
        <w:pPr>
          <w:pStyle w:val="13"/>
          <w:jc w:val="center"/>
        </w:pPr>
        <w:r>
          <w:fldChar w:fldCharType="begin"/>
        </w:r>
        <w:r>
          <w:instrText xml:space="preserve">PAGE   \* MERGEFORMAT</w:instrText>
        </w:r>
        <w:r>
          <w:fldChar w:fldCharType="separate"/>
        </w:r>
        <w:r>
          <w:rPr>
            <w:lang w:val="zh-CN"/>
          </w:rPr>
          <w:t>20</w:t>
        </w:r>
        <w:r>
          <w:fldChar w:fldCharType="end"/>
        </w: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rPr>
          <w:rFonts w:ascii="宋体" w:hAnsi="宋体" w:eastAsia="宋体"/>
        </w:rPr>
      </w:pPr>
      <w:r>
        <w:rPr>
          <w:rStyle w:val="26"/>
          <w:rFonts w:ascii="宋体" w:hAnsi="宋体" w:eastAsia="宋体"/>
        </w:rPr>
        <w:footnoteRef/>
      </w:r>
      <w:r>
        <w:rPr>
          <w:rFonts w:hint="eastAsia" w:ascii="宋体" w:hAnsi="宋体" w:eastAsia="宋体"/>
        </w:rPr>
        <w:t xml:space="preserve"> 理财产品，是指经有关金融监管部门批准设立的金融机构以及经行业协会备案或者登记的证券公司子公司、期货公司子公司、私募基金管理人等机构面向投资者发行的理财产品。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60CE2"/>
    <w:multiLevelType w:val="singleLevel"/>
    <w:tmpl w:val="F4660CE2"/>
    <w:lvl w:ilvl="0" w:tentative="0">
      <w:start w:val="1"/>
      <w:numFmt w:val="decimal"/>
      <w:suff w:val="nothing"/>
      <w:lvlText w:val="（%1）"/>
      <w:lvlJc w:val="left"/>
    </w:lvl>
  </w:abstractNum>
  <w:abstractNum w:abstractNumId="1">
    <w:nsid w:val="5EA656DE"/>
    <w:multiLevelType w:val="multilevel"/>
    <w:tmpl w:val="5EA656DE"/>
    <w:lvl w:ilvl="0" w:tentative="0">
      <w:start w:val="1"/>
      <w:numFmt w:val="japaneseCounting"/>
      <w:pStyle w:val="44"/>
      <w:lvlText w:val="第%1条"/>
      <w:lvlJc w:val="left"/>
      <w:pPr>
        <w:ind w:left="988" w:hanging="420"/>
      </w:pPr>
      <w:rPr>
        <w:rFonts w:hint="eastAsia" w:ascii="仿宋_GB2312" w:eastAsia="仿宋_GB2312"/>
        <w:b/>
        <w:sz w:val="30"/>
        <w:szCs w:val="30"/>
        <w:lang w:val="en-US"/>
      </w:rPr>
    </w:lvl>
    <w:lvl w:ilvl="1" w:tentative="0">
      <w:start w:val="1"/>
      <w:numFmt w:val="chineseCountingThousand"/>
      <w:lvlText w:val="第%2条"/>
      <w:lvlJc w:val="left"/>
      <w:pPr>
        <w:tabs>
          <w:tab w:val="left" w:pos="3856"/>
        </w:tabs>
        <w:snapToGrid w:val="0"/>
        <w:ind w:left="1928" w:firstLine="567"/>
      </w:pPr>
      <w:rPr>
        <w:rFonts w:hint="eastAsia" w:ascii="仿宋_GB2312" w:eastAsia="仿宋_GB2312"/>
        <w:b w:val="0"/>
        <w:i w:val="0"/>
        <w:strike w:val="0"/>
        <w:dstrike w:val="0"/>
        <w:spacing w:val="0"/>
        <w:w w:val="100"/>
        <w:kern w:val="0"/>
        <w:position w:val="0"/>
        <w:sz w:val="32"/>
        <w:szCs w:val="32"/>
        <w:u w:val="none"/>
        <w:lang w:val="en-US"/>
      </w:rPr>
    </w:lvl>
    <w:lvl w:ilvl="2" w:tentative="0">
      <w:start w:val="1"/>
      <w:numFmt w:val="decimal"/>
      <w:lvlText w:val="%3."/>
      <w:lvlJc w:val="left"/>
      <w:pPr>
        <w:tabs>
          <w:tab w:val="left" w:pos="3595"/>
        </w:tabs>
        <w:ind w:left="3595" w:hanging="360"/>
      </w:pPr>
    </w:lvl>
    <w:lvl w:ilvl="3" w:tentative="0">
      <w:start w:val="1"/>
      <w:numFmt w:val="decimal"/>
      <w:lvlText w:val="%4."/>
      <w:lvlJc w:val="left"/>
      <w:pPr>
        <w:tabs>
          <w:tab w:val="left" w:pos="4315"/>
        </w:tabs>
        <w:ind w:left="4315" w:hanging="360"/>
      </w:pPr>
    </w:lvl>
    <w:lvl w:ilvl="4" w:tentative="0">
      <w:start w:val="1"/>
      <w:numFmt w:val="decimal"/>
      <w:lvlText w:val="%5."/>
      <w:lvlJc w:val="left"/>
      <w:pPr>
        <w:tabs>
          <w:tab w:val="left" w:pos="5035"/>
        </w:tabs>
        <w:ind w:left="5035" w:hanging="360"/>
      </w:pPr>
    </w:lvl>
    <w:lvl w:ilvl="5" w:tentative="0">
      <w:start w:val="1"/>
      <w:numFmt w:val="decimal"/>
      <w:lvlText w:val="%6."/>
      <w:lvlJc w:val="left"/>
      <w:pPr>
        <w:tabs>
          <w:tab w:val="left" w:pos="5755"/>
        </w:tabs>
        <w:ind w:left="5755" w:hanging="360"/>
      </w:pPr>
    </w:lvl>
    <w:lvl w:ilvl="6" w:tentative="0">
      <w:start w:val="1"/>
      <w:numFmt w:val="decimal"/>
      <w:lvlText w:val="%7."/>
      <w:lvlJc w:val="left"/>
      <w:pPr>
        <w:tabs>
          <w:tab w:val="left" w:pos="6475"/>
        </w:tabs>
        <w:ind w:left="6475" w:hanging="360"/>
      </w:pPr>
    </w:lvl>
    <w:lvl w:ilvl="7" w:tentative="0">
      <w:start w:val="1"/>
      <w:numFmt w:val="decimal"/>
      <w:lvlText w:val="%8."/>
      <w:lvlJc w:val="left"/>
      <w:pPr>
        <w:tabs>
          <w:tab w:val="left" w:pos="7195"/>
        </w:tabs>
        <w:ind w:left="7195" w:hanging="360"/>
      </w:pPr>
    </w:lvl>
    <w:lvl w:ilvl="8" w:tentative="0">
      <w:start w:val="1"/>
      <w:numFmt w:val="decimal"/>
      <w:lvlText w:val="%9."/>
      <w:lvlJc w:val="left"/>
      <w:pPr>
        <w:tabs>
          <w:tab w:val="left" w:pos="7915"/>
        </w:tabs>
        <w:ind w:left="7915" w:hanging="360"/>
      </w:pPr>
    </w:lvl>
  </w:abstractNum>
  <w:abstractNum w:abstractNumId="2">
    <w:nsid w:val="7BBC089C"/>
    <w:multiLevelType w:val="singleLevel"/>
    <w:tmpl w:val="7BBC089C"/>
    <w:lvl w:ilvl="0" w:tentative="0">
      <w:start w:val="2"/>
      <w:numFmt w:val="decimal"/>
      <w:lvlText w:val="%1."/>
      <w:lvlJc w:val="left"/>
      <w:pPr>
        <w:tabs>
          <w:tab w:val="left" w:pos="312"/>
        </w:tabs>
        <w:ind w:left="96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D82"/>
    <w:rsid w:val="0000133F"/>
    <w:rsid w:val="0000332E"/>
    <w:rsid w:val="0000601C"/>
    <w:rsid w:val="000166FD"/>
    <w:rsid w:val="00017F0A"/>
    <w:rsid w:val="00020438"/>
    <w:rsid w:val="00021E25"/>
    <w:rsid w:val="0002294D"/>
    <w:rsid w:val="00023070"/>
    <w:rsid w:val="00023CCB"/>
    <w:rsid w:val="0002740A"/>
    <w:rsid w:val="000318F0"/>
    <w:rsid w:val="00032504"/>
    <w:rsid w:val="000357E5"/>
    <w:rsid w:val="000365F9"/>
    <w:rsid w:val="00040565"/>
    <w:rsid w:val="000409A0"/>
    <w:rsid w:val="000419CA"/>
    <w:rsid w:val="00042B71"/>
    <w:rsid w:val="00045BAD"/>
    <w:rsid w:val="00046119"/>
    <w:rsid w:val="00050184"/>
    <w:rsid w:val="00054D12"/>
    <w:rsid w:val="00056230"/>
    <w:rsid w:val="00056C1C"/>
    <w:rsid w:val="00060015"/>
    <w:rsid w:val="00060C4C"/>
    <w:rsid w:val="00065D15"/>
    <w:rsid w:val="00066D92"/>
    <w:rsid w:val="00071A48"/>
    <w:rsid w:val="00073C76"/>
    <w:rsid w:val="000740D7"/>
    <w:rsid w:val="00076620"/>
    <w:rsid w:val="00076F79"/>
    <w:rsid w:val="00077AD3"/>
    <w:rsid w:val="00080403"/>
    <w:rsid w:val="00082DB4"/>
    <w:rsid w:val="00083E31"/>
    <w:rsid w:val="000841EB"/>
    <w:rsid w:val="00086BC9"/>
    <w:rsid w:val="000912FD"/>
    <w:rsid w:val="00091DCE"/>
    <w:rsid w:val="00092547"/>
    <w:rsid w:val="000925DC"/>
    <w:rsid w:val="00092676"/>
    <w:rsid w:val="0009464E"/>
    <w:rsid w:val="00094F6C"/>
    <w:rsid w:val="0009593D"/>
    <w:rsid w:val="00095B6F"/>
    <w:rsid w:val="00096168"/>
    <w:rsid w:val="000A1999"/>
    <w:rsid w:val="000A1E7B"/>
    <w:rsid w:val="000A2042"/>
    <w:rsid w:val="000A7702"/>
    <w:rsid w:val="000B03E3"/>
    <w:rsid w:val="000B2FF0"/>
    <w:rsid w:val="000B46C1"/>
    <w:rsid w:val="000B489B"/>
    <w:rsid w:val="000B4931"/>
    <w:rsid w:val="000B509E"/>
    <w:rsid w:val="000B731A"/>
    <w:rsid w:val="000C1108"/>
    <w:rsid w:val="000C3A7C"/>
    <w:rsid w:val="000C3E3F"/>
    <w:rsid w:val="000C5497"/>
    <w:rsid w:val="000C73D6"/>
    <w:rsid w:val="000C7D39"/>
    <w:rsid w:val="000D058F"/>
    <w:rsid w:val="000D0961"/>
    <w:rsid w:val="000E0154"/>
    <w:rsid w:val="000E3B0B"/>
    <w:rsid w:val="000E5D42"/>
    <w:rsid w:val="000F0E05"/>
    <w:rsid w:val="000F42E0"/>
    <w:rsid w:val="000F4429"/>
    <w:rsid w:val="000F66A8"/>
    <w:rsid w:val="000F6D8C"/>
    <w:rsid w:val="001061EB"/>
    <w:rsid w:val="00107D47"/>
    <w:rsid w:val="001100D9"/>
    <w:rsid w:val="00112711"/>
    <w:rsid w:val="00112C76"/>
    <w:rsid w:val="00114449"/>
    <w:rsid w:val="001149BD"/>
    <w:rsid w:val="001173E2"/>
    <w:rsid w:val="00123CCE"/>
    <w:rsid w:val="00125701"/>
    <w:rsid w:val="00126173"/>
    <w:rsid w:val="00126AE2"/>
    <w:rsid w:val="00127935"/>
    <w:rsid w:val="00130B18"/>
    <w:rsid w:val="0013135B"/>
    <w:rsid w:val="00133EA2"/>
    <w:rsid w:val="0013436A"/>
    <w:rsid w:val="00134F02"/>
    <w:rsid w:val="001352C6"/>
    <w:rsid w:val="0013587D"/>
    <w:rsid w:val="00136681"/>
    <w:rsid w:val="0013794B"/>
    <w:rsid w:val="001405D1"/>
    <w:rsid w:val="00144344"/>
    <w:rsid w:val="001533D8"/>
    <w:rsid w:val="00154BB0"/>
    <w:rsid w:val="00156236"/>
    <w:rsid w:val="00156448"/>
    <w:rsid w:val="001618C0"/>
    <w:rsid w:val="001620AD"/>
    <w:rsid w:val="00163D7A"/>
    <w:rsid w:val="00164132"/>
    <w:rsid w:val="0016513C"/>
    <w:rsid w:val="0017607E"/>
    <w:rsid w:val="00177086"/>
    <w:rsid w:val="0017712A"/>
    <w:rsid w:val="00181A28"/>
    <w:rsid w:val="00182605"/>
    <w:rsid w:val="00186EAB"/>
    <w:rsid w:val="00191AA1"/>
    <w:rsid w:val="00192D29"/>
    <w:rsid w:val="00195C64"/>
    <w:rsid w:val="00196672"/>
    <w:rsid w:val="001A1D9B"/>
    <w:rsid w:val="001A2F4B"/>
    <w:rsid w:val="001A36D5"/>
    <w:rsid w:val="001A3C3C"/>
    <w:rsid w:val="001A3D49"/>
    <w:rsid w:val="001A53B1"/>
    <w:rsid w:val="001A6017"/>
    <w:rsid w:val="001A65CE"/>
    <w:rsid w:val="001B7A57"/>
    <w:rsid w:val="001C0482"/>
    <w:rsid w:val="001C2859"/>
    <w:rsid w:val="001C35A9"/>
    <w:rsid w:val="001C5971"/>
    <w:rsid w:val="001D0CE2"/>
    <w:rsid w:val="001D22D1"/>
    <w:rsid w:val="001D2680"/>
    <w:rsid w:val="001D3A49"/>
    <w:rsid w:val="001D7AE0"/>
    <w:rsid w:val="001D7FE0"/>
    <w:rsid w:val="001E052E"/>
    <w:rsid w:val="001E175E"/>
    <w:rsid w:val="001E19C1"/>
    <w:rsid w:val="001E388A"/>
    <w:rsid w:val="001E4B32"/>
    <w:rsid w:val="001E6B37"/>
    <w:rsid w:val="001E6E90"/>
    <w:rsid w:val="001F1462"/>
    <w:rsid w:val="001F14E8"/>
    <w:rsid w:val="002003E8"/>
    <w:rsid w:val="00200697"/>
    <w:rsid w:val="00202258"/>
    <w:rsid w:val="00213111"/>
    <w:rsid w:val="0021333F"/>
    <w:rsid w:val="002138A0"/>
    <w:rsid w:val="002162BF"/>
    <w:rsid w:val="00217878"/>
    <w:rsid w:val="00222E92"/>
    <w:rsid w:val="00224321"/>
    <w:rsid w:val="00226F21"/>
    <w:rsid w:val="002316FB"/>
    <w:rsid w:val="0023175F"/>
    <w:rsid w:val="0023272E"/>
    <w:rsid w:val="00236CA8"/>
    <w:rsid w:val="002405A3"/>
    <w:rsid w:val="00240CC6"/>
    <w:rsid w:val="0024127A"/>
    <w:rsid w:val="002422FD"/>
    <w:rsid w:val="00243270"/>
    <w:rsid w:val="002447D1"/>
    <w:rsid w:val="00245662"/>
    <w:rsid w:val="002469FD"/>
    <w:rsid w:val="00246DDC"/>
    <w:rsid w:val="00251B15"/>
    <w:rsid w:val="00253CA9"/>
    <w:rsid w:val="002556ED"/>
    <w:rsid w:val="0026159F"/>
    <w:rsid w:val="00262BB2"/>
    <w:rsid w:val="002632AB"/>
    <w:rsid w:val="00263911"/>
    <w:rsid w:val="00271075"/>
    <w:rsid w:val="002750FA"/>
    <w:rsid w:val="00275A93"/>
    <w:rsid w:val="00275B6A"/>
    <w:rsid w:val="0027638A"/>
    <w:rsid w:val="00276C3A"/>
    <w:rsid w:val="00280BCB"/>
    <w:rsid w:val="00281CB2"/>
    <w:rsid w:val="00283599"/>
    <w:rsid w:val="00283897"/>
    <w:rsid w:val="00286999"/>
    <w:rsid w:val="00287AFA"/>
    <w:rsid w:val="00287C3A"/>
    <w:rsid w:val="002914E1"/>
    <w:rsid w:val="00293D47"/>
    <w:rsid w:val="00294EBF"/>
    <w:rsid w:val="00295C84"/>
    <w:rsid w:val="00297AFF"/>
    <w:rsid w:val="00297C85"/>
    <w:rsid w:val="002A0AA4"/>
    <w:rsid w:val="002A1675"/>
    <w:rsid w:val="002A206D"/>
    <w:rsid w:val="002A3F12"/>
    <w:rsid w:val="002A63B3"/>
    <w:rsid w:val="002A7A2A"/>
    <w:rsid w:val="002B0EC5"/>
    <w:rsid w:val="002B12CE"/>
    <w:rsid w:val="002B1303"/>
    <w:rsid w:val="002B380C"/>
    <w:rsid w:val="002B4B4B"/>
    <w:rsid w:val="002C0318"/>
    <w:rsid w:val="002C2071"/>
    <w:rsid w:val="002C20BD"/>
    <w:rsid w:val="002C2F73"/>
    <w:rsid w:val="002C343C"/>
    <w:rsid w:val="002C3DAD"/>
    <w:rsid w:val="002C47CA"/>
    <w:rsid w:val="002D47ED"/>
    <w:rsid w:val="002D4A2B"/>
    <w:rsid w:val="002D5AD7"/>
    <w:rsid w:val="002E1C21"/>
    <w:rsid w:val="002E1DD7"/>
    <w:rsid w:val="002E498E"/>
    <w:rsid w:val="002E64D0"/>
    <w:rsid w:val="002F366F"/>
    <w:rsid w:val="002F7171"/>
    <w:rsid w:val="00302A0E"/>
    <w:rsid w:val="0030380F"/>
    <w:rsid w:val="003045B9"/>
    <w:rsid w:val="0030491C"/>
    <w:rsid w:val="00304C41"/>
    <w:rsid w:val="003068A3"/>
    <w:rsid w:val="00306D93"/>
    <w:rsid w:val="00307E9F"/>
    <w:rsid w:val="00314E30"/>
    <w:rsid w:val="00317DAF"/>
    <w:rsid w:val="00320C61"/>
    <w:rsid w:val="00320D32"/>
    <w:rsid w:val="00321FB0"/>
    <w:rsid w:val="00323CAB"/>
    <w:rsid w:val="00323D2D"/>
    <w:rsid w:val="0032409E"/>
    <w:rsid w:val="0033162C"/>
    <w:rsid w:val="003329D9"/>
    <w:rsid w:val="00337E52"/>
    <w:rsid w:val="00340643"/>
    <w:rsid w:val="00340705"/>
    <w:rsid w:val="00344297"/>
    <w:rsid w:val="00344519"/>
    <w:rsid w:val="00346F6E"/>
    <w:rsid w:val="00347CDC"/>
    <w:rsid w:val="003509FF"/>
    <w:rsid w:val="00351177"/>
    <w:rsid w:val="00353036"/>
    <w:rsid w:val="00353965"/>
    <w:rsid w:val="0035410A"/>
    <w:rsid w:val="00354C0D"/>
    <w:rsid w:val="00355E3A"/>
    <w:rsid w:val="00356938"/>
    <w:rsid w:val="00356EDA"/>
    <w:rsid w:val="00357676"/>
    <w:rsid w:val="003578F0"/>
    <w:rsid w:val="00357B1A"/>
    <w:rsid w:val="00364487"/>
    <w:rsid w:val="00365879"/>
    <w:rsid w:val="00366BD7"/>
    <w:rsid w:val="00370FF5"/>
    <w:rsid w:val="00371B0D"/>
    <w:rsid w:val="003748D5"/>
    <w:rsid w:val="00377C47"/>
    <w:rsid w:val="00381BBF"/>
    <w:rsid w:val="00384131"/>
    <w:rsid w:val="003850BA"/>
    <w:rsid w:val="003864B9"/>
    <w:rsid w:val="00386CF7"/>
    <w:rsid w:val="003901FF"/>
    <w:rsid w:val="00391733"/>
    <w:rsid w:val="00393069"/>
    <w:rsid w:val="003944E2"/>
    <w:rsid w:val="003A1B42"/>
    <w:rsid w:val="003A200C"/>
    <w:rsid w:val="003A20A5"/>
    <w:rsid w:val="003A71CD"/>
    <w:rsid w:val="003A7216"/>
    <w:rsid w:val="003B09F0"/>
    <w:rsid w:val="003B1EB0"/>
    <w:rsid w:val="003B2665"/>
    <w:rsid w:val="003B2707"/>
    <w:rsid w:val="003B271B"/>
    <w:rsid w:val="003B3B9E"/>
    <w:rsid w:val="003B53F7"/>
    <w:rsid w:val="003B5EEC"/>
    <w:rsid w:val="003B7BB0"/>
    <w:rsid w:val="003C6702"/>
    <w:rsid w:val="003C795C"/>
    <w:rsid w:val="003D1762"/>
    <w:rsid w:val="003D5340"/>
    <w:rsid w:val="003D5488"/>
    <w:rsid w:val="003D5C92"/>
    <w:rsid w:val="003E1AAD"/>
    <w:rsid w:val="003E23CD"/>
    <w:rsid w:val="003E3C75"/>
    <w:rsid w:val="003E4152"/>
    <w:rsid w:val="003E68FD"/>
    <w:rsid w:val="003F12C2"/>
    <w:rsid w:val="003F39E7"/>
    <w:rsid w:val="003F3FC2"/>
    <w:rsid w:val="003F4D04"/>
    <w:rsid w:val="003F5ECB"/>
    <w:rsid w:val="003F6D73"/>
    <w:rsid w:val="004019B7"/>
    <w:rsid w:val="00402848"/>
    <w:rsid w:val="0040327D"/>
    <w:rsid w:val="00403890"/>
    <w:rsid w:val="00404C3E"/>
    <w:rsid w:val="00405807"/>
    <w:rsid w:val="004063D1"/>
    <w:rsid w:val="00406659"/>
    <w:rsid w:val="00406FFD"/>
    <w:rsid w:val="00412AE0"/>
    <w:rsid w:val="00413227"/>
    <w:rsid w:val="00413547"/>
    <w:rsid w:val="004149A0"/>
    <w:rsid w:val="00420B61"/>
    <w:rsid w:val="004242C9"/>
    <w:rsid w:val="004243AB"/>
    <w:rsid w:val="004256C3"/>
    <w:rsid w:val="004309F2"/>
    <w:rsid w:val="00431BDA"/>
    <w:rsid w:val="00435992"/>
    <w:rsid w:val="00442A5E"/>
    <w:rsid w:val="00443D45"/>
    <w:rsid w:val="00446F38"/>
    <w:rsid w:val="0045083A"/>
    <w:rsid w:val="004508BA"/>
    <w:rsid w:val="00454A75"/>
    <w:rsid w:val="0045530D"/>
    <w:rsid w:val="004554E8"/>
    <w:rsid w:val="00456101"/>
    <w:rsid w:val="004566B1"/>
    <w:rsid w:val="0046036D"/>
    <w:rsid w:val="00460B6B"/>
    <w:rsid w:val="00461D8D"/>
    <w:rsid w:val="00462165"/>
    <w:rsid w:val="004633BC"/>
    <w:rsid w:val="00464FC7"/>
    <w:rsid w:val="00467940"/>
    <w:rsid w:val="0047265A"/>
    <w:rsid w:val="0047267B"/>
    <w:rsid w:val="00472A67"/>
    <w:rsid w:val="00472B95"/>
    <w:rsid w:val="004732A3"/>
    <w:rsid w:val="00474025"/>
    <w:rsid w:val="00474872"/>
    <w:rsid w:val="0047512B"/>
    <w:rsid w:val="00475BA4"/>
    <w:rsid w:val="00480CB1"/>
    <w:rsid w:val="0048207A"/>
    <w:rsid w:val="0048216B"/>
    <w:rsid w:val="00483187"/>
    <w:rsid w:val="004835C1"/>
    <w:rsid w:val="00487B70"/>
    <w:rsid w:val="00490B80"/>
    <w:rsid w:val="00490D35"/>
    <w:rsid w:val="00494639"/>
    <w:rsid w:val="004A3036"/>
    <w:rsid w:val="004A3FE6"/>
    <w:rsid w:val="004A70F9"/>
    <w:rsid w:val="004B02F0"/>
    <w:rsid w:val="004B0588"/>
    <w:rsid w:val="004B0AA0"/>
    <w:rsid w:val="004B1BCE"/>
    <w:rsid w:val="004B312A"/>
    <w:rsid w:val="004B4FC7"/>
    <w:rsid w:val="004B5B54"/>
    <w:rsid w:val="004B6AF1"/>
    <w:rsid w:val="004B74EF"/>
    <w:rsid w:val="004B77E4"/>
    <w:rsid w:val="004C3207"/>
    <w:rsid w:val="004C6932"/>
    <w:rsid w:val="004D12D7"/>
    <w:rsid w:val="004D12F5"/>
    <w:rsid w:val="004D1FD9"/>
    <w:rsid w:val="004D52E0"/>
    <w:rsid w:val="004E0301"/>
    <w:rsid w:val="004E3E79"/>
    <w:rsid w:val="004E41C3"/>
    <w:rsid w:val="004F029F"/>
    <w:rsid w:val="004F24F3"/>
    <w:rsid w:val="004F342E"/>
    <w:rsid w:val="004F4F7D"/>
    <w:rsid w:val="004F541F"/>
    <w:rsid w:val="004F6B52"/>
    <w:rsid w:val="005015BA"/>
    <w:rsid w:val="00501E24"/>
    <w:rsid w:val="00501FFD"/>
    <w:rsid w:val="005067B0"/>
    <w:rsid w:val="00506E20"/>
    <w:rsid w:val="005109E3"/>
    <w:rsid w:val="00511CBC"/>
    <w:rsid w:val="00512D82"/>
    <w:rsid w:val="00514862"/>
    <w:rsid w:val="0052155C"/>
    <w:rsid w:val="00521AE1"/>
    <w:rsid w:val="005225FA"/>
    <w:rsid w:val="00524D2F"/>
    <w:rsid w:val="00535225"/>
    <w:rsid w:val="005374F2"/>
    <w:rsid w:val="0053793D"/>
    <w:rsid w:val="0054130B"/>
    <w:rsid w:val="00542008"/>
    <w:rsid w:val="00542379"/>
    <w:rsid w:val="005439DF"/>
    <w:rsid w:val="0054514E"/>
    <w:rsid w:val="00546467"/>
    <w:rsid w:val="005464CE"/>
    <w:rsid w:val="00546790"/>
    <w:rsid w:val="00550773"/>
    <w:rsid w:val="00551F59"/>
    <w:rsid w:val="00553CD4"/>
    <w:rsid w:val="0055435E"/>
    <w:rsid w:val="0055531F"/>
    <w:rsid w:val="00556E19"/>
    <w:rsid w:val="00561F05"/>
    <w:rsid w:val="005620CB"/>
    <w:rsid w:val="00562FBC"/>
    <w:rsid w:val="00563A40"/>
    <w:rsid w:val="005658BE"/>
    <w:rsid w:val="00566DA1"/>
    <w:rsid w:val="00567AA1"/>
    <w:rsid w:val="00573EDB"/>
    <w:rsid w:val="00575858"/>
    <w:rsid w:val="00576B53"/>
    <w:rsid w:val="00577532"/>
    <w:rsid w:val="005814CC"/>
    <w:rsid w:val="005830D1"/>
    <w:rsid w:val="00583125"/>
    <w:rsid w:val="005903AB"/>
    <w:rsid w:val="005932CD"/>
    <w:rsid w:val="005A2361"/>
    <w:rsid w:val="005A4A28"/>
    <w:rsid w:val="005A63DB"/>
    <w:rsid w:val="005A6A5C"/>
    <w:rsid w:val="005A6FB6"/>
    <w:rsid w:val="005B3CC4"/>
    <w:rsid w:val="005B577F"/>
    <w:rsid w:val="005B6C23"/>
    <w:rsid w:val="005B789B"/>
    <w:rsid w:val="005B7BAF"/>
    <w:rsid w:val="005B7C53"/>
    <w:rsid w:val="005C036A"/>
    <w:rsid w:val="005C0B9B"/>
    <w:rsid w:val="005C37CD"/>
    <w:rsid w:val="005C3DE9"/>
    <w:rsid w:val="005C4E70"/>
    <w:rsid w:val="005C5884"/>
    <w:rsid w:val="005C5996"/>
    <w:rsid w:val="005C6308"/>
    <w:rsid w:val="005C6B62"/>
    <w:rsid w:val="005C7624"/>
    <w:rsid w:val="005C7E05"/>
    <w:rsid w:val="005D000E"/>
    <w:rsid w:val="005D1CA1"/>
    <w:rsid w:val="005D1CF6"/>
    <w:rsid w:val="005D2E92"/>
    <w:rsid w:val="005D4C4E"/>
    <w:rsid w:val="005D510D"/>
    <w:rsid w:val="005D5360"/>
    <w:rsid w:val="005D6333"/>
    <w:rsid w:val="005D6884"/>
    <w:rsid w:val="005D698F"/>
    <w:rsid w:val="005E1300"/>
    <w:rsid w:val="005E6DFB"/>
    <w:rsid w:val="005E73B3"/>
    <w:rsid w:val="005E7C10"/>
    <w:rsid w:val="005F0D34"/>
    <w:rsid w:val="005F2E38"/>
    <w:rsid w:val="005F2ED9"/>
    <w:rsid w:val="005F374C"/>
    <w:rsid w:val="005F3A34"/>
    <w:rsid w:val="005F4A2F"/>
    <w:rsid w:val="005F5206"/>
    <w:rsid w:val="005F6C71"/>
    <w:rsid w:val="00602986"/>
    <w:rsid w:val="00603218"/>
    <w:rsid w:val="00603BA8"/>
    <w:rsid w:val="00606DBB"/>
    <w:rsid w:val="006070C7"/>
    <w:rsid w:val="00610502"/>
    <w:rsid w:val="006109BB"/>
    <w:rsid w:val="00612EE8"/>
    <w:rsid w:val="006142E9"/>
    <w:rsid w:val="00617C42"/>
    <w:rsid w:val="0062096C"/>
    <w:rsid w:val="006210E7"/>
    <w:rsid w:val="00623FAD"/>
    <w:rsid w:val="006267DF"/>
    <w:rsid w:val="00632234"/>
    <w:rsid w:val="0063383B"/>
    <w:rsid w:val="00635A76"/>
    <w:rsid w:val="00635E87"/>
    <w:rsid w:val="00635F84"/>
    <w:rsid w:val="00635FF2"/>
    <w:rsid w:val="0064068C"/>
    <w:rsid w:val="00641D65"/>
    <w:rsid w:val="00642472"/>
    <w:rsid w:val="00644283"/>
    <w:rsid w:val="0065406E"/>
    <w:rsid w:val="00654500"/>
    <w:rsid w:val="00660CB3"/>
    <w:rsid w:val="00661048"/>
    <w:rsid w:val="00662D98"/>
    <w:rsid w:val="006642CF"/>
    <w:rsid w:val="00665929"/>
    <w:rsid w:val="006735E3"/>
    <w:rsid w:val="006832E1"/>
    <w:rsid w:val="00686582"/>
    <w:rsid w:val="00686E13"/>
    <w:rsid w:val="00686F1A"/>
    <w:rsid w:val="006879DB"/>
    <w:rsid w:val="00690967"/>
    <w:rsid w:val="00694144"/>
    <w:rsid w:val="006947CD"/>
    <w:rsid w:val="00694A4B"/>
    <w:rsid w:val="0069582D"/>
    <w:rsid w:val="00695FEC"/>
    <w:rsid w:val="00696896"/>
    <w:rsid w:val="006A0996"/>
    <w:rsid w:val="006A1AD9"/>
    <w:rsid w:val="006A5BC4"/>
    <w:rsid w:val="006A7929"/>
    <w:rsid w:val="006A7E1B"/>
    <w:rsid w:val="006B0972"/>
    <w:rsid w:val="006B0A50"/>
    <w:rsid w:val="006B10ED"/>
    <w:rsid w:val="006B19C2"/>
    <w:rsid w:val="006B31C7"/>
    <w:rsid w:val="006B3C58"/>
    <w:rsid w:val="006B404F"/>
    <w:rsid w:val="006C11C3"/>
    <w:rsid w:val="006C52F7"/>
    <w:rsid w:val="006C58A5"/>
    <w:rsid w:val="006C758B"/>
    <w:rsid w:val="006C7D86"/>
    <w:rsid w:val="006D2C25"/>
    <w:rsid w:val="006D3DE8"/>
    <w:rsid w:val="006D44C6"/>
    <w:rsid w:val="006D4C3D"/>
    <w:rsid w:val="006D6152"/>
    <w:rsid w:val="006D7860"/>
    <w:rsid w:val="006E2B09"/>
    <w:rsid w:val="006E4F00"/>
    <w:rsid w:val="006E4F5B"/>
    <w:rsid w:val="006E5F26"/>
    <w:rsid w:val="006E656C"/>
    <w:rsid w:val="006F0A5E"/>
    <w:rsid w:val="006F3DF9"/>
    <w:rsid w:val="006F5E88"/>
    <w:rsid w:val="006F6978"/>
    <w:rsid w:val="00701D64"/>
    <w:rsid w:val="007021DE"/>
    <w:rsid w:val="0070348D"/>
    <w:rsid w:val="00711BD0"/>
    <w:rsid w:val="00713CF0"/>
    <w:rsid w:val="007155D5"/>
    <w:rsid w:val="00721E8A"/>
    <w:rsid w:val="0073050E"/>
    <w:rsid w:val="0073119A"/>
    <w:rsid w:val="00731F16"/>
    <w:rsid w:val="00733816"/>
    <w:rsid w:val="00733B58"/>
    <w:rsid w:val="007343EB"/>
    <w:rsid w:val="007352CF"/>
    <w:rsid w:val="0073672D"/>
    <w:rsid w:val="0074284D"/>
    <w:rsid w:val="007452F6"/>
    <w:rsid w:val="007508A7"/>
    <w:rsid w:val="00750AFB"/>
    <w:rsid w:val="00751449"/>
    <w:rsid w:val="00753559"/>
    <w:rsid w:val="00756C0E"/>
    <w:rsid w:val="007614C1"/>
    <w:rsid w:val="007626E9"/>
    <w:rsid w:val="00764237"/>
    <w:rsid w:val="00764A74"/>
    <w:rsid w:val="007662FA"/>
    <w:rsid w:val="007733DA"/>
    <w:rsid w:val="00773E7B"/>
    <w:rsid w:val="0077632D"/>
    <w:rsid w:val="0078185B"/>
    <w:rsid w:val="007839D0"/>
    <w:rsid w:val="00783C5E"/>
    <w:rsid w:val="007900DF"/>
    <w:rsid w:val="00790631"/>
    <w:rsid w:val="00790E1B"/>
    <w:rsid w:val="00792A5D"/>
    <w:rsid w:val="00792CA4"/>
    <w:rsid w:val="0079487A"/>
    <w:rsid w:val="0079513D"/>
    <w:rsid w:val="007A0625"/>
    <w:rsid w:val="007A1433"/>
    <w:rsid w:val="007A17D0"/>
    <w:rsid w:val="007A6546"/>
    <w:rsid w:val="007A7BCE"/>
    <w:rsid w:val="007B02E2"/>
    <w:rsid w:val="007B1C9E"/>
    <w:rsid w:val="007B1FD9"/>
    <w:rsid w:val="007B5D22"/>
    <w:rsid w:val="007C4DCF"/>
    <w:rsid w:val="007C658C"/>
    <w:rsid w:val="007D0886"/>
    <w:rsid w:val="007D14D9"/>
    <w:rsid w:val="007D1637"/>
    <w:rsid w:val="007D269C"/>
    <w:rsid w:val="007D4622"/>
    <w:rsid w:val="007D616E"/>
    <w:rsid w:val="007E002F"/>
    <w:rsid w:val="007E1036"/>
    <w:rsid w:val="007E1476"/>
    <w:rsid w:val="007E2F4D"/>
    <w:rsid w:val="007E3788"/>
    <w:rsid w:val="007E516E"/>
    <w:rsid w:val="007E740B"/>
    <w:rsid w:val="007F35F9"/>
    <w:rsid w:val="007F57BF"/>
    <w:rsid w:val="007F754E"/>
    <w:rsid w:val="00802848"/>
    <w:rsid w:val="008035E2"/>
    <w:rsid w:val="00803DEA"/>
    <w:rsid w:val="00803EFE"/>
    <w:rsid w:val="008040E9"/>
    <w:rsid w:val="00804154"/>
    <w:rsid w:val="008119A4"/>
    <w:rsid w:val="0081399B"/>
    <w:rsid w:val="00815EDF"/>
    <w:rsid w:val="008203F6"/>
    <w:rsid w:val="00820691"/>
    <w:rsid w:val="00821AE0"/>
    <w:rsid w:val="00822B41"/>
    <w:rsid w:val="00823869"/>
    <w:rsid w:val="00824D68"/>
    <w:rsid w:val="0082615F"/>
    <w:rsid w:val="00826404"/>
    <w:rsid w:val="008265B1"/>
    <w:rsid w:val="00826DDA"/>
    <w:rsid w:val="00827793"/>
    <w:rsid w:val="00827FCE"/>
    <w:rsid w:val="0083096C"/>
    <w:rsid w:val="00831841"/>
    <w:rsid w:val="00835017"/>
    <w:rsid w:val="00835EFA"/>
    <w:rsid w:val="008379E2"/>
    <w:rsid w:val="00840B34"/>
    <w:rsid w:val="00842009"/>
    <w:rsid w:val="00842207"/>
    <w:rsid w:val="0084327D"/>
    <w:rsid w:val="00843DEA"/>
    <w:rsid w:val="00845C3F"/>
    <w:rsid w:val="0084687A"/>
    <w:rsid w:val="0084712A"/>
    <w:rsid w:val="00855E91"/>
    <w:rsid w:val="008604B6"/>
    <w:rsid w:val="00861076"/>
    <w:rsid w:val="00861682"/>
    <w:rsid w:val="00862BB9"/>
    <w:rsid w:val="00862C64"/>
    <w:rsid w:val="00862DEB"/>
    <w:rsid w:val="00866D8E"/>
    <w:rsid w:val="008677B5"/>
    <w:rsid w:val="008734DF"/>
    <w:rsid w:val="008777FB"/>
    <w:rsid w:val="00883D95"/>
    <w:rsid w:val="008849FB"/>
    <w:rsid w:val="00887923"/>
    <w:rsid w:val="00890062"/>
    <w:rsid w:val="00890725"/>
    <w:rsid w:val="00890784"/>
    <w:rsid w:val="00891416"/>
    <w:rsid w:val="008916AD"/>
    <w:rsid w:val="00892FB6"/>
    <w:rsid w:val="00893A45"/>
    <w:rsid w:val="008953C3"/>
    <w:rsid w:val="00897E75"/>
    <w:rsid w:val="008A014D"/>
    <w:rsid w:val="008A0522"/>
    <w:rsid w:val="008A1805"/>
    <w:rsid w:val="008A2124"/>
    <w:rsid w:val="008A2488"/>
    <w:rsid w:val="008A34CB"/>
    <w:rsid w:val="008A4D7B"/>
    <w:rsid w:val="008A76E7"/>
    <w:rsid w:val="008A7C49"/>
    <w:rsid w:val="008B0B7C"/>
    <w:rsid w:val="008B16DD"/>
    <w:rsid w:val="008B2801"/>
    <w:rsid w:val="008B467B"/>
    <w:rsid w:val="008B7BC8"/>
    <w:rsid w:val="008C1AE1"/>
    <w:rsid w:val="008C22CC"/>
    <w:rsid w:val="008C65AE"/>
    <w:rsid w:val="008C7E36"/>
    <w:rsid w:val="008D6AEB"/>
    <w:rsid w:val="008D7AA1"/>
    <w:rsid w:val="008E0596"/>
    <w:rsid w:val="008E0C6B"/>
    <w:rsid w:val="008E0FE9"/>
    <w:rsid w:val="008E4C4D"/>
    <w:rsid w:val="008E5E66"/>
    <w:rsid w:val="008F0286"/>
    <w:rsid w:val="008F1C28"/>
    <w:rsid w:val="008F3352"/>
    <w:rsid w:val="008F445D"/>
    <w:rsid w:val="008F507A"/>
    <w:rsid w:val="008F6AC3"/>
    <w:rsid w:val="008F6C21"/>
    <w:rsid w:val="00900FAE"/>
    <w:rsid w:val="009037F7"/>
    <w:rsid w:val="009102FF"/>
    <w:rsid w:val="00913133"/>
    <w:rsid w:val="00913B94"/>
    <w:rsid w:val="009158FE"/>
    <w:rsid w:val="00916DEE"/>
    <w:rsid w:val="00921F1B"/>
    <w:rsid w:val="00923991"/>
    <w:rsid w:val="0092646D"/>
    <w:rsid w:val="00926B59"/>
    <w:rsid w:val="009271D3"/>
    <w:rsid w:val="009306F7"/>
    <w:rsid w:val="00931402"/>
    <w:rsid w:val="009347EC"/>
    <w:rsid w:val="00935276"/>
    <w:rsid w:val="00936D0C"/>
    <w:rsid w:val="0094034E"/>
    <w:rsid w:val="00940A22"/>
    <w:rsid w:val="00940FF0"/>
    <w:rsid w:val="00941472"/>
    <w:rsid w:val="009422CC"/>
    <w:rsid w:val="00942398"/>
    <w:rsid w:val="0094466B"/>
    <w:rsid w:val="0094471C"/>
    <w:rsid w:val="00944CFC"/>
    <w:rsid w:val="00946942"/>
    <w:rsid w:val="00950109"/>
    <w:rsid w:val="00950204"/>
    <w:rsid w:val="00950C68"/>
    <w:rsid w:val="00952631"/>
    <w:rsid w:val="0095271E"/>
    <w:rsid w:val="0095300B"/>
    <w:rsid w:val="00953586"/>
    <w:rsid w:val="0095360C"/>
    <w:rsid w:val="009537AE"/>
    <w:rsid w:val="00957AD8"/>
    <w:rsid w:val="00960D53"/>
    <w:rsid w:val="00964E45"/>
    <w:rsid w:val="0096577B"/>
    <w:rsid w:val="00965C2A"/>
    <w:rsid w:val="00967B7F"/>
    <w:rsid w:val="00967F02"/>
    <w:rsid w:val="009709DC"/>
    <w:rsid w:val="00981E5F"/>
    <w:rsid w:val="00983972"/>
    <w:rsid w:val="00985750"/>
    <w:rsid w:val="00987AB0"/>
    <w:rsid w:val="00990774"/>
    <w:rsid w:val="00990FE4"/>
    <w:rsid w:val="009916A2"/>
    <w:rsid w:val="00994C6F"/>
    <w:rsid w:val="009A02AE"/>
    <w:rsid w:val="009A496F"/>
    <w:rsid w:val="009B02E8"/>
    <w:rsid w:val="009B29D7"/>
    <w:rsid w:val="009B29E6"/>
    <w:rsid w:val="009B436B"/>
    <w:rsid w:val="009B4D86"/>
    <w:rsid w:val="009B5BDE"/>
    <w:rsid w:val="009B6114"/>
    <w:rsid w:val="009B68E7"/>
    <w:rsid w:val="009C0D4E"/>
    <w:rsid w:val="009C198C"/>
    <w:rsid w:val="009C1EC3"/>
    <w:rsid w:val="009C2E65"/>
    <w:rsid w:val="009C5E3A"/>
    <w:rsid w:val="009C6587"/>
    <w:rsid w:val="009D08E4"/>
    <w:rsid w:val="009D114F"/>
    <w:rsid w:val="009D5D0C"/>
    <w:rsid w:val="009E0675"/>
    <w:rsid w:val="009E471E"/>
    <w:rsid w:val="009E69D1"/>
    <w:rsid w:val="009E743E"/>
    <w:rsid w:val="009F0B82"/>
    <w:rsid w:val="009F47B7"/>
    <w:rsid w:val="009F572A"/>
    <w:rsid w:val="009F5F96"/>
    <w:rsid w:val="009F7AAD"/>
    <w:rsid w:val="00A008DD"/>
    <w:rsid w:val="00A05658"/>
    <w:rsid w:val="00A11DE7"/>
    <w:rsid w:val="00A13118"/>
    <w:rsid w:val="00A14CA7"/>
    <w:rsid w:val="00A154D7"/>
    <w:rsid w:val="00A23285"/>
    <w:rsid w:val="00A23A64"/>
    <w:rsid w:val="00A259D4"/>
    <w:rsid w:val="00A26683"/>
    <w:rsid w:val="00A26A92"/>
    <w:rsid w:val="00A31F84"/>
    <w:rsid w:val="00A326D9"/>
    <w:rsid w:val="00A3417A"/>
    <w:rsid w:val="00A345EE"/>
    <w:rsid w:val="00A35E09"/>
    <w:rsid w:val="00A36841"/>
    <w:rsid w:val="00A36960"/>
    <w:rsid w:val="00A371F3"/>
    <w:rsid w:val="00A37BE4"/>
    <w:rsid w:val="00A51E4A"/>
    <w:rsid w:val="00A528FD"/>
    <w:rsid w:val="00A52983"/>
    <w:rsid w:val="00A53FEC"/>
    <w:rsid w:val="00A54E27"/>
    <w:rsid w:val="00A55A30"/>
    <w:rsid w:val="00A55F71"/>
    <w:rsid w:val="00A6029B"/>
    <w:rsid w:val="00A6092B"/>
    <w:rsid w:val="00A624E4"/>
    <w:rsid w:val="00A63361"/>
    <w:rsid w:val="00A63979"/>
    <w:rsid w:val="00A64089"/>
    <w:rsid w:val="00A6531D"/>
    <w:rsid w:val="00A65BAE"/>
    <w:rsid w:val="00A66C0E"/>
    <w:rsid w:val="00A671CA"/>
    <w:rsid w:val="00A70124"/>
    <w:rsid w:val="00A71923"/>
    <w:rsid w:val="00A72275"/>
    <w:rsid w:val="00A74031"/>
    <w:rsid w:val="00A74484"/>
    <w:rsid w:val="00A80627"/>
    <w:rsid w:val="00A809C6"/>
    <w:rsid w:val="00A82F47"/>
    <w:rsid w:val="00A83B26"/>
    <w:rsid w:val="00A84253"/>
    <w:rsid w:val="00A8484A"/>
    <w:rsid w:val="00A861AA"/>
    <w:rsid w:val="00A91E5A"/>
    <w:rsid w:val="00A927E2"/>
    <w:rsid w:val="00AA05A1"/>
    <w:rsid w:val="00AA28AE"/>
    <w:rsid w:val="00AA300A"/>
    <w:rsid w:val="00AA39DE"/>
    <w:rsid w:val="00AA5A63"/>
    <w:rsid w:val="00AA6E14"/>
    <w:rsid w:val="00AA77C1"/>
    <w:rsid w:val="00AB1905"/>
    <w:rsid w:val="00AB6A9F"/>
    <w:rsid w:val="00AB7360"/>
    <w:rsid w:val="00AB7FFB"/>
    <w:rsid w:val="00AC2BFD"/>
    <w:rsid w:val="00AC3953"/>
    <w:rsid w:val="00AC449E"/>
    <w:rsid w:val="00AC4E74"/>
    <w:rsid w:val="00AC54C2"/>
    <w:rsid w:val="00AC5D50"/>
    <w:rsid w:val="00AD0436"/>
    <w:rsid w:val="00AD301C"/>
    <w:rsid w:val="00AD352D"/>
    <w:rsid w:val="00AD5BAD"/>
    <w:rsid w:val="00AD62EE"/>
    <w:rsid w:val="00AE0F1F"/>
    <w:rsid w:val="00AE2185"/>
    <w:rsid w:val="00AE2427"/>
    <w:rsid w:val="00AE24F2"/>
    <w:rsid w:val="00AE2EE2"/>
    <w:rsid w:val="00AE321A"/>
    <w:rsid w:val="00AE3EA7"/>
    <w:rsid w:val="00AE452D"/>
    <w:rsid w:val="00AE61BE"/>
    <w:rsid w:val="00AF1610"/>
    <w:rsid w:val="00AF3AA5"/>
    <w:rsid w:val="00AF5608"/>
    <w:rsid w:val="00B0019E"/>
    <w:rsid w:val="00B014BB"/>
    <w:rsid w:val="00B034DC"/>
    <w:rsid w:val="00B03F4D"/>
    <w:rsid w:val="00B04399"/>
    <w:rsid w:val="00B0457C"/>
    <w:rsid w:val="00B06A58"/>
    <w:rsid w:val="00B10E9C"/>
    <w:rsid w:val="00B12E18"/>
    <w:rsid w:val="00B140A3"/>
    <w:rsid w:val="00B20705"/>
    <w:rsid w:val="00B230F1"/>
    <w:rsid w:val="00B23327"/>
    <w:rsid w:val="00B2348E"/>
    <w:rsid w:val="00B24A8B"/>
    <w:rsid w:val="00B26022"/>
    <w:rsid w:val="00B2633D"/>
    <w:rsid w:val="00B3318E"/>
    <w:rsid w:val="00B33312"/>
    <w:rsid w:val="00B338A5"/>
    <w:rsid w:val="00B34404"/>
    <w:rsid w:val="00B40866"/>
    <w:rsid w:val="00B4103D"/>
    <w:rsid w:val="00B41ABA"/>
    <w:rsid w:val="00B42D63"/>
    <w:rsid w:val="00B45C1D"/>
    <w:rsid w:val="00B472E8"/>
    <w:rsid w:val="00B50C1B"/>
    <w:rsid w:val="00B52F7E"/>
    <w:rsid w:val="00B530B5"/>
    <w:rsid w:val="00B530D2"/>
    <w:rsid w:val="00B54AFA"/>
    <w:rsid w:val="00B54D5F"/>
    <w:rsid w:val="00B6070C"/>
    <w:rsid w:val="00B60FD2"/>
    <w:rsid w:val="00B6122E"/>
    <w:rsid w:val="00B6581D"/>
    <w:rsid w:val="00B66425"/>
    <w:rsid w:val="00B666AA"/>
    <w:rsid w:val="00B70976"/>
    <w:rsid w:val="00B715D2"/>
    <w:rsid w:val="00B731EB"/>
    <w:rsid w:val="00B73C76"/>
    <w:rsid w:val="00B75614"/>
    <w:rsid w:val="00B76760"/>
    <w:rsid w:val="00B806CB"/>
    <w:rsid w:val="00B85C1D"/>
    <w:rsid w:val="00B8617A"/>
    <w:rsid w:val="00B86FE1"/>
    <w:rsid w:val="00B87230"/>
    <w:rsid w:val="00B90339"/>
    <w:rsid w:val="00BA3A28"/>
    <w:rsid w:val="00BA4886"/>
    <w:rsid w:val="00BA4ABB"/>
    <w:rsid w:val="00BA586C"/>
    <w:rsid w:val="00BB0013"/>
    <w:rsid w:val="00BB02D2"/>
    <w:rsid w:val="00BB1481"/>
    <w:rsid w:val="00BB422C"/>
    <w:rsid w:val="00BB4B2C"/>
    <w:rsid w:val="00BB4FAC"/>
    <w:rsid w:val="00BC1054"/>
    <w:rsid w:val="00BC14BD"/>
    <w:rsid w:val="00BC1E27"/>
    <w:rsid w:val="00BC2317"/>
    <w:rsid w:val="00BC31A8"/>
    <w:rsid w:val="00BC39DE"/>
    <w:rsid w:val="00BC4008"/>
    <w:rsid w:val="00BD179A"/>
    <w:rsid w:val="00BD400D"/>
    <w:rsid w:val="00BD6411"/>
    <w:rsid w:val="00BD6E69"/>
    <w:rsid w:val="00BD73BB"/>
    <w:rsid w:val="00BE08D7"/>
    <w:rsid w:val="00BE194C"/>
    <w:rsid w:val="00BE3101"/>
    <w:rsid w:val="00BE31EE"/>
    <w:rsid w:val="00BE33B9"/>
    <w:rsid w:val="00BE46FA"/>
    <w:rsid w:val="00BE66D2"/>
    <w:rsid w:val="00BE6F70"/>
    <w:rsid w:val="00BE7244"/>
    <w:rsid w:val="00BF0F0A"/>
    <w:rsid w:val="00BF1079"/>
    <w:rsid w:val="00BF1AD0"/>
    <w:rsid w:val="00BF3DD7"/>
    <w:rsid w:val="00BF792E"/>
    <w:rsid w:val="00C0042C"/>
    <w:rsid w:val="00C0199D"/>
    <w:rsid w:val="00C0211E"/>
    <w:rsid w:val="00C02686"/>
    <w:rsid w:val="00C03E9D"/>
    <w:rsid w:val="00C04568"/>
    <w:rsid w:val="00C04876"/>
    <w:rsid w:val="00C11A1F"/>
    <w:rsid w:val="00C12527"/>
    <w:rsid w:val="00C131E9"/>
    <w:rsid w:val="00C135FF"/>
    <w:rsid w:val="00C13724"/>
    <w:rsid w:val="00C17FC9"/>
    <w:rsid w:val="00C21AD3"/>
    <w:rsid w:val="00C25F56"/>
    <w:rsid w:val="00C30041"/>
    <w:rsid w:val="00C3093B"/>
    <w:rsid w:val="00C30C1D"/>
    <w:rsid w:val="00C33A0F"/>
    <w:rsid w:val="00C34EB3"/>
    <w:rsid w:val="00C372DC"/>
    <w:rsid w:val="00C447BF"/>
    <w:rsid w:val="00C44B41"/>
    <w:rsid w:val="00C47C0A"/>
    <w:rsid w:val="00C506F7"/>
    <w:rsid w:val="00C52D51"/>
    <w:rsid w:val="00C55030"/>
    <w:rsid w:val="00C5707D"/>
    <w:rsid w:val="00C5779A"/>
    <w:rsid w:val="00C62091"/>
    <w:rsid w:val="00C632A5"/>
    <w:rsid w:val="00C63334"/>
    <w:rsid w:val="00C64B5F"/>
    <w:rsid w:val="00C67A08"/>
    <w:rsid w:val="00C701EC"/>
    <w:rsid w:val="00C7397B"/>
    <w:rsid w:val="00C75716"/>
    <w:rsid w:val="00C760F1"/>
    <w:rsid w:val="00C8177E"/>
    <w:rsid w:val="00C81AB5"/>
    <w:rsid w:val="00C82DB2"/>
    <w:rsid w:val="00C84501"/>
    <w:rsid w:val="00C853EA"/>
    <w:rsid w:val="00C86107"/>
    <w:rsid w:val="00C863B3"/>
    <w:rsid w:val="00C90115"/>
    <w:rsid w:val="00C91BBC"/>
    <w:rsid w:val="00C92353"/>
    <w:rsid w:val="00C93F79"/>
    <w:rsid w:val="00C9570D"/>
    <w:rsid w:val="00C966FE"/>
    <w:rsid w:val="00C9672C"/>
    <w:rsid w:val="00C97DD7"/>
    <w:rsid w:val="00CA3DC2"/>
    <w:rsid w:val="00CA4A10"/>
    <w:rsid w:val="00CA5FF4"/>
    <w:rsid w:val="00CA7B77"/>
    <w:rsid w:val="00CB4E5F"/>
    <w:rsid w:val="00CB6180"/>
    <w:rsid w:val="00CC01AD"/>
    <w:rsid w:val="00CC2D92"/>
    <w:rsid w:val="00CC3C46"/>
    <w:rsid w:val="00CD30CA"/>
    <w:rsid w:val="00CD55A3"/>
    <w:rsid w:val="00CD5B2C"/>
    <w:rsid w:val="00CD6131"/>
    <w:rsid w:val="00CE14BA"/>
    <w:rsid w:val="00CE5613"/>
    <w:rsid w:val="00CF03BC"/>
    <w:rsid w:val="00CF36FE"/>
    <w:rsid w:val="00CF4F48"/>
    <w:rsid w:val="00D007FB"/>
    <w:rsid w:val="00D01134"/>
    <w:rsid w:val="00D014C0"/>
    <w:rsid w:val="00D04955"/>
    <w:rsid w:val="00D05835"/>
    <w:rsid w:val="00D063C4"/>
    <w:rsid w:val="00D126E2"/>
    <w:rsid w:val="00D1358D"/>
    <w:rsid w:val="00D1416C"/>
    <w:rsid w:val="00D1519E"/>
    <w:rsid w:val="00D157CE"/>
    <w:rsid w:val="00D16D35"/>
    <w:rsid w:val="00D21111"/>
    <w:rsid w:val="00D22A69"/>
    <w:rsid w:val="00D258E3"/>
    <w:rsid w:val="00D30AAF"/>
    <w:rsid w:val="00D401C2"/>
    <w:rsid w:val="00D40B23"/>
    <w:rsid w:val="00D416D6"/>
    <w:rsid w:val="00D425CD"/>
    <w:rsid w:val="00D42E26"/>
    <w:rsid w:val="00D5014D"/>
    <w:rsid w:val="00D501A8"/>
    <w:rsid w:val="00D50EFA"/>
    <w:rsid w:val="00D564B1"/>
    <w:rsid w:val="00D56924"/>
    <w:rsid w:val="00D610CB"/>
    <w:rsid w:val="00D61230"/>
    <w:rsid w:val="00D61F6B"/>
    <w:rsid w:val="00D62224"/>
    <w:rsid w:val="00D6288E"/>
    <w:rsid w:val="00D64FCB"/>
    <w:rsid w:val="00D65C12"/>
    <w:rsid w:val="00D65ECC"/>
    <w:rsid w:val="00D7039F"/>
    <w:rsid w:val="00D739BC"/>
    <w:rsid w:val="00D76874"/>
    <w:rsid w:val="00D7743A"/>
    <w:rsid w:val="00D812B5"/>
    <w:rsid w:val="00D822A6"/>
    <w:rsid w:val="00D83D44"/>
    <w:rsid w:val="00D85826"/>
    <w:rsid w:val="00D85FB5"/>
    <w:rsid w:val="00D86F5B"/>
    <w:rsid w:val="00D9169A"/>
    <w:rsid w:val="00D919B1"/>
    <w:rsid w:val="00D93A9F"/>
    <w:rsid w:val="00D947B3"/>
    <w:rsid w:val="00D94D12"/>
    <w:rsid w:val="00DA0714"/>
    <w:rsid w:val="00DA2EF2"/>
    <w:rsid w:val="00DA6756"/>
    <w:rsid w:val="00DB06F2"/>
    <w:rsid w:val="00DB0FBD"/>
    <w:rsid w:val="00DB1413"/>
    <w:rsid w:val="00DB166C"/>
    <w:rsid w:val="00DB179E"/>
    <w:rsid w:val="00DB3C4E"/>
    <w:rsid w:val="00DC73A4"/>
    <w:rsid w:val="00DC7A6D"/>
    <w:rsid w:val="00DD0ADE"/>
    <w:rsid w:val="00DD16CD"/>
    <w:rsid w:val="00DD20D6"/>
    <w:rsid w:val="00DD246E"/>
    <w:rsid w:val="00DD262C"/>
    <w:rsid w:val="00DD4821"/>
    <w:rsid w:val="00DD51C4"/>
    <w:rsid w:val="00DD7A71"/>
    <w:rsid w:val="00DE16A9"/>
    <w:rsid w:val="00DE238D"/>
    <w:rsid w:val="00DE3B7F"/>
    <w:rsid w:val="00DE55C4"/>
    <w:rsid w:val="00DE7B06"/>
    <w:rsid w:val="00DF0F53"/>
    <w:rsid w:val="00DF1294"/>
    <w:rsid w:val="00DF1471"/>
    <w:rsid w:val="00DF3534"/>
    <w:rsid w:val="00DF3AC6"/>
    <w:rsid w:val="00E02E2E"/>
    <w:rsid w:val="00E03827"/>
    <w:rsid w:val="00E03D5A"/>
    <w:rsid w:val="00E048A7"/>
    <w:rsid w:val="00E070B1"/>
    <w:rsid w:val="00E07F93"/>
    <w:rsid w:val="00E12BD8"/>
    <w:rsid w:val="00E13761"/>
    <w:rsid w:val="00E160B4"/>
    <w:rsid w:val="00E17204"/>
    <w:rsid w:val="00E21135"/>
    <w:rsid w:val="00E21C2A"/>
    <w:rsid w:val="00E21C75"/>
    <w:rsid w:val="00E22F90"/>
    <w:rsid w:val="00E252F6"/>
    <w:rsid w:val="00E27D5F"/>
    <w:rsid w:val="00E30787"/>
    <w:rsid w:val="00E30976"/>
    <w:rsid w:val="00E316D3"/>
    <w:rsid w:val="00E32E59"/>
    <w:rsid w:val="00E35223"/>
    <w:rsid w:val="00E36AD3"/>
    <w:rsid w:val="00E3782C"/>
    <w:rsid w:val="00E40BF7"/>
    <w:rsid w:val="00E42568"/>
    <w:rsid w:val="00E453CD"/>
    <w:rsid w:val="00E46700"/>
    <w:rsid w:val="00E470C2"/>
    <w:rsid w:val="00E475F7"/>
    <w:rsid w:val="00E47664"/>
    <w:rsid w:val="00E47691"/>
    <w:rsid w:val="00E5173A"/>
    <w:rsid w:val="00E5586E"/>
    <w:rsid w:val="00E66436"/>
    <w:rsid w:val="00E7368B"/>
    <w:rsid w:val="00E76288"/>
    <w:rsid w:val="00E76B82"/>
    <w:rsid w:val="00E817F5"/>
    <w:rsid w:val="00E8425D"/>
    <w:rsid w:val="00E84E08"/>
    <w:rsid w:val="00E86129"/>
    <w:rsid w:val="00E86585"/>
    <w:rsid w:val="00E86C3A"/>
    <w:rsid w:val="00E91188"/>
    <w:rsid w:val="00E9525E"/>
    <w:rsid w:val="00EA0254"/>
    <w:rsid w:val="00EA64D2"/>
    <w:rsid w:val="00EB061A"/>
    <w:rsid w:val="00EB0907"/>
    <w:rsid w:val="00EB0CE4"/>
    <w:rsid w:val="00EB2218"/>
    <w:rsid w:val="00EB4F9A"/>
    <w:rsid w:val="00EB5205"/>
    <w:rsid w:val="00EB5951"/>
    <w:rsid w:val="00EB62CC"/>
    <w:rsid w:val="00EB74FC"/>
    <w:rsid w:val="00EC45CC"/>
    <w:rsid w:val="00EC4F2F"/>
    <w:rsid w:val="00EC4FB0"/>
    <w:rsid w:val="00ED1053"/>
    <w:rsid w:val="00ED7384"/>
    <w:rsid w:val="00ED771F"/>
    <w:rsid w:val="00ED7905"/>
    <w:rsid w:val="00EE4BC4"/>
    <w:rsid w:val="00EE5D17"/>
    <w:rsid w:val="00EE6060"/>
    <w:rsid w:val="00EE6C0B"/>
    <w:rsid w:val="00EF1F2C"/>
    <w:rsid w:val="00EF2D66"/>
    <w:rsid w:val="00EF4F85"/>
    <w:rsid w:val="00EF595E"/>
    <w:rsid w:val="00EF5FB0"/>
    <w:rsid w:val="00EF7B32"/>
    <w:rsid w:val="00EF7BC2"/>
    <w:rsid w:val="00F0282F"/>
    <w:rsid w:val="00F033DC"/>
    <w:rsid w:val="00F058AD"/>
    <w:rsid w:val="00F05ED0"/>
    <w:rsid w:val="00F1144A"/>
    <w:rsid w:val="00F15BA7"/>
    <w:rsid w:val="00F1674E"/>
    <w:rsid w:val="00F21AC3"/>
    <w:rsid w:val="00F25C42"/>
    <w:rsid w:val="00F269FB"/>
    <w:rsid w:val="00F30F7E"/>
    <w:rsid w:val="00F32086"/>
    <w:rsid w:val="00F3311F"/>
    <w:rsid w:val="00F33872"/>
    <w:rsid w:val="00F3482C"/>
    <w:rsid w:val="00F34951"/>
    <w:rsid w:val="00F363D0"/>
    <w:rsid w:val="00F36508"/>
    <w:rsid w:val="00F36590"/>
    <w:rsid w:val="00F36DAD"/>
    <w:rsid w:val="00F375A6"/>
    <w:rsid w:val="00F4060E"/>
    <w:rsid w:val="00F40A71"/>
    <w:rsid w:val="00F41F0B"/>
    <w:rsid w:val="00F442AA"/>
    <w:rsid w:val="00F44578"/>
    <w:rsid w:val="00F5240B"/>
    <w:rsid w:val="00F53CDC"/>
    <w:rsid w:val="00F53DC8"/>
    <w:rsid w:val="00F56C47"/>
    <w:rsid w:val="00F56EA1"/>
    <w:rsid w:val="00F620DE"/>
    <w:rsid w:val="00F64564"/>
    <w:rsid w:val="00F6477B"/>
    <w:rsid w:val="00F70D4F"/>
    <w:rsid w:val="00F7237B"/>
    <w:rsid w:val="00F751C4"/>
    <w:rsid w:val="00F773D4"/>
    <w:rsid w:val="00F77EEC"/>
    <w:rsid w:val="00F80375"/>
    <w:rsid w:val="00F80B12"/>
    <w:rsid w:val="00F80CFB"/>
    <w:rsid w:val="00F862F3"/>
    <w:rsid w:val="00F863E3"/>
    <w:rsid w:val="00F86862"/>
    <w:rsid w:val="00F875EC"/>
    <w:rsid w:val="00F90ED1"/>
    <w:rsid w:val="00F91358"/>
    <w:rsid w:val="00F9442E"/>
    <w:rsid w:val="00F96951"/>
    <w:rsid w:val="00FA0135"/>
    <w:rsid w:val="00FA0B13"/>
    <w:rsid w:val="00FA2E62"/>
    <w:rsid w:val="00FA68C8"/>
    <w:rsid w:val="00FA78F4"/>
    <w:rsid w:val="00FB01E1"/>
    <w:rsid w:val="00FB0B19"/>
    <w:rsid w:val="00FB274F"/>
    <w:rsid w:val="00FB327E"/>
    <w:rsid w:val="00FB52E0"/>
    <w:rsid w:val="00FC25F9"/>
    <w:rsid w:val="00FC36EE"/>
    <w:rsid w:val="00FC3EF5"/>
    <w:rsid w:val="00FC6797"/>
    <w:rsid w:val="00FD177C"/>
    <w:rsid w:val="00FD1956"/>
    <w:rsid w:val="00FD53B1"/>
    <w:rsid w:val="00FD555C"/>
    <w:rsid w:val="00FD624E"/>
    <w:rsid w:val="00FE0F0A"/>
    <w:rsid w:val="00FE1369"/>
    <w:rsid w:val="00FE1F21"/>
    <w:rsid w:val="00FE3084"/>
    <w:rsid w:val="00FE5A38"/>
    <w:rsid w:val="00FF5EB0"/>
    <w:rsid w:val="00FF68A9"/>
    <w:rsid w:val="00FF7159"/>
    <w:rsid w:val="00FF7903"/>
    <w:rsid w:val="00FF7B10"/>
    <w:rsid w:val="01203D0B"/>
    <w:rsid w:val="013A3612"/>
    <w:rsid w:val="014476B6"/>
    <w:rsid w:val="01D555EE"/>
    <w:rsid w:val="01DD2893"/>
    <w:rsid w:val="020504F8"/>
    <w:rsid w:val="029F055E"/>
    <w:rsid w:val="03323768"/>
    <w:rsid w:val="04817D30"/>
    <w:rsid w:val="048D4B8C"/>
    <w:rsid w:val="04D442EA"/>
    <w:rsid w:val="05901157"/>
    <w:rsid w:val="059C28C2"/>
    <w:rsid w:val="05F30108"/>
    <w:rsid w:val="06075A46"/>
    <w:rsid w:val="069D4F8F"/>
    <w:rsid w:val="074628FE"/>
    <w:rsid w:val="074D32FD"/>
    <w:rsid w:val="081C789E"/>
    <w:rsid w:val="08447CF8"/>
    <w:rsid w:val="086A0D01"/>
    <w:rsid w:val="08764D63"/>
    <w:rsid w:val="089F600C"/>
    <w:rsid w:val="08DC0E68"/>
    <w:rsid w:val="08E72DFC"/>
    <w:rsid w:val="09566DCD"/>
    <w:rsid w:val="096D7D04"/>
    <w:rsid w:val="09F26B04"/>
    <w:rsid w:val="0B3C53DD"/>
    <w:rsid w:val="0D231203"/>
    <w:rsid w:val="0D3C7A45"/>
    <w:rsid w:val="0DDD3F84"/>
    <w:rsid w:val="0DFF6961"/>
    <w:rsid w:val="0E31686E"/>
    <w:rsid w:val="0F0E726D"/>
    <w:rsid w:val="0F1732CE"/>
    <w:rsid w:val="10056B2A"/>
    <w:rsid w:val="10070893"/>
    <w:rsid w:val="10366546"/>
    <w:rsid w:val="107C1098"/>
    <w:rsid w:val="108A05DC"/>
    <w:rsid w:val="11150939"/>
    <w:rsid w:val="11D003E4"/>
    <w:rsid w:val="121A396D"/>
    <w:rsid w:val="12274A70"/>
    <w:rsid w:val="12291168"/>
    <w:rsid w:val="12D409F0"/>
    <w:rsid w:val="12EE01CF"/>
    <w:rsid w:val="131342D8"/>
    <w:rsid w:val="13873BDE"/>
    <w:rsid w:val="13DD384D"/>
    <w:rsid w:val="14356C85"/>
    <w:rsid w:val="15486FD4"/>
    <w:rsid w:val="15BE63D0"/>
    <w:rsid w:val="16333BC2"/>
    <w:rsid w:val="16404810"/>
    <w:rsid w:val="166A1B49"/>
    <w:rsid w:val="173C5350"/>
    <w:rsid w:val="180F534D"/>
    <w:rsid w:val="18D74A99"/>
    <w:rsid w:val="19642F3F"/>
    <w:rsid w:val="19870CDC"/>
    <w:rsid w:val="19BF56CB"/>
    <w:rsid w:val="19ED1ECD"/>
    <w:rsid w:val="1A3A0239"/>
    <w:rsid w:val="1AF04B9A"/>
    <w:rsid w:val="1B4A3087"/>
    <w:rsid w:val="1B583921"/>
    <w:rsid w:val="1C1F1371"/>
    <w:rsid w:val="1CF51625"/>
    <w:rsid w:val="1D4F4622"/>
    <w:rsid w:val="1D6357DF"/>
    <w:rsid w:val="1D986916"/>
    <w:rsid w:val="1EAA3748"/>
    <w:rsid w:val="1EF84053"/>
    <w:rsid w:val="1F2B7561"/>
    <w:rsid w:val="1F4C6666"/>
    <w:rsid w:val="1FED0368"/>
    <w:rsid w:val="20DC4DBF"/>
    <w:rsid w:val="21F05E39"/>
    <w:rsid w:val="22294992"/>
    <w:rsid w:val="223631D9"/>
    <w:rsid w:val="223D173F"/>
    <w:rsid w:val="226E479B"/>
    <w:rsid w:val="23557326"/>
    <w:rsid w:val="239A1A68"/>
    <w:rsid w:val="23A22A9A"/>
    <w:rsid w:val="23EC72F8"/>
    <w:rsid w:val="23FE66C5"/>
    <w:rsid w:val="240A315D"/>
    <w:rsid w:val="24543A83"/>
    <w:rsid w:val="246D1B19"/>
    <w:rsid w:val="24812515"/>
    <w:rsid w:val="24ED6538"/>
    <w:rsid w:val="255309C5"/>
    <w:rsid w:val="259A064D"/>
    <w:rsid w:val="2611213D"/>
    <w:rsid w:val="27241790"/>
    <w:rsid w:val="272A4D87"/>
    <w:rsid w:val="272C7CA6"/>
    <w:rsid w:val="27785C5F"/>
    <w:rsid w:val="28895789"/>
    <w:rsid w:val="28F67DE3"/>
    <w:rsid w:val="29120E1B"/>
    <w:rsid w:val="293E2974"/>
    <w:rsid w:val="2A2C44B8"/>
    <w:rsid w:val="2A312214"/>
    <w:rsid w:val="2AD8732F"/>
    <w:rsid w:val="2B4540F2"/>
    <w:rsid w:val="2BA2256F"/>
    <w:rsid w:val="2BB60B25"/>
    <w:rsid w:val="2BFC1406"/>
    <w:rsid w:val="2C0715FE"/>
    <w:rsid w:val="2C553E1A"/>
    <w:rsid w:val="2C7176F9"/>
    <w:rsid w:val="2C885304"/>
    <w:rsid w:val="2C9814DC"/>
    <w:rsid w:val="2CB314A6"/>
    <w:rsid w:val="2CC416E7"/>
    <w:rsid w:val="2CD90D0B"/>
    <w:rsid w:val="2D0406DC"/>
    <w:rsid w:val="2D3B2480"/>
    <w:rsid w:val="2DFD7BD0"/>
    <w:rsid w:val="2E10371D"/>
    <w:rsid w:val="2EE62680"/>
    <w:rsid w:val="2EF4549D"/>
    <w:rsid w:val="2FCB492E"/>
    <w:rsid w:val="300417D3"/>
    <w:rsid w:val="30130062"/>
    <w:rsid w:val="30F05F59"/>
    <w:rsid w:val="320F4EAD"/>
    <w:rsid w:val="322C5874"/>
    <w:rsid w:val="322F161C"/>
    <w:rsid w:val="323F3993"/>
    <w:rsid w:val="32583D54"/>
    <w:rsid w:val="3294171D"/>
    <w:rsid w:val="33002B00"/>
    <w:rsid w:val="332C12D2"/>
    <w:rsid w:val="339A42EC"/>
    <w:rsid w:val="339C426E"/>
    <w:rsid w:val="34116AA5"/>
    <w:rsid w:val="34205E45"/>
    <w:rsid w:val="34C51DA1"/>
    <w:rsid w:val="34C7359C"/>
    <w:rsid w:val="34DF61CE"/>
    <w:rsid w:val="34FF3296"/>
    <w:rsid w:val="35112FAB"/>
    <w:rsid w:val="351E2096"/>
    <w:rsid w:val="35247254"/>
    <w:rsid w:val="36312475"/>
    <w:rsid w:val="363D7398"/>
    <w:rsid w:val="366B049F"/>
    <w:rsid w:val="3674642B"/>
    <w:rsid w:val="367A773C"/>
    <w:rsid w:val="378D09D3"/>
    <w:rsid w:val="3810372D"/>
    <w:rsid w:val="38213C3C"/>
    <w:rsid w:val="383C46FE"/>
    <w:rsid w:val="384553A4"/>
    <w:rsid w:val="3887212E"/>
    <w:rsid w:val="389E36C4"/>
    <w:rsid w:val="38DA5583"/>
    <w:rsid w:val="39C670D8"/>
    <w:rsid w:val="39E96D5F"/>
    <w:rsid w:val="3A66689C"/>
    <w:rsid w:val="3AC01AE1"/>
    <w:rsid w:val="3AE7572E"/>
    <w:rsid w:val="3B1344C3"/>
    <w:rsid w:val="3B6A25AD"/>
    <w:rsid w:val="3B9C688E"/>
    <w:rsid w:val="3BDB43B3"/>
    <w:rsid w:val="3C234FB2"/>
    <w:rsid w:val="3C960D86"/>
    <w:rsid w:val="3D464312"/>
    <w:rsid w:val="3D8F6C90"/>
    <w:rsid w:val="3DB60D9A"/>
    <w:rsid w:val="3E467C1B"/>
    <w:rsid w:val="3E4B6C52"/>
    <w:rsid w:val="3E8235AB"/>
    <w:rsid w:val="3E9D2587"/>
    <w:rsid w:val="3EF2304B"/>
    <w:rsid w:val="3EFA5E78"/>
    <w:rsid w:val="3F292E2F"/>
    <w:rsid w:val="3F384E0D"/>
    <w:rsid w:val="3F4D1488"/>
    <w:rsid w:val="3F5838A8"/>
    <w:rsid w:val="404A1D96"/>
    <w:rsid w:val="40586291"/>
    <w:rsid w:val="408473A7"/>
    <w:rsid w:val="40C43E35"/>
    <w:rsid w:val="40D04E9C"/>
    <w:rsid w:val="41144E50"/>
    <w:rsid w:val="411544BD"/>
    <w:rsid w:val="41640E27"/>
    <w:rsid w:val="41A87806"/>
    <w:rsid w:val="425A3766"/>
    <w:rsid w:val="42FC0D4C"/>
    <w:rsid w:val="43365054"/>
    <w:rsid w:val="433B14DC"/>
    <w:rsid w:val="434C46FD"/>
    <w:rsid w:val="43624CC7"/>
    <w:rsid w:val="43956D4F"/>
    <w:rsid w:val="441314F3"/>
    <w:rsid w:val="44740018"/>
    <w:rsid w:val="447B4F92"/>
    <w:rsid w:val="44E550EB"/>
    <w:rsid w:val="45A826A7"/>
    <w:rsid w:val="4606307F"/>
    <w:rsid w:val="469242F3"/>
    <w:rsid w:val="46A06F55"/>
    <w:rsid w:val="46B34951"/>
    <w:rsid w:val="47236543"/>
    <w:rsid w:val="47287DCA"/>
    <w:rsid w:val="47640019"/>
    <w:rsid w:val="476B6E1F"/>
    <w:rsid w:val="47A60E53"/>
    <w:rsid w:val="47E64083"/>
    <w:rsid w:val="48412AAA"/>
    <w:rsid w:val="484F291E"/>
    <w:rsid w:val="486B4A21"/>
    <w:rsid w:val="489F12EB"/>
    <w:rsid w:val="48D905B4"/>
    <w:rsid w:val="491401F7"/>
    <w:rsid w:val="49302DA0"/>
    <w:rsid w:val="4985350B"/>
    <w:rsid w:val="49AD040C"/>
    <w:rsid w:val="4A610F14"/>
    <w:rsid w:val="4A6C480C"/>
    <w:rsid w:val="4A9B3326"/>
    <w:rsid w:val="4B0B4C08"/>
    <w:rsid w:val="4BA5194F"/>
    <w:rsid w:val="4BF714AF"/>
    <w:rsid w:val="4CDD5E7C"/>
    <w:rsid w:val="4D02271B"/>
    <w:rsid w:val="4D2075ED"/>
    <w:rsid w:val="4D735B04"/>
    <w:rsid w:val="4F45238F"/>
    <w:rsid w:val="4FD6120E"/>
    <w:rsid w:val="5060476D"/>
    <w:rsid w:val="50FA4E9E"/>
    <w:rsid w:val="513437A5"/>
    <w:rsid w:val="51577749"/>
    <w:rsid w:val="51607060"/>
    <w:rsid w:val="51CE068C"/>
    <w:rsid w:val="52A72577"/>
    <w:rsid w:val="52B765C5"/>
    <w:rsid w:val="53940A2C"/>
    <w:rsid w:val="53B57D3C"/>
    <w:rsid w:val="53BA2589"/>
    <w:rsid w:val="53C117DE"/>
    <w:rsid w:val="548A47A1"/>
    <w:rsid w:val="5577430A"/>
    <w:rsid w:val="55967097"/>
    <w:rsid w:val="55F516F5"/>
    <w:rsid w:val="5617150F"/>
    <w:rsid w:val="562E065E"/>
    <w:rsid w:val="568841CC"/>
    <w:rsid w:val="56AF49C8"/>
    <w:rsid w:val="56ED52AB"/>
    <w:rsid w:val="573F4C11"/>
    <w:rsid w:val="57D813DC"/>
    <w:rsid w:val="57F7505E"/>
    <w:rsid w:val="581F3D58"/>
    <w:rsid w:val="59400BA7"/>
    <w:rsid w:val="596D0588"/>
    <w:rsid w:val="59B049A7"/>
    <w:rsid w:val="5A020E46"/>
    <w:rsid w:val="5A1D485B"/>
    <w:rsid w:val="5A2537F3"/>
    <w:rsid w:val="5A2B300E"/>
    <w:rsid w:val="5AAA7B9D"/>
    <w:rsid w:val="5ABD4C6C"/>
    <w:rsid w:val="5AC60C7A"/>
    <w:rsid w:val="5B20192D"/>
    <w:rsid w:val="5B372E34"/>
    <w:rsid w:val="5B422F5A"/>
    <w:rsid w:val="5B46427C"/>
    <w:rsid w:val="5B4C12A2"/>
    <w:rsid w:val="5C052BA4"/>
    <w:rsid w:val="5C6878CD"/>
    <w:rsid w:val="5CED51AB"/>
    <w:rsid w:val="5D2B0BA2"/>
    <w:rsid w:val="5D3B14B2"/>
    <w:rsid w:val="5D581B65"/>
    <w:rsid w:val="5D8F5D8E"/>
    <w:rsid w:val="5E107356"/>
    <w:rsid w:val="5E127B2D"/>
    <w:rsid w:val="5EBF497B"/>
    <w:rsid w:val="6030194E"/>
    <w:rsid w:val="60595E4C"/>
    <w:rsid w:val="60BC0B6F"/>
    <w:rsid w:val="60F075EE"/>
    <w:rsid w:val="6135490B"/>
    <w:rsid w:val="61A4618E"/>
    <w:rsid w:val="61B009D1"/>
    <w:rsid w:val="620B07CA"/>
    <w:rsid w:val="621544B9"/>
    <w:rsid w:val="625D7BF0"/>
    <w:rsid w:val="628635DB"/>
    <w:rsid w:val="62BF2B80"/>
    <w:rsid w:val="62CC4CBB"/>
    <w:rsid w:val="63192522"/>
    <w:rsid w:val="63A312CF"/>
    <w:rsid w:val="63D0348F"/>
    <w:rsid w:val="64641DC8"/>
    <w:rsid w:val="648F7A64"/>
    <w:rsid w:val="64920D18"/>
    <w:rsid w:val="64D65126"/>
    <w:rsid w:val="64E97999"/>
    <w:rsid w:val="64EC3E10"/>
    <w:rsid w:val="65A74212"/>
    <w:rsid w:val="660B02F6"/>
    <w:rsid w:val="664E1F36"/>
    <w:rsid w:val="665D466C"/>
    <w:rsid w:val="665F23CF"/>
    <w:rsid w:val="669E34BB"/>
    <w:rsid w:val="66F7007F"/>
    <w:rsid w:val="671B3834"/>
    <w:rsid w:val="67A37862"/>
    <w:rsid w:val="67B67888"/>
    <w:rsid w:val="68385795"/>
    <w:rsid w:val="68BE77E9"/>
    <w:rsid w:val="68FE10A0"/>
    <w:rsid w:val="696A0B23"/>
    <w:rsid w:val="69C71ECD"/>
    <w:rsid w:val="6A0C16F7"/>
    <w:rsid w:val="6A2166D8"/>
    <w:rsid w:val="6A3E6EA6"/>
    <w:rsid w:val="6A517B3F"/>
    <w:rsid w:val="6B1645EF"/>
    <w:rsid w:val="6B1F6E3E"/>
    <w:rsid w:val="6C404029"/>
    <w:rsid w:val="6C8E0347"/>
    <w:rsid w:val="6D3E4D91"/>
    <w:rsid w:val="6D751EFA"/>
    <w:rsid w:val="6E1A010E"/>
    <w:rsid w:val="6E4E7C55"/>
    <w:rsid w:val="6E53278F"/>
    <w:rsid w:val="6E54240F"/>
    <w:rsid w:val="6E57486C"/>
    <w:rsid w:val="6EEF74F9"/>
    <w:rsid w:val="6F01558B"/>
    <w:rsid w:val="6FD60648"/>
    <w:rsid w:val="70905BAF"/>
    <w:rsid w:val="71200595"/>
    <w:rsid w:val="712445F2"/>
    <w:rsid w:val="71EC0D7D"/>
    <w:rsid w:val="720606C7"/>
    <w:rsid w:val="729C5E50"/>
    <w:rsid w:val="72D80D10"/>
    <w:rsid w:val="73167903"/>
    <w:rsid w:val="732D5B07"/>
    <w:rsid w:val="73DD6B53"/>
    <w:rsid w:val="746C7FAA"/>
    <w:rsid w:val="74FC2BFE"/>
    <w:rsid w:val="753E6C76"/>
    <w:rsid w:val="757B3550"/>
    <w:rsid w:val="75930D77"/>
    <w:rsid w:val="76381300"/>
    <w:rsid w:val="764E4F0F"/>
    <w:rsid w:val="76A9103E"/>
    <w:rsid w:val="76E364AB"/>
    <w:rsid w:val="76E6282A"/>
    <w:rsid w:val="77682AFB"/>
    <w:rsid w:val="783D187A"/>
    <w:rsid w:val="78A82D60"/>
    <w:rsid w:val="79220051"/>
    <w:rsid w:val="79435A80"/>
    <w:rsid w:val="7AA04574"/>
    <w:rsid w:val="7AC23143"/>
    <w:rsid w:val="7AD451E9"/>
    <w:rsid w:val="7AD7488C"/>
    <w:rsid w:val="7B220A09"/>
    <w:rsid w:val="7B2B72AD"/>
    <w:rsid w:val="7B3D69C2"/>
    <w:rsid w:val="7C62341F"/>
    <w:rsid w:val="7C995F53"/>
    <w:rsid w:val="7DB5460C"/>
    <w:rsid w:val="7E8413D0"/>
    <w:rsid w:val="7F40210D"/>
    <w:rsid w:val="7F5B1D05"/>
    <w:rsid w:val="7F6B1A07"/>
    <w:rsid w:val="7F9A79A8"/>
    <w:rsid w:val="7FD1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5"/>
    <w:next w:val="1"/>
    <w:link w:val="42"/>
    <w:unhideWhenUsed/>
    <w:qFormat/>
    <w:uiPriority w:val="9"/>
    <w:pPr>
      <w:keepNext/>
      <w:keepLines/>
      <w:spacing w:before="260" w:after="260" w:line="416" w:lineRule="auto"/>
      <w:outlineLvl w:val="1"/>
    </w:pPr>
    <w:rPr>
      <w:rFonts w:ascii="Calibri Light" w:hAnsi="Calibri Light" w:eastAsia="宋体" w:cs="Times New Roman"/>
      <w:bCs/>
      <w:sz w:val="32"/>
      <w:szCs w:val="32"/>
    </w:rPr>
  </w:style>
  <w:style w:type="paragraph" w:styleId="2">
    <w:name w:val="heading 3"/>
    <w:basedOn w:val="1"/>
    <w:next w:val="1"/>
    <w:qFormat/>
    <w:uiPriority w:val="0"/>
    <w:pPr>
      <w:keepNext/>
      <w:keepLines/>
      <w:snapToGrid w:val="0"/>
      <w:spacing w:line="560" w:lineRule="exact"/>
      <w:ind w:firstLine="200" w:firstLineChars="200"/>
      <w:outlineLvl w:val="2"/>
    </w:pPr>
    <w:rPr>
      <w:b/>
      <w:sz w:val="30"/>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5">
    <w:name w:val="通知公告表单标题"/>
    <w:qFormat/>
    <w:uiPriority w:val="0"/>
    <w:pPr>
      <w:spacing w:line="560" w:lineRule="exact"/>
      <w:jc w:val="center"/>
    </w:pPr>
    <w:rPr>
      <w:rFonts w:ascii="Times New Roman" w:hAnsi="Times New Roman" w:eastAsia="仿宋" w:cs="Garamond"/>
      <w:b/>
      <w:kern w:val="2"/>
      <w:sz w:val="28"/>
      <w:szCs w:val="21"/>
      <w:lang w:val="en-US" w:eastAsia="zh-CN" w:bidi="ar-SA"/>
    </w:rPr>
  </w:style>
  <w:style w:type="paragraph" w:styleId="6">
    <w:name w:val="Normal Indent"/>
    <w:basedOn w:val="1"/>
    <w:qFormat/>
    <w:uiPriority w:val="0"/>
    <w:pPr>
      <w:spacing w:line="300" w:lineRule="auto"/>
      <w:ind w:firstLine="420" w:firstLineChars="200"/>
    </w:pPr>
    <w:rPr>
      <w:rFonts w:ascii="Times New Roman" w:hAnsi="Times New Roman" w:eastAsia="宋体" w:cs="Times New Roman"/>
      <w:sz w:val="24"/>
      <w:szCs w:val="24"/>
    </w:rPr>
  </w:style>
  <w:style w:type="paragraph" w:styleId="7">
    <w:name w:val="annotation text"/>
    <w:basedOn w:val="1"/>
    <w:link w:val="31"/>
    <w:unhideWhenUsed/>
    <w:qFormat/>
    <w:uiPriority w:val="0"/>
    <w:pPr>
      <w:jc w:val="left"/>
    </w:pPr>
  </w:style>
  <w:style w:type="paragraph" w:styleId="8">
    <w:name w:val="Body Text"/>
    <w:basedOn w:val="1"/>
    <w:next w:val="9"/>
    <w:link w:val="40"/>
    <w:qFormat/>
    <w:uiPriority w:val="0"/>
    <w:pPr>
      <w:spacing w:after="120"/>
    </w:pPr>
    <w:rPr>
      <w:rFonts w:ascii="Times New Roman" w:hAnsi="Times New Roman" w:eastAsia="宋体" w:cs="Times New Roman"/>
      <w:szCs w:val="20"/>
    </w:rPr>
  </w:style>
  <w:style w:type="paragraph" w:styleId="9">
    <w:name w:val="Body Text Indent"/>
    <w:basedOn w:val="1"/>
    <w:next w:val="8"/>
    <w:qFormat/>
    <w:uiPriority w:val="0"/>
    <w:pPr>
      <w:ind w:firstLine="568"/>
    </w:pPr>
    <w:rPr>
      <w:sz w:val="28"/>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
    <w:qFormat/>
    <w:uiPriority w:val="0"/>
    <w:rPr>
      <w:rFonts w:ascii="宋体" w:hAnsi="Courier New" w:cs="Courier New"/>
      <w:szCs w:val="21"/>
    </w:rPr>
  </w:style>
  <w:style w:type="paragraph" w:styleId="12">
    <w:name w:val="Balloon Text"/>
    <w:basedOn w:val="1"/>
    <w:link w:val="33"/>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toc 4"/>
    <w:basedOn w:val="1"/>
    <w:next w:val="1"/>
    <w:unhideWhenUsed/>
    <w:qFormat/>
    <w:uiPriority w:val="39"/>
    <w:pPr>
      <w:ind w:left="1260" w:leftChars="600"/>
    </w:pPr>
  </w:style>
  <w:style w:type="paragraph" w:styleId="17">
    <w:name w:val="footnote text"/>
    <w:basedOn w:val="1"/>
    <w:link w:val="46"/>
    <w:semiHidden/>
    <w:unhideWhenUsed/>
    <w:qFormat/>
    <w:uiPriority w:val="99"/>
    <w:pPr>
      <w:snapToGrid w:val="0"/>
      <w:jc w:val="left"/>
    </w:pPr>
    <w:rPr>
      <w:sz w:val="18"/>
      <w:szCs w:val="18"/>
    </w:rPr>
  </w:style>
  <w:style w:type="paragraph" w:styleId="18">
    <w:name w:val="toc 2"/>
    <w:basedOn w:val="1"/>
    <w:next w:val="1"/>
    <w:unhideWhenUsed/>
    <w:qFormat/>
    <w:uiPriority w:val="39"/>
    <w:pPr>
      <w:widowControl/>
      <w:spacing w:after="100" w:line="276" w:lineRule="auto"/>
      <w:ind w:left="220"/>
      <w:jc w:val="left"/>
    </w:pPr>
    <w:rPr>
      <w:kern w:val="0"/>
      <w:sz w:val="22"/>
    </w:rPr>
  </w:style>
  <w:style w:type="paragraph" w:styleId="19">
    <w:name w:val="Title"/>
    <w:basedOn w:val="1"/>
    <w:next w:val="1"/>
    <w:link w:val="37"/>
    <w:qFormat/>
    <w:uiPriority w:val="10"/>
    <w:pPr>
      <w:spacing w:before="240" w:after="60"/>
      <w:jc w:val="center"/>
      <w:outlineLvl w:val="0"/>
    </w:pPr>
    <w:rPr>
      <w:rFonts w:eastAsia="宋体" w:asciiTheme="majorHAnsi" w:hAnsiTheme="majorHAnsi" w:cstheme="majorBidi"/>
      <w:b/>
      <w:bCs/>
      <w:sz w:val="32"/>
      <w:szCs w:val="32"/>
    </w:rPr>
  </w:style>
  <w:style w:type="paragraph" w:styleId="20">
    <w:name w:val="annotation subject"/>
    <w:basedOn w:val="7"/>
    <w:next w:val="7"/>
    <w:link w:val="32"/>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styleId="26">
    <w:name w:val="footnote reference"/>
    <w:basedOn w:val="23"/>
    <w:semiHidden/>
    <w:unhideWhenUsed/>
    <w:qFormat/>
    <w:uiPriority w:val="99"/>
    <w:rPr>
      <w:vertAlign w:val="superscript"/>
    </w:rPr>
  </w:style>
  <w:style w:type="paragraph" w:customStyle="1" w:styleId="27">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28">
    <w:name w:val="页眉 Char"/>
    <w:basedOn w:val="23"/>
    <w:link w:val="14"/>
    <w:qFormat/>
    <w:uiPriority w:val="99"/>
    <w:rPr>
      <w:sz w:val="18"/>
      <w:szCs w:val="18"/>
    </w:rPr>
  </w:style>
  <w:style w:type="character" w:customStyle="1" w:styleId="29">
    <w:name w:val="页脚 Char"/>
    <w:basedOn w:val="23"/>
    <w:link w:val="13"/>
    <w:qFormat/>
    <w:uiPriority w:val="99"/>
    <w:rPr>
      <w:sz w:val="18"/>
      <w:szCs w:val="18"/>
    </w:rPr>
  </w:style>
  <w:style w:type="paragraph" w:customStyle="1" w:styleId="30">
    <w:name w:val="Normal_1"/>
    <w:qFormat/>
    <w:uiPriority w:val="0"/>
    <w:pPr>
      <w:spacing w:before="120" w:after="240"/>
      <w:jc w:val="both"/>
    </w:pPr>
    <w:rPr>
      <w:rFonts w:ascii="Calibri" w:hAnsi="Calibri" w:eastAsia="Calibri" w:cs="Times New Roman"/>
      <w:sz w:val="22"/>
      <w:szCs w:val="22"/>
      <w:lang w:val="ru-RU" w:eastAsia="en-US" w:bidi="ar-SA"/>
    </w:rPr>
  </w:style>
  <w:style w:type="character" w:customStyle="1" w:styleId="31">
    <w:name w:val="批注文字 Char"/>
    <w:basedOn w:val="23"/>
    <w:link w:val="7"/>
    <w:qFormat/>
    <w:uiPriority w:val="0"/>
  </w:style>
  <w:style w:type="character" w:customStyle="1" w:styleId="32">
    <w:name w:val="批注主题 Char"/>
    <w:basedOn w:val="31"/>
    <w:link w:val="20"/>
    <w:semiHidden/>
    <w:qFormat/>
    <w:uiPriority w:val="99"/>
    <w:rPr>
      <w:b/>
      <w:bCs/>
    </w:rPr>
  </w:style>
  <w:style w:type="character" w:customStyle="1" w:styleId="33">
    <w:name w:val="批注框文本 Char"/>
    <w:basedOn w:val="23"/>
    <w:link w:val="12"/>
    <w:semiHidden/>
    <w:qFormat/>
    <w:uiPriority w:val="99"/>
    <w:rPr>
      <w:sz w:val="18"/>
      <w:szCs w:val="18"/>
    </w:rPr>
  </w:style>
  <w:style w:type="character" w:customStyle="1" w:styleId="34">
    <w:name w:val="font41"/>
    <w:qFormat/>
    <w:uiPriority w:val="0"/>
    <w:rPr>
      <w:rFonts w:hint="eastAsia" w:ascii="宋体" w:hAnsi="宋体" w:eastAsia="宋体" w:cs="宋体"/>
      <w:b/>
      <w:color w:val="FF0000"/>
      <w:sz w:val="15"/>
      <w:szCs w:val="15"/>
      <w:u w:val="single"/>
    </w:rPr>
  </w:style>
  <w:style w:type="character" w:customStyle="1" w:styleId="35">
    <w:name w:val="font51"/>
    <w:qFormat/>
    <w:uiPriority w:val="0"/>
    <w:rPr>
      <w:rFonts w:hint="eastAsia" w:ascii="宋体" w:hAnsi="宋体" w:eastAsia="宋体" w:cs="宋体"/>
      <w:b/>
      <w:color w:val="FF0000"/>
      <w:sz w:val="15"/>
      <w:szCs w:val="15"/>
      <w:u w:val="none"/>
    </w:rPr>
  </w:style>
  <w:style w:type="paragraph" w:styleId="36">
    <w:name w:val="List Paragraph"/>
    <w:basedOn w:val="1"/>
    <w:qFormat/>
    <w:uiPriority w:val="34"/>
    <w:pPr>
      <w:ind w:firstLine="420" w:firstLineChars="200"/>
    </w:pPr>
  </w:style>
  <w:style w:type="character" w:customStyle="1" w:styleId="37">
    <w:name w:val="标题 Char"/>
    <w:basedOn w:val="23"/>
    <w:link w:val="19"/>
    <w:qFormat/>
    <w:uiPriority w:val="10"/>
    <w:rPr>
      <w:rFonts w:eastAsia="宋体" w:asciiTheme="majorHAnsi" w:hAnsiTheme="majorHAnsi" w:cstheme="majorBidi"/>
      <w:b/>
      <w:bCs/>
      <w:sz w:val="32"/>
      <w:szCs w:val="32"/>
    </w:rPr>
  </w:style>
  <w:style w:type="character" w:customStyle="1" w:styleId="38">
    <w:name w:val="标题 1 Char"/>
    <w:basedOn w:val="23"/>
    <w:link w:val="3"/>
    <w:qFormat/>
    <w:uiPriority w:val="9"/>
    <w:rPr>
      <w:b/>
      <w:bCs/>
      <w:kern w:val="44"/>
      <w:sz w:val="44"/>
      <w:szCs w:val="44"/>
    </w:rPr>
  </w:style>
  <w:style w:type="paragraph" w:customStyle="1" w:styleId="39">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40">
    <w:name w:val="正文文本 Char"/>
    <w:basedOn w:val="23"/>
    <w:link w:val="8"/>
    <w:qFormat/>
    <w:uiPriority w:val="0"/>
    <w:rPr>
      <w:rFonts w:ascii="Times New Roman" w:hAnsi="Times New Roman" w:eastAsia="宋体" w:cs="Times New Roman"/>
      <w:szCs w:val="20"/>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标题 2 Char"/>
    <w:basedOn w:val="23"/>
    <w:link w:val="4"/>
    <w:qFormat/>
    <w:uiPriority w:val="9"/>
    <w:rPr>
      <w:rFonts w:ascii="Calibri Light" w:hAnsi="Calibri Light" w:eastAsia="宋体" w:cs="Times New Roman"/>
      <w:b/>
      <w:bCs/>
      <w:kern w:val="2"/>
      <w:sz w:val="32"/>
      <w:szCs w:val="32"/>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样式1"/>
    <w:basedOn w:val="1"/>
    <w:qFormat/>
    <w:uiPriority w:val="0"/>
    <w:pPr>
      <w:numPr>
        <w:ilvl w:val="0"/>
        <w:numId w:val="1"/>
      </w:numPr>
      <w:tabs>
        <w:tab w:val="left" w:pos="2127"/>
      </w:tabs>
      <w:adjustRightInd w:val="0"/>
      <w:snapToGrid w:val="0"/>
      <w:spacing w:line="540" w:lineRule="exact"/>
    </w:pPr>
    <w:rPr>
      <w:rFonts w:ascii="仿宋_GB2312" w:hAnsi="宋体" w:eastAsia="仿宋_GB2312" w:cs="Times New Roman"/>
      <w:sz w:val="30"/>
      <w:szCs w:val="30"/>
    </w:rPr>
  </w:style>
  <w:style w:type="paragraph" w:customStyle="1" w:styleId="45">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46">
    <w:name w:val="脚注文本 Char"/>
    <w:basedOn w:val="23"/>
    <w:link w:val="17"/>
    <w:semiHidden/>
    <w:qFormat/>
    <w:uiPriority w:val="99"/>
    <w:rPr>
      <w:kern w:val="2"/>
      <w:sz w:val="18"/>
      <w:szCs w:val="18"/>
    </w:rPr>
  </w:style>
  <w:style w:type="paragraph" w:customStyle="1" w:styleId="47">
    <w:name w:val="Body text|1"/>
    <w:basedOn w:val="1"/>
    <w:qFormat/>
    <w:uiPriority w:val="0"/>
    <w:pPr>
      <w:spacing w:line="456" w:lineRule="auto"/>
      <w:ind w:firstLine="400"/>
      <w:jc w:val="left"/>
    </w:pPr>
    <w:rPr>
      <w:rFonts w:ascii="宋体" w:hAnsi="宋体" w:eastAsia="宋体" w:cs="宋体"/>
      <w:color w:val="000000"/>
      <w:kern w:val="0"/>
      <w:sz w:val="26"/>
      <w:szCs w:val="26"/>
      <w:lang w:val="zh-TW" w:eastAsia="zh-TW" w:bidi="zh-TW"/>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WPSOffice手动目录 2"/>
    <w:qFormat/>
    <w:uiPriority w:val="0"/>
    <w:pPr>
      <w:ind w:leftChars="200"/>
    </w:pPr>
    <w:rPr>
      <w:rFonts w:ascii="Times New Roman" w:hAnsi="Times New Roman" w:eastAsia="宋体" w:cs="Times New Roman"/>
      <w:sz w:val="20"/>
      <w:szCs w:val="20"/>
    </w:rPr>
  </w:style>
  <w:style w:type="paragraph" w:customStyle="1" w:styleId="5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isInHome xmlns="e3ed7b3c-58ad-40ee-af63-61e00a681d7c">否</DisInHome>
    <点击 xmlns="5df33f2c-abb3-4242-bea9-ecc009f23325">3</点击>
    <Likes xmlns="e3ed7b3c-58ad-40ee-af63-61e00a681d7c" xsi:nil="true"/>
    <文件字号 xmlns="5df33f2c-abb3-4242-bea9-ecc009f23325" xsi:nil="true"/>
    <WeekViewCount xmlns="e3ed7b3c-58ad-40ee-af63-61e00a681d7c">3</WeekViewCount>
    <分类 xmlns="2ee3fe5c-7b5c-477c-b578-e3b15c18279f">A6B8C423-BAAE-4248-BE19-4AFCCAB0D8D5</分类>
    <k974182db0524a0cb83c9e5eb5e404b2 xmlns="e3ed7b3c-58ad-40ee-af63-61e00a681d7c">
      <Terms xmlns="http://schemas.microsoft.com/office/infopath/2007/PartnerControls"/>
    </k974182db0524a0cb83c9e5eb5e404b2>
    <PublicationRange xmlns="e3ed7b3c-58ad-40ee-af63-61e00a681d7c">
      <UserInfo>
        <DisplayName>深圳证券交易所_全部人员</DisplayName>
        <AccountId>2686</AccountId>
        <AccountType/>
      </UserInfo>
    </PublicationRange>
    <MonthViewCount xmlns="e3ed7b3c-58ad-40ee-af63-61e00a681d7c">3</MonthViewCount>
    <部门 xmlns="2ee3fe5c-7b5c-477c-b578-e3b15c18279f">212</部门>
    <oc0407afe9724b418f0de539c436b47b xmlns="e3ed7b3c-58ad-40ee-af63-61e00a681d7c">
      <Terms xmlns="http://schemas.microsoft.com/office/infopath/2007/PartnerControls"/>
    </oc0407afe9724b418f0de539c436b47b>
    <TaxCatchAll xmlns="af7764ec-d5b1-43f8-8c99-7b7a1c02a389"/>
    <Draftman xmlns="e3ed7b3c-58ad-40ee-af63-61e00a681d7c">
      <UserInfo>
        <DisplayName>梁艺</DisplayName>
        <AccountId>3471</AccountId>
        <AccountType/>
      </UserInfo>
    </Draftman>
    <Dense xmlns="e3ed7b3c-58ad-40ee-af63-61e00a681d7c">内部使用</Dense>
    <生效日期 xmlns="af7764ec-d5b1-43f8-8c99-7b7a1c02a389" xsi:nil="true"/>
    <PublicationType xmlns="e3ed7b3c-58ad-40ee-af63-61e00a681d7c">自定义</PublicationType>
    <EntryTime xmlns="c708a2cf-f3d7-4c87-801a-68274f70690b">2021-05-16T16:00:00+00:00</EntryTi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深交所文档中心(New)" ma:contentTypeID="0x010100BFF86933982D954699BF75D6EEFACEE401008F598E7BA4788947AF492DCDF6522C8E" ma:contentTypeVersion="3" ma:contentTypeDescription="" ma:contentTypeScope="" ma:versionID="75f70b8c12025c49fb82c580f0127d31">
  <xsd:schema xmlns:xsd="http://www.w3.org/2001/XMLSchema" xmlns:xs="http://www.w3.org/2001/XMLSchema" xmlns:p="http://schemas.microsoft.com/office/2006/metadata/properties" xmlns:ns2="e3ed7b3c-58ad-40ee-af63-61e00a681d7c" xmlns:ns3="5df33f2c-abb3-4242-bea9-ecc009f23325" xmlns:ns4="af7764ec-d5b1-43f8-8c99-7b7a1c02a389" xmlns:ns5="2ee3fe5c-7b5c-477c-b578-e3b15c18279f" xmlns:ns6="c708a2cf-f3d7-4c87-801a-68274f70690b" targetNamespace="http://schemas.microsoft.com/office/2006/metadata/properties" ma:root="true" ma:fieldsID="99b3010e303baa2781c908718ffb767e" ns2:_="" ns3:_="" ns4:_="" ns5:_="" ns6:_="">
    <xsd:import namespace="e3ed7b3c-58ad-40ee-af63-61e00a681d7c"/>
    <xsd:import namespace="5df33f2c-abb3-4242-bea9-ecc009f23325"/>
    <xsd:import namespace="af7764ec-d5b1-43f8-8c99-7b7a1c02a389"/>
    <xsd:import namespace="2ee3fe5c-7b5c-477c-b578-e3b15c18279f"/>
    <xsd:import namespace="c708a2cf-f3d7-4c87-801a-68274f70690b"/>
    <xsd:element name="properties">
      <xsd:complexType>
        <xsd:sequence>
          <xsd:element name="documentManagement">
            <xsd:complexType>
              <xsd:all>
                <xsd:element ref="ns2:oc0407afe9724b418f0de539c436b47b" minOccurs="0"/>
                <xsd:element ref="ns2:Draftman" minOccurs="0"/>
                <xsd:element ref="ns2:k974182db0524a0cb83c9e5eb5e404b2" minOccurs="0"/>
                <xsd:element ref="ns2:PublicationType" minOccurs="0"/>
                <xsd:element ref="ns2:PublicationRange" minOccurs="0"/>
                <xsd:element ref="ns3:文件字号" minOccurs="0"/>
                <xsd:element ref="ns2:Dense" minOccurs="0"/>
                <xsd:element ref="ns2:DisInHome" minOccurs="0"/>
                <xsd:element ref="ns3:点击" minOccurs="0"/>
                <xsd:element ref="ns2:WeekViewCount" minOccurs="0"/>
                <xsd:element ref="ns2:MonthViewCount" minOccurs="0"/>
                <xsd:element ref="ns2:Likes" minOccurs="0"/>
                <xsd:element ref="ns4:TaxCatchAll" minOccurs="0"/>
                <xsd:element ref="ns4:TaxCatchAllLabel" minOccurs="0"/>
                <xsd:element ref="ns3:_dlc_DocId" minOccurs="0"/>
                <xsd:element ref="ns3:_dlc_DocIdUrl" minOccurs="0"/>
                <xsd:element ref="ns3:_dlc_DocIdPersistId" minOccurs="0"/>
                <xsd:element ref="ns5:分类" minOccurs="0"/>
                <xsd:element ref="ns5:部门" minOccurs="0"/>
                <xsd:element ref="ns6:EntryTime" minOccurs="0"/>
                <xsd:element ref="ns4:生效日期"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7b3c-58ad-40ee-af63-61e00a681d7c" elementFormDefault="qualified">
    <xsd:import namespace="http://schemas.microsoft.com/office/2006/documentManagement/types"/>
    <xsd:import namespace="http://schemas.microsoft.com/office/infopath/2007/PartnerControls"/>
    <xsd:element name="oc0407afe9724b418f0de539c436b47b" ma:index="2" nillable="true" ma:taxonomy="true" ma:internalName="oc0407afe9724b418f0de539c436b47b" ma:taxonomyFieldName="ClassificationOfTheGenus" ma:displayName="所属分类" ma:default="" ma:fieldId="{8c0407af-e972-4b41-8f0d-e539c436b47b}" ma:taxonomyMulti="true" ma:sspId="e8c9348b-b9cf-4df2-b253-2f2ee5e24a93" ma:termSetId="bc42af1c-9e9d-4eb4-ab5d-4c4cba118b07" ma:anchorId="00000000-0000-0000-0000-000000000000" ma:open="false" ma:isKeyword="false">
      <xsd:complexType>
        <xsd:sequence>
          <xsd:element ref="pc:Terms" minOccurs="0" maxOccurs="1"/>
        </xsd:sequence>
      </xsd:complexType>
    </xsd:element>
    <xsd:element name="Draftman" ma:index="4" nillable="true" ma:displayName="起草人" ma:list="UserInfo" ma:SearchPeopleOnly="false" ma:SharePointGroup="0" ma:internalName="Draftma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974182db0524a0cb83c9e5eb5e404b2" ma:index="5" nillable="true" ma:taxonomy="true" ma:internalName="k974182db0524a0cb83c9e5eb5e404b2" ma:taxonomyFieldName="DraftingDepartment" ma:displayName="起草部门" ma:default="" ma:fieldId="{4974182d-b052-4a0c-b83c-9e5eb5e404b2}" ma:taxonomyMulti="true" ma:sspId="e8c9348b-b9cf-4df2-b253-2f2ee5e24a93" ma:termSetId="ce49cd3b-d345-4b1a-9323-2626858f3c0d" ma:anchorId="00000000-0000-0000-0000-000000000000" ma:open="false" ma:isKeyword="false">
      <xsd:complexType>
        <xsd:sequence>
          <xsd:element ref="pc:Terms" minOccurs="0" maxOccurs="1"/>
        </xsd:sequence>
      </xsd:complexType>
    </xsd:element>
    <xsd:element name="PublicationType" ma:index="7" nillable="true" ma:displayName="发布类型" ma:format="RadioButtons" ma:internalName="PublicationType">
      <xsd:simpleType>
        <xsd:restriction base="dms:Choice">
          <xsd:enumeration value="全体人员"/>
          <xsd:enumeration value="限定范围"/>
          <xsd:enumeration value="自定义"/>
        </xsd:restriction>
      </xsd:simpleType>
    </xsd:element>
    <xsd:element name="PublicationRange" ma:index="8" nillable="true" ma:displayName="发布范围" ma:list="UserInfo" ma:SearchPeopleOnly="false" ma:SharePointGroup="0" ma:internalName="PublicationRang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nse" ma:index="10" nillable="true" ma:displayName="密级" ma:default="内部使用" ma:format="RadioButtons" ma:internalName="Dense">
      <xsd:simpleType>
        <xsd:restriction base="dms:Choice">
          <xsd:enumeration value="内部使用"/>
          <xsd:enumeration value="所内秘密"/>
          <xsd:enumeration value="所内机密"/>
        </xsd:restriction>
      </xsd:simpleType>
    </xsd:element>
    <xsd:element name="DisInHome" ma:index="11" nillable="true" ma:displayName="首页显示" ma:default="否" ma:format="RadioButtons" ma:internalName="DisInHome">
      <xsd:simpleType>
        <xsd:restriction base="dms:Choice">
          <xsd:enumeration value="是"/>
          <xsd:enumeration value="否"/>
        </xsd:restriction>
      </xsd:simpleType>
    </xsd:element>
    <xsd:element name="WeekViewCount" ma:index="13" nillable="true" ma:displayName="周点击" ma:internalName="WeekViewCount">
      <xsd:simpleType>
        <xsd:restriction base="dms:Unknown"/>
      </xsd:simpleType>
    </xsd:element>
    <xsd:element name="MonthViewCount" ma:index="14" nillable="true" ma:displayName="月点击" ma:internalName="MonthViewCount">
      <xsd:simpleType>
        <xsd:restriction base="dms:Unknown"/>
      </xsd:simpleType>
    </xsd:element>
    <xsd:element name="Likes" ma:index="15" nillable="true" ma:displayName="点赞" ma:internalName="Lik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33f2c-abb3-4242-bea9-ecc009f23325" elementFormDefault="qualified">
    <xsd:import namespace="http://schemas.microsoft.com/office/2006/documentManagement/types"/>
    <xsd:import namespace="http://schemas.microsoft.com/office/infopath/2007/PartnerControls"/>
    <xsd:element name="文件字号" ma:index="9" nillable="true" ma:displayName="文件字号" ma:internalName="_x6587__x4ef6__x5b57__x53f7_" ma:readOnly="false">
      <xsd:simpleType>
        <xsd:restriction base="dms:Text"/>
      </xsd:simpleType>
    </xsd:element>
    <xsd:element name="点击" ma:index="12" nillable="true" ma:displayName="点击" ma:internalName="_x70b9__x51fb_">
      <xsd:simpleType>
        <xsd:restriction base="dms:Unknown"/>
      </xsd:simpleType>
    </xsd:element>
    <xsd:element name="_dlc_DocId" ma:index="18" nillable="true" ma:displayName="文档 ID 值" ma:description="分配至此项的文档 ID 值。" ma:internalName="_dlc_DocId" ma:readOnly="true">
      <xsd:simpleType>
        <xsd:restriction base="dms:Text"/>
      </xsd:simpleType>
    </xsd:element>
    <xsd:element name="_dlc_DocIdUrl" ma:index="1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永久 ID" ma:description="在添加过程中保留 I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7764ec-d5b1-43f8-8c99-7b7a1c02a389" elementFormDefault="qualified">
    <xsd:import namespace="http://schemas.microsoft.com/office/2006/documentManagement/types"/>
    <xsd:import namespace="http://schemas.microsoft.com/office/infopath/2007/PartnerControls"/>
    <xsd:element name="TaxCatchAll" ma:index="16" nillable="true" ma:displayName="“分类捕捉所有”列" ma:hidden="true" ma:list="{3dbca74f-b806-474e-a183-1f255db7da76}" ma:internalName="TaxCatchAll" ma:showField="CatchAllData" ma:web="af7764ec-d5b1-43f8-8c99-7b7a1c02a38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分类捕捉所有”列1" ma:hidden="true" ma:list="{3dbca74f-b806-474e-a183-1f255db7da76}" ma:internalName="TaxCatchAllLabel" ma:readOnly="true" ma:showField="CatchAllDataLabel" ma:web="af7764ec-d5b1-43f8-8c99-7b7a1c02a389">
      <xsd:complexType>
        <xsd:complexContent>
          <xsd:extension base="dms:MultiChoiceLookup">
            <xsd:sequence>
              <xsd:element name="Value" type="dms:Lookup" maxOccurs="unbounded" minOccurs="0" nillable="true"/>
            </xsd:sequence>
          </xsd:extension>
        </xsd:complexContent>
      </xsd:complexType>
    </xsd:element>
    <xsd:element name="生效日期" ma:index="24" nillable="true" ma:displayName="生效日期" ma:format="DateOnly" ma:internalName="_x751f__x6548__x65e5__x671f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e3fe5c-7b5c-477c-b578-e3b15c18279f" elementFormDefault="qualified">
    <xsd:import namespace="http://schemas.microsoft.com/office/2006/documentManagement/types"/>
    <xsd:import namespace="http://schemas.microsoft.com/office/infopath/2007/PartnerControls"/>
    <xsd:element name="分类" ma:index="21" nillable="true" ma:displayName="分类" ma:internalName="classification">
      <xsd:simpleType>
        <xsd:restriction base="dms:Note"/>
      </xsd:simpleType>
    </xsd:element>
    <xsd:element name="部门" ma:index="22" nillable="true" ma:displayName="部门" ma:internalName="dep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8a2cf-f3d7-4c87-801a-68274f70690b" elementFormDefault="qualified">
    <xsd:import namespace="http://schemas.microsoft.com/office/2006/documentManagement/types"/>
    <xsd:import namespace="http://schemas.microsoft.com/office/infopath/2007/PartnerControls"/>
    <xsd:element name="EntryTime" ma:index="23" nillable="true" ma:displayName="生效日期" ma:format="DateOnly" ma:internalName="Entry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4B158-8877-47D3-A14C-4B029AD2780D}">
  <ds:schemaRefs/>
</ds:datastoreItem>
</file>

<file path=customXml/itemProps2.xml><?xml version="1.0" encoding="utf-8"?>
<ds:datastoreItem xmlns:ds="http://schemas.openxmlformats.org/officeDocument/2006/customXml" ds:itemID="{7414527B-A09D-4FB3-9DC1-83A3029D2579}">
  <ds:schemaRefs/>
</ds:datastoreItem>
</file>

<file path=customXml/itemProps3.xml><?xml version="1.0" encoding="utf-8"?>
<ds:datastoreItem xmlns:ds="http://schemas.openxmlformats.org/officeDocument/2006/customXml" ds:itemID="{A4E182D1-841A-4463-8612-F1429C1B519B}">
  <ds:schemaRefs/>
</ds:datastoreItem>
</file>

<file path=customXml/itemProps4.xml><?xml version="1.0" encoding="utf-8"?>
<ds:datastoreItem xmlns:ds="http://schemas.openxmlformats.org/officeDocument/2006/customXml" ds:itemID="{CCDF362B-CCAC-4D56-9D97-91ADE80A1B70}">
  <ds:schemaRefs/>
</ds:datastoreItem>
</file>

<file path=customXml/itemProps5.xml><?xml version="1.0" encoding="utf-8"?>
<ds:datastoreItem xmlns:ds="http://schemas.openxmlformats.org/officeDocument/2006/customXml" ds:itemID="{6B3F9A10-AF3A-4610-8B3D-BCF4EFDFA4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1587</Words>
  <Characters>9048</Characters>
  <Lines>75</Lines>
  <Paragraphs>21</Paragraphs>
  <TotalTime>81</TotalTime>
  <ScaleCrop>false</ScaleCrop>
  <LinksUpToDate>false</LinksUpToDate>
  <CharactersWithSpaces>10614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2023-05-31T07:20:00Z</dcterms:created>
  <dc:creator>Microsoft</dc:creator>
  <cp:lastModifiedBy>xxfb01</cp:lastModifiedBy>
  <cp:lastPrinted>2023-05-31T00:47:00Z</cp:lastPrinted>
  <dcterms:modified xsi:type="dcterms:W3CDTF">2026-05-22T03:19:11Z</dcterms:modified>
  <dc:title>深证上[2021]473号附件：深圳证券交易所债券交易业务指南第2号——债券质押式协议回购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0x010100BFF86933982D954699BF75D6EEFACEE401008F598E7BA4788947AF492DCDF6522C8E</vt:lpwstr>
  </property>
  <property fmtid="{D5CDD505-2E9C-101B-9397-08002B2CF9AE}" pid="3" name="KSOProductBuildVer">
    <vt:lpwstr>2052-11.8.2.12094</vt:lpwstr>
  </property>
  <property fmtid="{D5CDD505-2E9C-101B-9397-08002B2CF9AE}" pid="4" name="ICV">
    <vt:lpwstr>E5995C398A264BDA8DDE0C15F8E1117D</vt:lpwstr>
  </property>
</Properties>
</file>