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highlight w:val="none"/>
          <w:lang w:val="en-US" w:eastAsia="zh-CN"/>
        </w:rPr>
      </w:pPr>
      <w:bookmarkStart w:id="108" w:name="_GoBack"/>
      <w:bookmarkEnd w:id="108"/>
      <w:r>
        <w:rPr>
          <w:rFonts w:hint="eastAsia" w:ascii="黑体" w:hAnsi="黑体" w:eastAsia="黑体" w:cs="黑体"/>
          <w:sz w:val="32"/>
          <w:szCs w:val="32"/>
          <w:highlight w:val="none"/>
          <w:lang w:val="en-US" w:eastAsia="zh-CN"/>
        </w:rPr>
        <w:t xml:space="preserve">附件1 </w:t>
      </w:r>
    </w:p>
    <w:p>
      <w:pPr>
        <w:keepNext w:val="0"/>
        <w:keepLines w:val="0"/>
        <w:pageBreakBefore w:val="0"/>
        <w:widowControl w:val="0"/>
        <w:kinsoku/>
        <w:wordWrap/>
        <w:overflowPunct/>
        <w:topLinePunct w:val="0"/>
        <w:autoSpaceDE/>
        <w:autoSpaceDN/>
        <w:bidi w:val="0"/>
        <w:adjustRightInd/>
        <w:snapToGrid/>
        <w:spacing w:line="580" w:lineRule="exact"/>
        <w:contextualSpacing/>
        <w:jc w:val="center"/>
        <w:textAlignment w:val="auto"/>
        <w:rPr>
          <w:rFonts w:hint="eastAsia" w:ascii="黑体" w:hAnsi="黑体" w:eastAsia="黑体" w:cs="黑体"/>
          <w:b w:val="0"/>
          <w:bCs/>
          <w:sz w:val="40"/>
          <w:szCs w:val="40"/>
          <w:highlight w:val="none"/>
        </w:rPr>
      </w:pPr>
      <w:r>
        <w:rPr>
          <w:rFonts w:hint="eastAsia" w:ascii="黑体" w:hAnsi="黑体" w:eastAsia="黑体" w:cs="黑体"/>
          <w:b w:val="0"/>
          <w:bCs/>
          <w:sz w:val="40"/>
          <w:szCs w:val="40"/>
          <w:highlight w:val="none"/>
        </w:rPr>
        <w:t>郑州商品交易所境外特殊参与者管理办法</w:t>
      </w:r>
    </w:p>
    <w:p>
      <w:pPr>
        <w:spacing w:before="240" w:after="24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240" w:after="240" w:line="360" w:lineRule="auto"/>
        <w:jc w:val="center"/>
        <w:textAlignment w:val="auto"/>
        <w:rPr>
          <w:rFonts w:ascii="黑体" w:hAnsi="黑体" w:eastAsia="黑体"/>
          <w:sz w:val="32"/>
          <w:szCs w:val="32"/>
          <w:highlight w:val="none"/>
        </w:rPr>
      </w:pPr>
      <w:r>
        <w:rPr>
          <w:rFonts w:hint="eastAsia" w:ascii="黑体" w:hAnsi="黑体" w:eastAsia="黑体"/>
          <w:sz w:val="32"/>
          <w:szCs w:val="32"/>
          <w:highlight w:val="none"/>
        </w:rPr>
        <w:t>第一章 总</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第一条</w:t>
      </w:r>
      <w:r>
        <w:rPr>
          <w:rFonts w:hint="eastAsia" w:ascii="宋体" w:hAnsi="宋体" w:eastAsia="宋体" w:cs="宋体"/>
          <w:sz w:val="28"/>
          <w:szCs w:val="28"/>
          <w:highlight w:val="none"/>
        </w:rPr>
        <w:t xml:space="preserve"> 为了加强对境外特殊参与者的自律管理，规范境外特殊参与者在郑州商品交易所（以下简称交易所）的业务活动，根据《郑州商品交易所交易规则》，制定本办法。</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第二条</w:t>
      </w:r>
      <w:r>
        <w:rPr>
          <w:rFonts w:hint="eastAsia" w:ascii="宋体" w:hAnsi="宋体" w:eastAsia="宋体" w:cs="宋体"/>
          <w:sz w:val="28"/>
          <w:szCs w:val="28"/>
          <w:highlight w:val="none"/>
        </w:rPr>
        <w:t xml:space="preserve"> 境外特殊参与者是指符合中国证券监督管理委员会（以下简称中国证监会）及交易所规定条件，经交易所审核批准，在交易所直接入场交易的境外机构，包括《境外交易者和境外经纪机构从事境内特定品种期货交易管理暂行办法》第五条第二款规定的直接入场交易的境外交易者和第六条第二款规定的直接入场交易的境外经纪机构。</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第三条</w:t>
      </w:r>
      <w:r>
        <w:rPr>
          <w:rFonts w:hint="eastAsia" w:ascii="宋体" w:hAnsi="宋体" w:eastAsia="宋体" w:cs="宋体"/>
          <w:sz w:val="28"/>
          <w:szCs w:val="28"/>
          <w:highlight w:val="none"/>
        </w:rPr>
        <w:t xml:space="preserve"> 交易所、境外特殊参与者及其从业人员、境外中介机构、客户应当遵守本办法。</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第四条</w:t>
      </w:r>
      <w:r>
        <w:rPr>
          <w:rFonts w:hint="eastAsia" w:ascii="宋体" w:hAnsi="宋体" w:eastAsia="宋体" w:cs="宋体"/>
          <w:sz w:val="28"/>
          <w:szCs w:val="28"/>
          <w:highlight w:val="none"/>
        </w:rPr>
        <w:t xml:space="preserve"> 境外特殊参与者在交易所进行境内特定品种期货交易，适用本办法。本办法未规定的，参照会员的规定执行。</w:t>
      </w:r>
    </w:p>
    <w:p>
      <w:pPr>
        <w:keepNext w:val="0"/>
        <w:keepLines w:val="0"/>
        <w:pageBreakBefore w:val="0"/>
        <w:widowControl w:val="0"/>
        <w:kinsoku/>
        <w:wordWrap/>
        <w:overflowPunct/>
        <w:topLinePunct w:val="0"/>
        <w:autoSpaceDE/>
        <w:autoSpaceDN/>
        <w:bidi w:val="0"/>
        <w:adjustRightInd/>
        <w:snapToGrid/>
        <w:spacing w:before="240" w:after="240" w:line="360" w:lineRule="auto"/>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第二章 境外特殊参与者的权利、义务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第五条</w:t>
      </w:r>
      <w:r>
        <w:rPr>
          <w:rFonts w:hint="eastAsia" w:ascii="宋体" w:hAnsi="宋体" w:eastAsia="宋体" w:cs="宋体"/>
          <w:sz w:val="28"/>
          <w:szCs w:val="28"/>
          <w:highlight w:val="none"/>
        </w:rPr>
        <w:t xml:space="preserve"> 境外特殊参与者分为境外特殊经纪参与者和境外特殊非经纪参与者。</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第六条</w:t>
      </w:r>
      <w:r>
        <w:rPr>
          <w:rFonts w:hint="eastAsia" w:ascii="宋体" w:hAnsi="宋体" w:eastAsia="宋体" w:cs="宋体"/>
          <w:sz w:val="28"/>
          <w:szCs w:val="28"/>
          <w:highlight w:val="none"/>
        </w:rPr>
        <w:t xml:space="preserve"> 境外特殊经纪参与者享有下列权利：</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（一）接受境外客户委托，在交易所直接入场交易；</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（二）按照规定委托会员在交易所进行结算和交割等业务；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（三）使用交易所提供的交易设施，获得有关期货交易的信息和服务；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（四）按照与交易所签订的协议行使约定权利；</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（五）交易所规定的其他权利。</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第七条</w:t>
      </w:r>
      <w:r>
        <w:rPr>
          <w:rFonts w:hint="eastAsia" w:ascii="宋体" w:hAnsi="宋体" w:eastAsia="宋体" w:cs="宋体"/>
          <w:sz w:val="28"/>
          <w:szCs w:val="28"/>
          <w:highlight w:val="none"/>
        </w:rPr>
        <w:t xml:space="preserve"> 境外特殊非经纪参与者享有下列权利：</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（一）在交易所直接入场交易并承担交易结果；</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（二）按照规定委托会员在交易所进行结算和交割等业务；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（三）使用交易所提供的交易设施，获得有关期货交易的信息和服务；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（四）按照与交易所签订的协议行使约定权利；</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（五）交易所规定的其他权利。</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第八条</w:t>
      </w:r>
      <w:r>
        <w:rPr>
          <w:rFonts w:hint="eastAsia" w:ascii="宋体" w:hAnsi="宋体" w:eastAsia="宋体" w:cs="宋体"/>
          <w:sz w:val="28"/>
          <w:szCs w:val="28"/>
          <w:highlight w:val="none"/>
        </w:rPr>
        <w:t xml:space="preserve"> 境外特殊参与者应当履行下列义务：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（一）遵守中国有关法律、</w:t>
      </w:r>
      <w:r>
        <w:rPr>
          <w:rFonts w:hint="eastAsia" w:ascii="宋体" w:hAnsi="宋体" w:eastAsia="宋体" w:cs="宋体"/>
          <w:sz w:val="28"/>
          <w:szCs w:val="28"/>
          <w:highlight w:val="none"/>
          <w:lang w:eastAsia="zh-CN"/>
        </w:rPr>
        <w:t>行政</w:t>
      </w:r>
      <w:r>
        <w:rPr>
          <w:rFonts w:hint="eastAsia" w:ascii="宋体" w:hAnsi="宋体" w:eastAsia="宋体" w:cs="宋体"/>
          <w:sz w:val="28"/>
          <w:szCs w:val="28"/>
          <w:highlight w:val="none"/>
        </w:rPr>
        <w:t>法规、规章；</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（二）遵守交易所章程、业务规则及有关决定；</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（三）按规定交纳相关费用；</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（四）接受交易所监督管理；</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（五）境外特殊经纪参与者应当建立健全并严格执行业务管理规则、风险管理制度，遵守信息披露制度，充分、持续了解客户信息，加强客户管理，做好客户异常交易行为的监控，确保客户资产安全和交易安全；</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（六）交易所规定的其他义务。</w:t>
      </w:r>
    </w:p>
    <w:p>
      <w:pPr>
        <w:keepNext w:val="0"/>
        <w:keepLines w:val="0"/>
        <w:pageBreakBefore w:val="0"/>
        <w:widowControl w:val="0"/>
        <w:kinsoku/>
        <w:wordWrap/>
        <w:overflowPunct/>
        <w:topLinePunct w:val="0"/>
        <w:autoSpaceDE/>
        <w:autoSpaceDN/>
        <w:bidi w:val="0"/>
        <w:adjustRightInd/>
        <w:snapToGrid/>
        <w:spacing w:before="240" w:after="240" w:line="360" w:lineRule="auto"/>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第三章 境外特殊参与者资格的取得、变更和终止</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第九条</w:t>
      </w:r>
      <w:r>
        <w:rPr>
          <w:rFonts w:hint="eastAsia" w:ascii="宋体" w:hAnsi="宋体" w:eastAsia="宋体" w:cs="宋体"/>
          <w:sz w:val="28"/>
          <w:szCs w:val="28"/>
          <w:highlight w:val="none"/>
        </w:rPr>
        <w:t xml:space="preserve"> 申请成为境外特殊经纪参与者应当具备下列条件：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（一）所在国（地区）具有完善的法律和监督管理制度；</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（二）财务稳健，资信良好，具备充足的流动资本；</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（三）具有健全的治理结构和完善的内部控制制度，经营行为规范；</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（四）所在国（地区）期货监管机构已与中国证监会签订监管合作谅解备忘录；</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（五）在境外设立并具有所在国（地区）期货经纪业务资格；</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（六）承认并遵守交易所章程、业务规则及各项规定和决定；</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（七）净资本不低于3000万元人民币或者等值外币；</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（八）持续经营2年以上；</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（九）具有满足开展业务所需要的人员、期货交易业务系统、设备和场地；</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（十）具有健全的财务管理制度、完善的期货业务管理制度和良好的运营能力、诚信状况和声誉，处于正常运营状态；</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（十一）授权在境内合法存续满一年的经济组织或代表机构作为指定联络机构，并指定该经济组织或者代表机构的诚信良好的高级管理人员或者员工作为指定联络人；</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（十二）交易所规定的其他条件。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交易所有权根据申请人的财务状况、风险管理能力和运营稳健程度，豁免上述一项或者多项条件。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第十条</w:t>
      </w:r>
      <w:r>
        <w:rPr>
          <w:rFonts w:hint="eastAsia" w:ascii="宋体" w:hAnsi="宋体" w:eastAsia="宋体" w:cs="宋体"/>
          <w:sz w:val="28"/>
          <w:szCs w:val="28"/>
          <w:highlight w:val="none"/>
        </w:rPr>
        <w:t xml:space="preserve"> 申请成为境外特殊非经纪参与者应当具备下列条件：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（一）所在国（地区）具有完善的法律和监督管理制度；</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（二）财务稳健，资信良好，具备充足的流动资本；</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（三）具有健全的治理结构和完善的内部控制制度，经营行为规范；</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（四）承认并遵守交易所业务规则及各项规定和决定；</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（五）净资本或者净资产不低于1000万元人民币或者等值外币；</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（六）具有满足开展业务所需要的人员、期货交易业务系统、设备和场地；</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（七）具有健全的财务管理制度、完善的期货业务管理制度和良好的运营能力、诚信状况和声誉，处于正常运营状态；</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（八）授权在境内合法存续满一年的经济组织或者代表机构作为指定联络机构，并指定该经济组织或者代表机构的诚信良好的高级管理人员或者员工作为指定联络人；</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（九）交易所规定的其他条件。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交易所有权根据申请人的财务状况、风险管理能力和运营稳健程度，豁免上述一项或者多项条件。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第十一条</w:t>
      </w:r>
      <w:r>
        <w:rPr>
          <w:rFonts w:hint="eastAsia" w:ascii="宋体" w:hAnsi="宋体" w:eastAsia="宋体" w:cs="宋体"/>
          <w:b/>
          <w:sz w:val="28"/>
          <w:szCs w:val="28"/>
          <w:highlight w:val="none"/>
        </w:rPr>
        <w:t xml:space="preserve"> </w:t>
      </w:r>
      <w:r>
        <w:rPr>
          <w:rFonts w:hint="eastAsia" w:ascii="宋体" w:hAnsi="宋体" w:eastAsia="宋体" w:cs="宋体"/>
          <w:sz w:val="28"/>
          <w:szCs w:val="28"/>
          <w:highlight w:val="none"/>
        </w:rPr>
        <w:t>申请成为境外特殊经纪参与者应当向交易所提交下列文件和资料：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（一）经有权签署人签字的申请书；</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（二）承认并遵守交易所业务规则及各项规定和决定，并保证所有申请材料的真实性、准确性、完整性、合规性的承诺函；</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（三）经会计师事务所或者审计师事务所审计的申请人近一年财务报告；</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（四）申请人具有当地经纪资格并持续经营2年以上的证明文件；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（五）人员、期货交易业务系统、设备和场地情况以及满足业务需要的说明；</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（六）经公证和依法认证的申请人合法成立的资料；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（七）申请人的章程、组织结构图、主要股东名单、董事会成员名单、海外分支机构和关联企业名单，以及财务管理制度、内部风险控制制度和期货业务管理制度；</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（八）申请人处于正常运营状态，具有良好的运营能力、诚信状况和声誉的证明文件；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（九）申请人首席执行官、期货业务负责人和期货风险控制负责人的有效身份证明、简历及签名印鉴卡；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授权境内合法存续满一年的有固定办公场所的经济组织或者代表机构及其相关人员为指定联络机构和指定联络人的授权文件，被授权机构和个人接受授权的证明文件，以及联系人和指定联络人姓名、联系方式及有效身份证明；</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（十一）涉及委托授权签字的应当提供授权委托书；</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（十二）交易所认为需要提供的其他文件。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交易所豁免相关条件的，可以豁免提供相应文件和资料。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第十二条</w:t>
      </w:r>
      <w:r>
        <w:rPr>
          <w:rFonts w:hint="eastAsia" w:ascii="宋体" w:hAnsi="宋体" w:eastAsia="宋体" w:cs="宋体"/>
          <w:sz w:val="28"/>
          <w:szCs w:val="28"/>
          <w:highlight w:val="none"/>
        </w:rPr>
        <w:t xml:space="preserve"> 申请成为境外特殊非经纪参与者应当向交易所提交下列文件和资料：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（一）经有权签署人签字的申请书；</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（二）承认并遵守交易所业务规则及各项规定和决定，并保证所有申请材料的真实性、准确性、完整性、合规性的承诺函；</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（三）经会计师事务所或者审计师事务所审计的申请人近一年财务报告；</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（四）人员、期货交易业务系统、设备和场地情况以及满足业务需要的说明；</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（五）经公证和依法认证的申请人合法成立的资料；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（六）申请人的章程、组织结构图、主要股东名单、董事会成员名单、海外分支机构和关联企业名单，以及财务管理制度、内部风险控制制度和期货业务管理制度；</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（七）申请人处于正常运营状态，具有良好的运营能力、诚信状况和声誉的证明文件；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（八）申请人首席执行官、期货业务负责人和期货风险控制负责人的有效身份证明、简历及签名印鉴卡；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授权境内合法存续满一年的有固定办公场所的经济组织及其相关人员为指定联络机构和指定联络人的授权文件，被授权机构和个人接受授权的证明文件，以及联系人和指定联络人姓名、联系方式及有效身份证明；</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（十）涉及委托授权签字的应当提供授权委托书；</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（十一）交易所认为需要提供的其他文件。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交易所豁免相关条件的，可以豁免提供相应文件和资料。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第十三条</w:t>
      </w:r>
      <w:r>
        <w:rPr>
          <w:rFonts w:hint="eastAsia" w:ascii="宋体" w:hAnsi="宋体" w:eastAsia="宋体" w:cs="宋体"/>
          <w:sz w:val="28"/>
          <w:szCs w:val="28"/>
          <w:highlight w:val="none"/>
        </w:rPr>
        <w:t xml:space="preserve"> 申请境外特殊参与者资格提交的申请书应当包括以下内容：</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（一）申请人名称、登记地、注册资本、申请经营的业务种类等；</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（二）申请目的和理由；</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（三）组织机构、经营机构的设置概况；</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（四）交易所要求说明的其他情况。</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第十四条</w:t>
      </w:r>
      <w:r>
        <w:rPr>
          <w:rFonts w:hint="eastAsia" w:ascii="宋体" w:hAnsi="宋体" w:eastAsia="宋体" w:cs="宋体"/>
          <w:sz w:val="28"/>
          <w:szCs w:val="28"/>
          <w:highlight w:val="none"/>
        </w:rPr>
        <w:t xml:space="preserve"> 交易所收到符合要求的境外特殊参与者申请材料后，应当于30个交易日内提出审核意见。交易所决定批准的，向申请人发出准入通知书，通知其办理相关手续；决定不批准的，书面通知申请人。</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第十五条</w:t>
      </w:r>
      <w:r>
        <w:rPr>
          <w:rFonts w:hint="eastAsia" w:ascii="宋体" w:hAnsi="宋体" w:eastAsia="宋体" w:cs="宋体"/>
          <w:sz w:val="28"/>
          <w:szCs w:val="28"/>
          <w:highlight w:val="none"/>
        </w:rPr>
        <w:t xml:space="preserve"> 自收到交易所准入通知书之日起90天内，申请人应当办结如下事项：</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（一）与交易所签订协议；</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（二）按规定金额交纳交易席位费，有关收费标准由交易所另行公告；</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（三）在交易所指定存管银行按规定开设专用期货结算账户；</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（四）向交易所提交与会员签订的委托结算的协议；</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（五）办理有关人员和印鉴的授权手续；</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（六）提供不少于2名取得中国期货从业资格考试合格证书的员工简历和证明文件；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（七）应当办理的其他事项。</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逾期未办理的，视为自动放弃准入资格。</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第十六条 </w:t>
      </w:r>
      <w:r>
        <w:rPr>
          <w:rFonts w:hint="eastAsia" w:ascii="宋体" w:hAnsi="宋体" w:eastAsia="宋体" w:cs="宋体"/>
          <w:sz w:val="28"/>
          <w:szCs w:val="28"/>
          <w:highlight w:val="none"/>
        </w:rPr>
        <w:t>申请人办结手续后，即取得境外特殊参与者资格。交易所颁发境外特殊参与者证书，并向中国证监会报告。</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第十七条</w:t>
      </w:r>
      <w:r>
        <w:rPr>
          <w:rFonts w:hint="eastAsia" w:ascii="宋体" w:hAnsi="宋体" w:eastAsia="宋体" w:cs="宋体"/>
          <w:b/>
          <w:sz w:val="28"/>
          <w:szCs w:val="28"/>
          <w:highlight w:val="none"/>
        </w:rPr>
        <w:t xml:space="preserve"> </w:t>
      </w:r>
      <w:r>
        <w:rPr>
          <w:rFonts w:hint="eastAsia" w:ascii="宋体" w:hAnsi="宋体" w:eastAsia="宋体" w:cs="宋体"/>
          <w:sz w:val="28"/>
          <w:szCs w:val="28"/>
          <w:highlight w:val="none"/>
        </w:rPr>
        <w:t>境外特殊参与者拥有一个交易席位，并可以申请增加交易席位。境外特殊参与者使用交易席位应当严格遵守交易所的有关规定，并应当按照交易席位的数量交纳交易席位费。</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第十八条</w:t>
      </w:r>
      <w:r>
        <w:rPr>
          <w:rFonts w:hint="eastAsia" w:ascii="宋体" w:hAnsi="宋体" w:eastAsia="宋体" w:cs="宋体"/>
          <w:sz w:val="28"/>
          <w:szCs w:val="28"/>
          <w:highlight w:val="none"/>
        </w:rPr>
        <w:t xml:space="preserve"> 境外特殊参与者资格不得转让。禁止以出租、抵押等方式私下转让、处置境外特殊参与者资格或者交易席位。</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第十九条</w:t>
      </w:r>
      <w:r>
        <w:rPr>
          <w:rFonts w:hint="eastAsia" w:ascii="宋体" w:hAnsi="宋体" w:eastAsia="宋体" w:cs="宋体"/>
          <w:sz w:val="28"/>
          <w:szCs w:val="28"/>
          <w:highlight w:val="none"/>
        </w:rPr>
        <w:t xml:space="preserve"> 兼并境外特殊参与者的法人或者与境外特殊参与者合并后新设立的法人承继境外特殊参与者资格的，应当向交易所提出申请，经交易所审查批准后，方可承继境外特殊参与者资格。</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第二十条</w:t>
      </w:r>
      <w:r>
        <w:rPr>
          <w:rFonts w:hint="eastAsia" w:ascii="宋体" w:hAnsi="宋体" w:eastAsia="宋体" w:cs="宋体"/>
          <w:sz w:val="28"/>
          <w:szCs w:val="28"/>
          <w:highlight w:val="none"/>
        </w:rPr>
        <w:t xml:space="preserve"> 境外特殊参与者具有以下情形之一的，交易所应当取消其境外特殊参与者资格：</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（一）被有权监管机构吊销期货经纪业务资格或者被宣布为期货市场禁止进入者等丧失相关主体资格的；</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（二）以出租、抵押等方式私下转让、处置境外特殊参与者资格或者交易席位的；</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（三）无正当理由连续三个月不进行期货交易的；</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（四）被交易所宣布为“市场禁止进入者”的；</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（五）法院裁定宣告破产的；</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（六）其他违反中国法律、法规、规章和严重违反交易所有关规定的。</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第二十一条</w:t>
      </w:r>
      <w:r>
        <w:rPr>
          <w:rFonts w:hint="eastAsia" w:ascii="宋体" w:hAnsi="宋体" w:eastAsia="宋体" w:cs="宋体"/>
          <w:sz w:val="28"/>
          <w:szCs w:val="28"/>
          <w:highlight w:val="none"/>
        </w:rPr>
        <w:t xml:space="preserve"> 境外特殊参与者应当持续符合相应资格条件。境外特殊参与者不能继续符合的，应当向交易所申请终止资格；未申请终止资格的，交易所可以取消其境外特殊参与者资格。</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第二十二条 </w:t>
      </w:r>
      <w:r>
        <w:rPr>
          <w:rFonts w:hint="eastAsia" w:ascii="宋体" w:hAnsi="宋体" w:eastAsia="宋体" w:cs="宋体"/>
          <w:sz w:val="28"/>
          <w:szCs w:val="28"/>
          <w:highlight w:val="none"/>
        </w:rPr>
        <w:t>境外特殊参与者可以视情况申请终止其相应资格。境外特殊参与者申请终止资格，应当向交易所提交经有权签署人签字的申请书以及交易所要求的其他材料。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交易所应当在收到符合要求的申请终止材料之日起30个交易日内作出是否同意终止的决定。</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第二十三条 </w:t>
      </w:r>
      <w:r>
        <w:rPr>
          <w:rFonts w:hint="eastAsia" w:ascii="宋体" w:hAnsi="宋体" w:eastAsia="宋体" w:cs="宋体"/>
          <w:sz w:val="28"/>
          <w:szCs w:val="28"/>
          <w:highlight w:val="none"/>
        </w:rPr>
        <w:t>交易所取消或者同意终止境外特殊参与者资格的，注销其境外特殊参与者资格。境外特殊参与者资格证书自注销之日起失效。境外特殊参与者资格发生变化的，交易所应当报告中国证监会。</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第二十四条 </w:t>
      </w:r>
      <w:r>
        <w:rPr>
          <w:rFonts w:hint="eastAsia" w:ascii="宋体" w:hAnsi="宋体" w:eastAsia="宋体" w:cs="宋体"/>
          <w:sz w:val="28"/>
          <w:szCs w:val="28"/>
          <w:highlight w:val="none"/>
        </w:rPr>
        <w:t>自收到交易所取消或者同意终止其境外特殊参与者资格的通知之日起30个交易日内，境外特殊参与者应当办结下列手续：</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（一）了结合约持仓；</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（二）结清在交易所的全部债权债务；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（三）退还各种票据和交易所颁发的各种证件；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（四）办理期货结算账户的销户手续；</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（五）退还交易所的各种交易设施；</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（六）终止委托结算的协议；</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（七）按规定应当办理的其他事项。</w:t>
      </w:r>
    </w:p>
    <w:p>
      <w:pPr>
        <w:keepNext w:val="0"/>
        <w:keepLines w:val="0"/>
        <w:pageBreakBefore w:val="0"/>
        <w:widowControl w:val="0"/>
        <w:kinsoku/>
        <w:wordWrap/>
        <w:overflowPunct/>
        <w:topLinePunct w:val="0"/>
        <w:autoSpaceDE/>
        <w:autoSpaceDN/>
        <w:bidi w:val="0"/>
        <w:adjustRightInd/>
        <w:snapToGrid/>
        <w:spacing w:before="240" w:after="240" w:line="360" w:lineRule="auto"/>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第四章 业务规则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第二十五条</w:t>
      </w:r>
      <w:r>
        <w:rPr>
          <w:rFonts w:hint="eastAsia" w:ascii="宋体" w:hAnsi="宋体" w:eastAsia="宋体" w:cs="宋体"/>
          <w:sz w:val="28"/>
          <w:szCs w:val="28"/>
          <w:highlight w:val="none"/>
        </w:rPr>
        <w:t xml:space="preserve"> 境外特殊经纪参与者仅能接受境外客户、境外中介机构委托在交易所从事境内特定品种期货交易。境外经纪机构不得接受被交易所宣布为“市场禁止进入者”的委托，在交易所为其进行期货交易。</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境外特殊经纪参与者接受境外中介机构委托的，参照《</w:t>
      </w:r>
      <w:r>
        <w:rPr>
          <w:rFonts w:hint="eastAsia" w:ascii="宋体" w:hAnsi="宋体" w:eastAsia="宋体" w:cs="宋体"/>
          <w:sz w:val="28"/>
          <w:szCs w:val="28"/>
          <w:highlight w:val="none"/>
          <w:lang w:eastAsia="zh-CN"/>
        </w:rPr>
        <w:t>郑州商品交易所</w:t>
      </w:r>
      <w:r>
        <w:rPr>
          <w:rFonts w:hint="eastAsia" w:ascii="宋体" w:hAnsi="宋体" w:eastAsia="宋体" w:cs="宋体"/>
          <w:sz w:val="28"/>
          <w:szCs w:val="28"/>
          <w:highlight w:val="none"/>
        </w:rPr>
        <w:t>期货公司会员接受境外中介机构委托开展期货交易业务管理办法》中第一条至第十二条、第十四条至第二十条执行。</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第二十六条</w:t>
      </w:r>
      <w:r>
        <w:rPr>
          <w:rFonts w:hint="eastAsia" w:ascii="宋体" w:hAnsi="宋体" w:eastAsia="宋体" w:cs="宋体"/>
          <w:sz w:val="28"/>
          <w:szCs w:val="28"/>
          <w:highlight w:val="none"/>
        </w:rPr>
        <w:t xml:space="preserve"> 境外特殊经纪参与者应当按照开户规定为每个客户单独开立交易账户，获取交易编码。禁止混码交易。</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第二十七条</w:t>
      </w:r>
      <w:r>
        <w:rPr>
          <w:rFonts w:hint="eastAsia" w:ascii="宋体" w:hAnsi="宋体" w:eastAsia="宋体" w:cs="宋体"/>
          <w:sz w:val="28"/>
          <w:szCs w:val="28"/>
          <w:highlight w:val="none"/>
        </w:rPr>
        <w:t xml:space="preserve"> 境外特殊经纪参与者应当及时将客户下达的交易指令全部传递到交易所参与竞价交易，不得进行私下对冲等交易。境外特殊经纪参与者应当按照规定对客户的交易指令进行资金和持仓验证。</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第二十八条</w:t>
      </w:r>
      <w:r>
        <w:rPr>
          <w:rFonts w:hint="eastAsia" w:ascii="宋体" w:hAnsi="宋体" w:eastAsia="宋体" w:cs="宋体"/>
          <w:sz w:val="28"/>
          <w:szCs w:val="28"/>
          <w:highlight w:val="none"/>
        </w:rPr>
        <w:t xml:space="preserve"> 境外特殊参与者从事期货交易的结算、交割业务和风险控制管理应当遵守《郑州商品交易所期货结算</w:t>
      </w:r>
      <w:r>
        <w:rPr>
          <w:rFonts w:hint="eastAsia" w:ascii="宋体" w:hAnsi="宋体" w:eastAsia="宋体" w:cs="宋体"/>
          <w:sz w:val="28"/>
          <w:szCs w:val="28"/>
          <w:highlight w:val="none"/>
          <w:lang w:eastAsia="zh-CN"/>
        </w:rPr>
        <w:t>管理办法</w:t>
      </w:r>
      <w:r>
        <w:rPr>
          <w:rFonts w:hint="eastAsia" w:ascii="宋体" w:hAnsi="宋体" w:eastAsia="宋体" w:cs="宋体"/>
          <w:sz w:val="28"/>
          <w:szCs w:val="28"/>
          <w:highlight w:val="none"/>
        </w:rPr>
        <w:t>》《郑州商品交易所期货交割</w:t>
      </w:r>
      <w:r>
        <w:rPr>
          <w:rFonts w:hint="eastAsia" w:ascii="宋体" w:hAnsi="宋体" w:eastAsia="宋体" w:cs="宋体"/>
          <w:sz w:val="28"/>
          <w:szCs w:val="28"/>
          <w:highlight w:val="none"/>
          <w:lang w:eastAsia="zh-CN"/>
        </w:rPr>
        <w:t>管理办法</w:t>
      </w:r>
      <w:r>
        <w:rPr>
          <w:rFonts w:hint="eastAsia" w:ascii="宋体" w:hAnsi="宋体" w:eastAsia="宋体" w:cs="宋体"/>
          <w:sz w:val="28"/>
          <w:szCs w:val="28"/>
          <w:highlight w:val="none"/>
        </w:rPr>
        <w:t>》《郑州商品交易所标准仓单管理办法》《郑州商品交易所期货交易风险控制管理办法》</w:t>
      </w:r>
      <w:r>
        <w:rPr>
          <w:rFonts w:hint="eastAsia" w:ascii="宋体" w:hAnsi="宋体" w:eastAsia="宋体" w:cs="宋体"/>
          <w:sz w:val="28"/>
          <w:szCs w:val="28"/>
          <w:highlight w:val="none"/>
          <w:lang w:eastAsia="zh-CN"/>
        </w:rPr>
        <w:t>和境内特定品种期货业务细则</w:t>
      </w:r>
      <w:r>
        <w:rPr>
          <w:rFonts w:hint="eastAsia" w:ascii="宋体" w:hAnsi="宋体" w:eastAsia="宋体" w:cs="宋体"/>
          <w:sz w:val="28"/>
          <w:szCs w:val="28"/>
          <w:highlight w:val="none"/>
        </w:rPr>
        <w:t>的相关规定。</w:t>
      </w:r>
    </w:p>
    <w:p>
      <w:pPr>
        <w:keepNext w:val="0"/>
        <w:keepLines w:val="0"/>
        <w:pageBreakBefore w:val="0"/>
        <w:widowControl w:val="0"/>
        <w:kinsoku/>
        <w:wordWrap/>
        <w:overflowPunct/>
        <w:topLinePunct w:val="0"/>
        <w:autoSpaceDE/>
        <w:autoSpaceDN/>
        <w:bidi w:val="0"/>
        <w:adjustRightInd/>
        <w:snapToGrid/>
        <w:spacing w:before="240" w:after="240" w:line="360" w:lineRule="auto"/>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第五章 监督管理</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第二十九条</w:t>
      </w:r>
      <w:r>
        <w:rPr>
          <w:rFonts w:hint="eastAsia" w:ascii="宋体" w:hAnsi="宋体" w:eastAsia="宋体" w:cs="宋体"/>
          <w:sz w:val="28"/>
          <w:szCs w:val="28"/>
          <w:highlight w:val="none"/>
        </w:rPr>
        <w:t xml:space="preserve"> 境外特殊参与者及其从业人员应当遵守中国有关法律、法规和交易所业务规则及各项规定和决定，接受中国证监会和交易所的管理和监督。交易所按照规定监督、检查境外特殊参与者涉及交易所期货交易的业务活动管理、财务及资信状况。</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第三十条</w:t>
      </w:r>
      <w:r>
        <w:rPr>
          <w:rFonts w:hint="eastAsia" w:ascii="宋体" w:hAnsi="宋体" w:eastAsia="宋体" w:cs="宋体"/>
          <w:sz w:val="28"/>
          <w:szCs w:val="28"/>
          <w:highlight w:val="none"/>
        </w:rPr>
        <w:t xml:space="preserve"> 交易所在监督管理过程中，对存在或者可能存在违规情形的境外特殊参与者，可以根据情节轻重采取下列措施：</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（一）口头警示；</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（二）书面警示；</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（三）约见谈话；</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（四）限期说明情况；</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（五）责令改正；</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（六）责令参加培训；</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（七）责令定期报告；</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（八）责令加强内部合规检查；</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（九）专项调查；</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（十）责令处分有关人员；</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（十一）限制或者暂停相关业务；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（十二）提请中国证监会、中国期货业协会或者其他监管机构及自律监管组织处理。</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第三十一条</w:t>
      </w:r>
      <w:r>
        <w:rPr>
          <w:rFonts w:hint="eastAsia" w:ascii="宋体" w:hAnsi="宋体" w:eastAsia="宋体" w:cs="宋体"/>
          <w:sz w:val="28"/>
          <w:szCs w:val="28"/>
          <w:highlight w:val="none"/>
        </w:rPr>
        <w:t xml:space="preserve"> 境外特殊参与者具有下列情形之一的，应当及时通知交易所，并在20个交易日内向交易所书面报告：</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（一）变更首席执行官；</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（二）变更注册资本或者5%以上的股权；</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（三）变更名称、住所、营业场所或者指定联络人和联络机构及其联系方式；</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（四）设立、合并或者终止分支机构；</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（五）经营状况发生重大变化；</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（六）发生重大纠纷、仲裁、诉讼案件；</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（七）停止期货业务；</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（八）开立或者变更专用期货结算账户；</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shd w:val="pct10" w:color="auto" w:fill="FFFFFF"/>
        </w:rPr>
      </w:pPr>
      <w:r>
        <w:rPr>
          <w:rFonts w:hint="eastAsia" w:ascii="宋体" w:hAnsi="宋体" w:eastAsia="宋体" w:cs="宋体"/>
          <w:sz w:val="28"/>
          <w:szCs w:val="28"/>
          <w:highlight w:val="none"/>
        </w:rPr>
        <w:t>（九）取得其他期货交易场所会员或者直接入场交易的资格；</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（十）因涉嫌违法、违规受到任何国家或地区的政府、监管机关、司法机关立案调查、处罚或者受到其他期货交易场所处罚；</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（十一）交易所要求报告的其他情形。</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第三十二条 </w:t>
      </w:r>
      <w:r>
        <w:rPr>
          <w:rFonts w:hint="eastAsia" w:ascii="宋体" w:hAnsi="宋体" w:eastAsia="宋体" w:cs="宋体"/>
          <w:sz w:val="28"/>
          <w:szCs w:val="28"/>
          <w:highlight w:val="none"/>
        </w:rPr>
        <w:t>交易所可以要求境外特殊参与者在规定时间内提交经审计的财务报告。</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第三十三条 </w:t>
      </w:r>
      <w:r>
        <w:rPr>
          <w:rFonts w:hint="eastAsia" w:ascii="宋体" w:hAnsi="宋体" w:eastAsia="宋体" w:cs="宋体"/>
          <w:sz w:val="28"/>
          <w:szCs w:val="28"/>
          <w:highlight w:val="none"/>
        </w:rPr>
        <w:t>境外特殊参与者具有下列情形之一的，交易所有权要求其限期整改：</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（一）财务管理不善，长期亏损，经营状况不佳或者清偿能力明显下降；</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（二）年度检查中发现重大问题。</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境外特殊参与者未能在限期内整改的，交易所有权暂停其期货交易业务或者取消其境外特殊参与者资格。</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第三十四条 </w:t>
      </w:r>
      <w:r>
        <w:rPr>
          <w:rFonts w:hint="eastAsia" w:ascii="宋体" w:hAnsi="宋体" w:eastAsia="宋体" w:cs="宋体"/>
          <w:sz w:val="28"/>
          <w:szCs w:val="28"/>
          <w:highlight w:val="none"/>
        </w:rPr>
        <w:t>境外特殊经纪参与者应当根据交易者适当性制度要求，评估客户的认知水平和风险承受能力，选择适当的客户审慎参与相关期货品种交易。</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第三十五条 </w:t>
      </w:r>
      <w:r>
        <w:rPr>
          <w:rFonts w:hint="eastAsia" w:ascii="宋体" w:hAnsi="宋体" w:eastAsia="宋体" w:cs="宋体"/>
          <w:sz w:val="28"/>
          <w:szCs w:val="28"/>
          <w:highlight w:val="none"/>
        </w:rPr>
        <w:t>境外特殊经纪参与者受托从事期货交易，不得编造或者故意传播虚假信息误导客户或者委托人，不得以任何方式欺诈客户或者委托人。</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第三十六条 </w:t>
      </w:r>
      <w:r>
        <w:rPr>
          <w:rFonts w:hint="eastAsia" w:ascii="宋体" w:hAnsi="宋体" w:eastAsia="宋体" w:cs="宋体"/>
          <w:sz w:val="28"/>
          <w:szCs w:val="28"/>
          <w:highlight w:val="none"/>
        </w:rPr>
        <w:t>境外特殊参与者应当按照交易所的要求，参加相关会议和活动，维护交易所声誉，协助并配合交易所处理各种突发或者异常事件。当出现各种突发或者异常事件时，境外特殊经纪参与者应当及时向客户或者委托人做好解释化解工作。</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第三十七条</w:t>
      </w:r>
      <w:r>
        <w:rPr>
          <w:rFonts w:hint="eastAsia" w:ascii="宋体" w:hAnsi="宋体" w:eastAsia="宋体" w:cs="宋体"/>
          <w:sz w:val="28"/>
          <w:szCs w:val="28"/>
          <w:highlight w:val="none"/>
        </w:rPr>
        <w:t xml:space="preserve"> 境外特殊参与者的从业人员在交易所从事交易业务的，应当经境外特殊参与者授权。</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境外特殊参与者的从业人员在交易所从事的业务活动均由该境外特殊参与者承担全部责任。</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第三十八条 </w:t>
      </w:r>
      <w:r>
        <w:rPr>
          <w:rFonts w:hint="eastAsia" w:ascii="宋体" w:hAnsi="宋体" w:eastAsia="宋体" w:cs="宋体"/>
          <w:sz w:val="28"/>
          <w:szCs w:val="28"/>
          <w:highlight w:val="none"/>
        </w:rPr>
        <w:t>境外特殊参与者的期货业务负责人以及期货业务风控负责人发生变更的，应当</w:t>
      </w:r>
      <w:r>
        <w:rPr>
          <w:rFonts w:hint="eastAsia" w:ascii="宋体" w:hAnsi="宋体" w:eastAsia="宋体" w:cs="宋体"/>
          <w:sz w:val="28"/>
          <w:szCs w:val="28"/>
          <w:highlight w:val="none"/>
          <w:lang w:val="en-US" w:eastAsia="zh-CN"/>
        </w:rPr>
        <w:t>即时</w:t>
      </w:r>
      <w:r>
        <w:rPr>
          <w:rFonts w:hint="eastAsia" w:ascii="宋体" w:hAnsi="宋体" w:eastAsia="宋体" w:cs="宋体"/>
          <w:sz w:val="28"/>
          <w:szCs w:val="28"/>
          <w:highlight w:val="none"/>
        </w:rPr>
        <w:t>以书面形式通知交易所。</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境外特殊参与者资格被取消的，该境外特殊参与者对其从业人员的授权自动失效。</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第三十九条 </w:t>
      </w:r>
      <w:r>
        <w:rPr>
          <w:rFonts w:hint="eastAsia" w:ascii="宋体" w:hAnsi="宋体" w:eastAsia="宋体" w:cs="宋体"/>
          <w:sz w:val="28"/>
          <w:szCs w:val="28"/>
          <w:highlight w:val="none"/>
        </w:rPr>
        <w:t>违反本管理办法的，交易所按《郑州商品交易所违规处理办法》的有关规定处理。</w:t>
      </w:r>
    </w:p>
    <w:p>
      <w:pPr>
        <w:keepNext w:val="0"/>
        <w:keepLines w:val="0"/>
        <w:pageBreakBefore w:val="0"/>
        <w:widowControl w:val="0"/>
        <w:kinsoku/>
        <w:wordWrap/>
        <w:overflowPunct/>
        <w:topLinePunct w:val="0"/>
        <w:autoSpaceDE/>
        <w:autoSpaceDN/>
        <w:bidi w:val="0"/>
        <w:adjustRightInd/>
        <w:snapToGrid/>
        <w:spacing w:before="240" w:after="240" w:line="360" w:lineRule="auto"/>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第六章 附则</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第四十条</w:t>
      </w:r>
      <w:r>
        <w:rPr>
          <w:rFonts w:hint="eastAsia" w:ascii="宋体" w:hAnsi="宋体" w:eastAsia="宋体" w:cs="宋体"/>
          <w:sz w:val="28"/>
          <w:szCs w:val="28"/>
          <w:highlight w:val="none"/>
        </w:rPr>
        <w:t xml:space="preserve"> 本办法所称关联企业是指相互间直接或者间接持有其中一方的股份总和达到25%以上，以及直接或者间接同为第三者所拥有或者控制股份达到25%以上的企业。</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第四十一条</w:t>
      </w:r>
      <w:r>
        <w:rPr>
          <w:rFonts w:hint="eastAsia" w:ascii="宋体" w:hAnsi="宋体" w:eastAsia="宋体" w:cs="宋体"/>
          <w:b/>
          <w:sz w:val="28"/>
          <w:szCs w:val="28"/>
          <w:highlight w:val="none"/>
        </w:rPr>
        <w:t xml:space="preserve"> </w:t>
      </w:r>
      <w:r>
        <w:rPr>
          <w:rFonts w:hint="eastAsia" w:ascii="宋体" w:hAnsi="宋体" w:eastAsia="宋体" w:cs="宋体"/>
          <w:sz w:val="28"/>
          <w:szCs w:val="28"/>
          <w:highlight w:val="none"/>
        </w:rPr>
        <w:t>除交易所认可的情形外，本办法及交易所业务管理办法规定的境外特殊参与者向交易所提交的书面材料均应当有中文版本，并以中文版本为准。</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第四十二条</w:t>
      </w:r>
      <w:r>
        <w:rPr>
          <w:rFonts w:hint="eastAsia" w:ascii="宋体" w:hAnsi="宋体" w:eastAsia="宋体" w:cs="宋体"/>
          <w:sz w:val="28"/>
          <w:szCs w:val="28"/>
          <w:highlight w:val="none"/>
        </w:rPr>
        <w:t xml:space="preserve"> 本办法解释权属于交易所。</w:t>
      </w:r>
    </w:p>
    <w:p>
      <w:pPr>
        <w:keepNext w:val="0"/>
        <w:keepLines w:val="0"/>
        <w:pageBreakBefore w:val="0"/>
        <w:kinsoku/>
        <w:wordWrap/>
        <w:overflowPunct/>
        <w:topLinePunct w:val="0"/>
        <w:autoSpaceDE/>
        <w:autoSpaceDN/>
        <w:bidi w:val="0"/>
        <w:snapToGrid/>
        <w:spacing w:line="580" w:lineRule="exact"/>
        <w:ind w:firstLine="560" w:firstLineChars="200"/>
        <w:textAlignment w:val="auto"/>
        <w:rPr>
          <w:rFonts w:hint="eastAsia" w:ascii="宋体" w:hAnsi="宋体" w:eastAsia="宋体" w:cs="宋体"/>
          <w:sz w:val="28"/>
          <w:szCs w:val="28"/>
          <w:highlight w:val="none"/>
        </w:rPr>
        <w:sectPr>
          <w:pgSz w:w="11906" w:h="16838"/>
          <w:pgMar w:top="1440" w:right="1800" w:bottom="1440" w:left="1800" w:header="720" w:footer="720" w:gutter="0"/>
          <w:cols w:space="720" w:num="1"/>
          <w:docGrid w:type="lines" w:linePitch="312" w:charSpace="0"/>
        </w:sectPr>
      </w:pPr>
      <w:r>
        <w:rPr>
          <w:rFonts w:hint="eastAsia" w:ascii="黑体" w:hAnsi="黑体" w:eastAsia="黑体" w:cs="黑体"/>
          <w:b w:val="0"/>
          <w:bCs/>
          <w:sz w:val="28"/>
          <w:szCs w:val="28"/>
          <w:highlight w:val="none"/>
        </w:rPr>
        <w:t>第四十三条</w:t>
      </w:r>
      <w:r>
        <w:rPr>
          <w:rFonts w:hint="eastAsia" w:ascii="宋体" w:hAnsi="宋体" w:eastAsia="宋体" w:cs="宋体"/>
          <w:sz w:val="28"/>
          <w:szCs w:val="28"/>
          <w:highlight w:val="none"/>
        </w:rPr>
        <w:t xml:space="preserve"> 本办法自公布之日起实施。</w:t>
      </w:r>
    </w:p>
    <w:p>
      <w:pPr>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keepNext w:val="0"/>
        <w:keepLines w:val="0"/>
        <w:pageBreakBefore w:val="0"/>
        <w:kinsoku/>
        <w:wordWrap/>
        <w:overflowPunct/>
        <w:topLinePunct w:val="0"/>
        <w:autoSpaceDE/>
        <w:autoSpaceDN/>
        <w:bidi w:val="0"/>
        <w:snapToGrid/>
        <w:spacing w:line="276" w:lineRule="auto"/>
        <w:jc w:val="center"/>
        <w:textAlignment w:val="auto"/>
        <w:rPr>
          <w:rFonts w:hint="eastAsia" w:ascii="黑体" w:hAnsi="黑体" w:eastAsia="黑体" w:cs="黑体"/>
          <w:b w:val="0"/>
          <w:bCs/>
          <w:sz w:val="40"/>
          <w:szCs w:val="40"/>
          <w:highlight w:val="none"/>
        </w:rPr>
      </w:pPr>
      <w:r>
        <w:rPr>
          <w:rFonts w:hint="eastAsia" w:ascii="黑体" w:hAnsi="黑体" w:eastAsia="黑体" w:cs="黑体"/>
          <w:b w:val="0"/>
          <w:bCs/>
          <w:sz w:val="40"/>
          <w:szCs w:val="40"/>
          <w:highlight w:val="none"/>
          <w:lang w:eastAsia="zh-CN"/>
        </w:rPr>
        <w:t>郑州商品交易所</w:t>
      </w:r>
      <w:r>
        <w:rPr>
          <w:rFonts w:hint="eastAsia" w:ascii="黑体" w:hAnsi="黑体" w:eastAsia="黑体" w:cs="黑体"/>
          <w:b w:val="0"/>
          <w:bCs/>
          <w:sz w:val="40"/>
          <w:szCs w:val="40"/>
          <w:highlight w:val="none"/>
        </w:rPr>
        <w:t>期货公司会员接受境外中介机构委托开展期货交易业务管理办法</w:t>
      </w:r>
    </w:p>
    <w:p>
      <w:pPr>
        <w:spacing w:before="240" w:after="24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snapToGrid/>
        <w:spacing w:before="240" w:after="240" w:line="360" w:lineRule="auto"/>
        <w:jc w:val="center"/>
        <w:textAlignment w:val="auto"/>
        <w:rPr>
          <w:rFonts w:ascii="黑体" w:hAnsi="黑体" w:eastAsia="黑体"/>
          <w:color w:val="000000"/>
          <w:sz w:val="32"/>
          <w:szCs w:val="32"/>
          <w:highlight w:val="none"/>
        </w:rPr>
      </w:pPr>
      <w:r>
        <w:rPr>
          <w:rFonts w:hint="eastAsia" w:ascii="黑体" w:hAnsi="黑体" w:eastAsia="黑体"/>
          <w:color w:val="000000"/>
          <w:sz w:val="32"/>
          <w:szCs w:val="32"/>
          <w:highlight w:val="none"/>
        </w:rPr>
        <w:t>第一章 总 则</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第一条</w:t>
      </w:r>
      <w:r>
        <w:rPr>
          <w:rFonts w:hint="eastAsia" w:ascii="宋体" w:hAnsi="宋体" w:eastAsia="宋体" w:cs="宋体"/>
          <w:sz w:val="28"/>
          <w:szCs w:val="28"/>
          <w:highlight w:val="none"/>
        </w:rPr>
        <w:t xml:space="preserve"> 为加强期货公司会员接受境外中介机构委托开展期货交易业务的管理，根据《郑州商品交易所交易规则》和《郑州商品交易所会员管理办法》，制定本办法。</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第二条</w:t>
      </w:r>
      <w:r>
        <w:rPr>
          <w:rFonts w:hint="eastAsia" w:ascii="宋体" w:hAnsi="宋体" w:eastAsia="宋体" w:cs="宋体"/>
          <w:b/>
          <w:sz w:val="28"/>
          <w:szCs w:val="28"/>
          <w:highlight w:val="none"/>
        </w:rPr>
        <w:t xml:space="preserve"> </w:t>
      </w:r>
      <w:r>
        <w:rPr>
          <w:rFonts w:hint="eastAsia" w:ascii="宋体" w:hAnsi="宋体" w:eastAsia="宋体" w:cs="宋体"/>
          <w:sz w:val="28"/>
          <w:szCs w:val="28"/>
          <w:highlight w:val="none"/>
        </w:rPr>
        <w:t>本办法所称境外中介机构，是指不直接入场交易，</w:t>
      </w:r>
      <w:r>
        <w:rPr>
          <w:rFonts w:hint="eastAsia" w:ascii="宋体" w:hAnsi="宋体" w:eastAsia="宋体" w:cs="宋体"/>
          <w:sz w:val="28"/>
          <w:szCs w:val="28"/>
          <w:highlight w:val="none"/>
          <w:lang w:eastAsia="zh-CN"/>
        </w:rPr>
        <w:t>但</w:t>
      </w:r>
      <w:r>
        <w:rPr>
          <w:rFonts w:hint="eastAsia" w:ascii="宋体" w:hAnsi="宋体" w:eastAsia="宋体" w:cs="宋体"/>
          <w:sz w:val="28"/>
          <w:szCs w:val="28"/>
          <w:highlight w:val="none"/>
        </w:rPr>
        <w:t>委托期货公司会员或者直接入场交易的境外经纪机构进行交易结算的境外经纪机构。</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第三条</w:t>
      </w:r>
      <w:r>
        <w:rPr>
          <w:rFonts w:hint="eastAsia" w:ascii="宋体" w:hAnsi="宋体" w:eastAsia="宋体" w:cs="宋体"/>
          <w:sz w:val="28"/>
          <w:szCs w:val="28"/>
          <w:highlight w:val="none"/>
        </w:rPr>
        <w:t xml:space="preserve"> 期货公司会员接受境外中介机构委托开展期货交易业务的，应当符合中国证券监督管理委员会（以下简称中国证监会）规定的条件。</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第四条</w:t>
      </w:r>
      <w:r>
        <w:rPr>
          <w:rFonts w:hint="eastAsia" w:ascii="宋体" w:hAnsi="宋体" w:eastAsia="宋体" w:cs="宋体"/>
          <w:sz w:val="28"/>
          <w:szCs w:val="28"/>
          <w:highlight w:val="none"/>
        </w:rPr>
        <w:t xml:space="preserve"> 本办法适用于期货公司会员、境外中介机构及其从业人员。</w:t>
      </w:r>
    </w:p>
    <w:p>
      <w:pPr>
        <w:keepNext w:val="0"/>
        <w:keepLines w:val="0"/>
        <w:pageBreakBefore w:val="0"/>
        <w:widowControl/>
        <w:kinsoku/>
        <w:wordWrap/>
        <w:overflowPunct/>
        <w:topLinePunct w:val="0"/>
        <w:autoSpaceDE/>
        <w:autoSpaceDN/>
        <w:bidi w:val="0"/>
        <w:adjustRightInd/>
        <w:snapToGrid/>
        <w:spacing w:before="240" w:after="240" w:line="360" w:lineRule="auto"/>
        <w:jc w:val="center"/>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第二章 业务规则</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第五条</w:t>
      </w:r>
      <w:r>
        <w:rPr>
          <w:rFonts w:hint="eastAsia" w:ascii="宋体" w:hAnsi="宋体" w:eastAsia="宋体" w:cs="宋体"/>
          <w:sz w:val="28"/>
          <w:szCs w:val="28"/>
          <w:highlight w:val="none"/>
        </w:rPr>
        <w:t xml:space="preserve"> 委托期货公司会员开展期货交易业务的境外中介机构应当满足以下条件：</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（一）在境外依法注册成立的金融机构，并取得所在国（地区）期货监管机构认可的可以接受交易者资金和交易指令并以自己名义为交易者进行期货交易的资质；</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（二）持续经营1年以上；</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（三）接受所在国（地区）期货监管机构监管，且该期货监管机构已与中国证监会签署监管合作谅解备忘录；</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（四）具有健全的治理机构和完善的内部控制制度，经营行为规范；</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（五）净资产不低于3000万元人民币或等值外币；</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（六）业务设施和技术系统符合相关技术规范且运行状况良好；</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（七）交易所规定的其他条件。</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第六条</w:t>
      </w:r>
      <w:r>
        <w:rPr>
          <w:rFonts w:hint="eastAsia" w:ascii="宋体" w:hAnsi="宋体" w:eastAsia="宋体" w:cs="宋体"/>
          <w:sz w:val="28"/>
          <w:szCs w:val="28"/>
          <w:highlight w:val="none"/>
        </w:rPr>
        <w:t xml:space="preserve"> 期货公司会员与境外中介机构应当以书面形式签订委托协议。</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委托协议应当包含以下条款：</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（一）委托范围；</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（二）最低保证金标准，办理相关资产作为保证金使用的流程及费用标准；</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（三）风险管理措施、条件及程序；</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（四）账户类型及管理模式、结算流程；</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（五）手续费标准；</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（六）信息许可及保密；</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（七）通知事项、方式及时限；</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（八）交易数据传送的安全与畅通；</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（九）交易、结算、交割、资金管理、行情和交易系统设置、客户服务及风险控制等事项的协作程序和规则；</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（十）发生强行平仓产生亏损的追索责任；</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（十一）不可归责于协议双方当事人所造成损失的情形及其处理方式；</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（十二）协议变更和解除；</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（十三）违约责任；</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（十四）争议处理方式及司法管辖地；</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（十五）法律适用；</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（十六）交易所规定的其他事项。</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境外中介机构应当在委托协议中承诺从事境内期货相关业务活动时遵守中国法律、法规、规章和交易所业务规则及各项规定和决定，并不得损害客户和其他市场参与者的合法权益。</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第七条 </w:t>
      </w:r>
      <w:r>
        <w:rPr>
          <w:rFonts w:hint="eastAsia" w:ascii="宋体" w:hAnsi="宋体" w:eastAsia="宋体" w:cs="宋体"/>
          <w:sz w:val="28"/>
          <w:szCs w:val="28"/>
          <w:highlight w:val="none"/>
        </w:rPr>
        <w:t>期货公司会员与境外中介机构签订委托协议后，应当在办理业务前向交易所备案。</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向交易所备案时，应当提交下列材料：</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（一）备案说明；</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（二）境外中介机构证明可以满足本办法第五条相关条件的材料，以及境外中介机构的期货业务风险控制负责人的有效身份证明、简历及签名印鉴卡；</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（三）期货公司会员受托开展期货交易相关业务制度、内部控制制度和风险管理制度的材料；</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（四）与境外中介机构签订的委托协议；</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（五）交易所规定的其他申请材料。</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自收到符合规定的全部备案文件之日起15个交易日内，交易所决定是否准予备案。决定准予备案的，交易所核发备案号，并书面告知期货公司会员；决定不予备案的，书面说明原因。</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第八条 </w:t>
      </w:r>
      <w:r>
        <w:rPr>
          <w:rFonts w:hint="eastAsia" w:ascii="宋体" w:hAnsi="宋体" w:eastAsia="宋体" w:cs="宋体"/>
          <w:sz w:val="28"/>
          <w:szCs w:val="28"/>
          <w:highlight w:val="none"/>
        </w:rPr>
        <w:t>变更委托协议内容的，期货公司会员应当在变更协议前向交易所提交变更备案申请及相关材料。交易所于收到正式文件之日起10个交易日内向期货公司会员书面确认备案情况。</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第九条 </w:t>
      </w:r>
      <w:r>
        <w:rPr>
          <w:rFonts w:hint="eastAsia" w:ascii="宋体" w:hAnsi="宋体" w:eastAsia="宋体" w:cs="宋体"/>
          <w:sz w:val="28"/>
          <w:szCs w:val="28"/>
          <w:highlight w:val="none"/>
        </w:rPr>
        <w:t>终止委托协议的，期货公司会员应当在终止协议后5个交易日内向交易所提交材料，申请取消相关备案。交易所于收到相关文件之日起10个交易日内向期货公司会员书面确认备案情况。</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第十条</w:t>
      </w:r>
      <w:r>
        <w:rPr>
          <w:rFonts w:hint="eastAsia" w:ascii="宋体" w:hAnsi="宋体" w:eastAsia="宋体" w:cs="宋体"/>
          <w:sz w:val="28"/>
          <w:szCs w:val="28"/>
          <w:highlight w:val="none"/>
        </w:rPr>
        <w:t xml:space="preserve"> 期货公司会员可以为境外中介机构开立综合资金账户，用于境外中介机构的境外客户的期货结算、交割等，期货公司会员按照综合资金账户收取保证金，登记明细账至境外中介机构（综合资金账户）为止。</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第十一条</w:t>
      </w:r>
      <w:r>
        <w:rPr>
          <w:rFonts w:hint="eastAsia" w:ascii="宋体" w:hAnsi="宋体" w:eastAsia="宋体" w:cs="宋体"/>
          <w:sz w:val="28"/>
          <w:szCs w:val="28"/>
          <w:highlight w:val="none"/>
        </w:rPr>
        <w:t xml:space="preserve"> 境外中介机构应当遵守交易所风险控制制度和其他相关要求，配合期货公司会员严格控制风险。</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第十二条 </w:t>
      </w:r>
      <w:r>
        <w:rPr>
          <w:rFonts w:hint="eastAsia" w:ascii="宋体" w:hAnsi="宋体" w:eastAsia="宋体" w:cs="宋体"/>
          <w:sz w:val="28"/>
          <w:szCs w:val="28"/>
          <w:highlight w:val="none"/>
        </w:rPr>
        <w:t>境外中介机构应当对其受托的客户进行实名制审核，留存客户的开户材料和影音文件，并按照中国期货市场监控中心有限责任公司的业务规则申请交易编码。境外中介机构应当协助期货公司会员履行相应的风险管理职责。</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期货公司会员按照中国期货市场监控中心有限责任公司的业务规则协助境外中介机构为境外客户开立交易账户，获取交易编码。</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第十三条</w:t>
      </w:r>
      <w:r>
        <w:rPr>
          <w:rFonts w:hint="eastAsia" w:ascii="宋体" w:hAnsi="宋体" w:eastAsia="宋体" w:cs="宋体"/>
          <w:sz w:val="28"/>
          <w:szCs w:val="28"/>
          <w:highlight w:val="none"/>
        </w:rPr>
        <w:t xml:space="preserve"> 境外中介机构和期货公司会员之间期货业务资金的往来应当通过境外中介机构的期货结算账户和会员保证金专用账户办理。</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第十四条</w:t>
      </w:r>
      <w:r>
        <w:rPr>
          <w:rFonts w:hint="eastAsia" w:ascii="宋体" w:hAnsi="宋体" w:eastAsia="宋体" w:cs="宋体"/>
          <w:b/>
          <w:sz w:val="28"/>
          <w:szCs w:val="28"/>
          <w:highlight w:val="none"/>
        </w:rPr>
        <w:t xml:space="preserve"> </w:t>
      </w:r>
      <w:r>
        <w:rPr>
          <w:rFonts w:hint="eastAsia" w:ascii="宋体" w:hAnsi="宋体" w:eastAsia="宋体" w:cs="宋体"/>
          <w:sz w:val="28"/>
          <w:szCs w:val="28"/>
          <w:highlight w:val="none"/>
        </w:rPr>
        <w:t>境外中介机构应当向客户提供交易所行情信息及交易通道，维护设备良好运行，保持信息、交易渠道通畅。</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第十五条</w:t>
      </w:r>
      <w:r>
        <w:rPr>
          <w:rFonts w:hint="eastAsia" w:ascii="宋体" w:hAnsi="宋体" w:eastAsia="宋体" w:cs="宋体"/>
          <w:sz w:val="28"/>
          <w:szCs w:val="28"/>
          <w:highlight w:val="none"/>
        </w:rPr>
        <w:t xml:space="preserve"> 境外中介机构应当将客户交易指令直接传送至期货公司会员，不得进行私下对冲等交易。</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第十六条 </w:t>
      </w:r>
      <w:r>
        <w:rPr>
          <w:rFonts w:hint="eastAsia" w:ascii="宋体" w:hAnsi="宋体" w:eastAsia="宋体" w:cs="宋体"/>
          <w:sz w:val="28"/>
          <w:szCs w:val="28"/>
          <w:highlight w:val="none"/>
        </w:rPr>
        <w:t>每日交易闭市后，期货公司会员应当对境外中介机构进行结算，并将结算结果按照约定方式及时通知境外中介机构。</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第十七条</w:t>
      </w:r>
      <w:r>
        <w:rPr>
          <w:rFonts w:hint="eastAsia" w:ascii="宋体" w:hAnsi="宋体" w:eastAsia="宋体" w:cs="宋体"/>
          <w:sz w:val="28"/>
          <w:szCs w:val="28"/>
          <w:highlight w:val="none"/>
        </w:rPr>
        <w:t xml:space="preserve"> 境外中介机构的客户参与实物交割、期转现业务的，应当由境外中介机构委托期货公司会员办理。</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第十八条 </w:t>
      </w:r>
      <w:r>
        <w:rPr>
          <w:rFonts w:hint="eastAsia" w:ascii="宋体" w:hAnsi="宋体" w:eastAsia="宋体" w:cs="宋体"/>
          <w:sz w:val="28"/>
          <w:szCs w:val="28"/>
          <w:highlight w:val="none"/>
        </w:rPr>
        <w:t>境外中介机构应当建立交易、结算、财务数据的备份制度。有关开户、变更、销户的客户资料档案、交易指令记录、交易结算记录、错单记录、客户投诉档案以及其他业务记录应当自期货中介合同终止之日起至少保存20年。</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第十九条 </w:t>
      </w:r>
      <w:r>
        <w:rPr>
          <w:rFonts w:hint="eastAsia" w:ascii="宋体" w:hAnsi="宋体" w:eastAsia="宋体" w:cs="宋体"/>
          <w:sz w:val="28"/>
          <w:szCs w:val="28"/>
          <w:highlight w:val="none"/>
        </w:rPr>
        <w:t>期货公司会员负责境外中介机构在交易所从事期货交易的资金检查和风险控制。</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第二十条 </w:t>
      </w:r>
      <w:r>
        <w:rPr>
          <w:rFonts w:hint="eastAsia" w:ascii="宋体" w:hAnsi="宋体" w:eastAsia="宋体" w:cs="宋体"/>
          <w:sz w:val="28"/>
          <w:szCs w:val="28"/>
          <w:highlight w:val="none"/>
        </w:rPr>
        <w:t>客户与境外中介机构终止业务关系的，境外中介机构应当及时办理销户手续，相关期货公司会员应当予以协助。</w:t>
      </w:r>
    </w:p>
    <w:p>
      <w:pPr>
        <w:keepNext w:val="0"/>
        <w:keepLines w:val="0"/>
        <w:pageBreakBefore w:val="0"/>
        <w:widowControl/>
        <w:kinsoku/>
        <w:wordWrap/>
        <w:overflowPunct/>
        <w:topLinePunct w:val="0"/>
        <w:autoSpaceDE/>
        <w:autoSpaceDN/>
        <w:bidi w:val="0"/>
        <w:adjustRightInd/>
        <w:snapToGrid/>
        <w:spacing w:before="240" w:after="240" w:line="360" w:lineRule="auto"/>
        <w:jc w:val="center"/>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第三章  附 则</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第二十一条 </w:t>
      </w:r>
      <w:r>
        <w:rPr>
          <w:rFonts w:hint="eastAsia" w:ascii="宋体" w:hAnsi="宋体" w:eastAsia="宋体" w:cs="宋体"/>
          <w:sz w:val="28"/>
          <w:szCs w:val="28"/>
          <w:highlight w:val="none"/>
        </w:rPr>
        <w:t>违反本办法规定的，交易所按《郑州商品交易所违规处理办法》的有关规定处理。</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第二十二条 </w:t>
      </w:r>
      <w:r>
        <w:rPr>
          <w:rFonts w:hint="eastAsia" w:ascii="宋体" w:hAnsi="宋体" w:eastAsia="宋体" w:cs="宋体"/>
          <w:sz w:val="28"/>
          <w:szCs w:val="28"/>
          <w:highlight w:val="none"/>
        </w:rPr>
        <w:t>本办法解释权属于郑州商品交易所。</w:t>
      </w:r>
    </w:p>
    <w:p>
      <w:pPr>
        <w:keepNext w:val="0"/>
        <w:keepLines w:val="0"/>
        <w:pageBreakBefore w:val="0"/>
        <w:kinsoku/>
        <w:wordWrap/>
        <w:overflowPunct/>
        <w:topLinePunct w:val="0"/>
        <w:autoSpaceDE/>
        <w:autoSpaceDN/>
        <w:bidi w:val="0"/>
        <w:snapToGrid/>
        <w:ind w:firstLine="548" w:firstLineChars="196"/>
        <w:textAlignment w:val="auto"/>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第二十三条 </w:t>
      </w:r>
      <w:r>
        <w:rPr>
          <w:rFonts w:hint="eastAsia" w:ascii="宋体" w:hAnsi="宋体" w:eastAsia="宋体" w:cs="宋体"/>
          <w:sz w:val="28"/>
          <w:szCs w:val="28"/>
          <w:highlight w:val="none"/>
        </w:rPr>
        <w:t>本办法自公布之日起实施。</w:t>
      </w:r>
    </w:p>
    <w:p>
      <w:pPr>
        <w:jc w:val="both"/>
        <w:rPr>
          <w:rFonts w:hint="eastAsia" w:ascii="仿宋" w:hAnsi="仿宋" w:eastAsia="仿宋" w:cs="Times New Roman"/>
          <w:sz w:val="32"/>
          <w:szCs w:val="32"/>
          <w:highlight w:val="none"/>
          <w:lang w:val="en-US" w:eastAsia="zh-CN"/>
        </w:rPr>
      </w:pPr>
    </w:p>
    <w:p>
      <w:pPr>
        <w:jc w:val="both"/>
        <w:rPr>
          <w:rFonts w:hint="default" w:ascii="仿宋" w:hAnsi="仿宋" w:eastAsia="仿宋" w:cs="Times New Roman"/>
          <w:sz w:val="32"/>
          <w:szCs w:val="32"/>
          <w:highlight w:val="none"/>
          <w:lang w:val="en-US" w:eastAsia="zh-CN"/>
        </w:rPr>
      </w:pPr>
    </w:p>
    <w:p>
      <w:pPr>
        <w:ind w:firstLine="648"/>
        <w:rPr>
          <w:rFonts w:ascii="仿宋" w:hAnsi="仿宋" w:eastAsia="仿宋"/>
          <w:sz w:val="32"/>
          <w:szCs w:val="32"/>
          <w:highlight w:val="none"/>
        </w:rPr>
      </w:pPr>
    </w:p>
    <w:p>
      <w:pPr>
        <w:rPr>
          <w:highlight w:val="none"/>
        </w:rPr>
        <w:sectPr>
          <w:pgSz w:w="11906" w:h="16838"/>
          <w:pgMar w:top="1440" w:right="1800" w:bottom="1440" w:left="1800" w:header="720" w:footer="720" w:gutter="0"/>
          <w:cols w:space="720" w:num="1"/>
          <w:docGrid w:type="lines" w:linePitch="312" w:charSpace="0"/>
        </w:sectPr>
      </w:pPr>
    </w:p>
    <w:p>
      <w:pPr>
        <w:keepNext w:val="0"/>
        <w:keepLines w:val="0"/>
        <w:pageBreakBefore w:val="0"/>
        <w:kinsoku/>
        <w:wordWrap/>
        <w:overflowPunct/>
        <w:topLinePunct w:val="0"/>
        <w:autoSpaceDE/>
        <w:autoSpaceDN/>
        <w:bidi w:val="0"/>
        <w:snapToGrid/>
        <w:spacing w:line="360" w:lineRule="auto"/>
        <w:jc w:val="center"/>
        <w:textAlignment w:val="auto"/>
        <w:outlineLvl w:val="0"/>
        <w:rPr>
          <w:rFonts w:hint="eastAsia" w:ascii="黑体" w:hAnsi="黑体" w:eastAsia="黑体" w:cs="黑体"/>
          <w:b w:val="0"/>
          <w:bCs/>
          <w:sz w:val="40"/>
          <w:szCs w:val="40"/>
          <w:highlight w:val="none"/>
        </w:rPr>
      </w:pPr>
      <w:r>
        <w:rPr>
          <w:rFonts w:hint="eastAsia" w:ascii="黑体" w:hAnsi="黑体" w:eastAsia="黑体" w:cs="黑体"/>
          <w:b w:val="0"/>
          <w:bCs/>
          <w:sz w:val="40"/>
          <w:szCs w:val="40"/>
          <w:highlight w:val="none"/>
        </w:rPr>
        <w:t>《</w:t>
      </w:r>
      <w:r>
        <w:rPr>
          <w:rFonts w:hint="eastAsia" w:ascii="黑体" w:hAnsi="黑体" w:eastAsia="黑体" w:cs="黑体"/>
          <w:b w:val="0"/>
          <w:bCs/>
          <w:sz w:val="40"/>
          <w:szCs w:val="40"/>
          <w:highlight w:val="none"/>
          <w:lang w:eastAsia="zh-CN"/>
        </w:rPr>
        <w:t>郑州商品交易所</w:t>
      </w:r>
      <w:r>
        <w:rPr>
          <w:rFonts w:hint="eastAsia" w:ascii="黑体" w:hAnsi="黑体" w:eastAsia="黑体" w:cs="黑体"/>
          <w:b w:val="0"/>
          <w:bCs/>
          <w:sz w:val="40"/>
          <w:szCs w:val="40"/>
          <w:highlight w:val="none"/>
        </w:rPr>
        <w:t>期货公司会员接受境外中介机构委托开展期货交易业务管理办法</w:t>
      </w:r>
      <w:r>
        <w:rPr>
          <w:rFonts w:hint="eastAsia" w:ascii="黑体" w:hAnsi="黑体" w:eastAsia="黑体" w:cs="黑体"/>
          <w:b w:val="0"/>
          <w:bCs/>
          <w:sz w:val="40"/>
          <w:szCs w:val="40"/>
          <w:highlight w:val="none"/>
        </w:rPr>
        <w:drawing>
          <wp:inline distT="0" distB="0" distL="114300" distR="114300">
            <wp:extent cx="635" cy="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flipH="1">
                      <a:off x="0" y="0"/>
                      <a:ext cx="635" cy="0"/>
                    </a:xfrm>
                    <a:prstGeom prst="rect">
                      <a:avLst/>
                    </a:prstGeom>
                    <a:noFill/>
                    <a:ln>
                      <a:noFill/>
                    </a:ln>
                  </pic:spPr>
                </pic:pic>
              </a:graphicData>
            </a:graphic>
          </wp:inline>
        </w:drawing>
      </w:r>
      <w:r>
        <w:rPr>
          <w:rFonts w:hint="eastAsia" w:ascii="黑体" w:hAnsi="黑体" w:eastAsia="黑体" w:cs="黑体"/>
          <w:b w:val="0"/>
          <w:bCs/>
          <w:sz w:val="40"/>
          <w:szCs w:val="40"/>
          <w:highlight w:val="none"/>
        </w:rPr>
        <w:t>》</w:t>
      </w:r>
      <w:r>
        <w:rPr>
          <w:rFonts w:hint="eastAsia" w:ascii="黑体" w:hAnsi="黑体" w:eastAsia="黑体" w:cs="黑体"/>
          <w:b w:val="0"/>
          <w:bCs/>
          <w:sz w:val="40"/>
          <w:szCs w:val="40"/>
          <w:highlight w:val="none"/>
          <w:lang w:eastAsia="zh-CN"/>
        </w:rPr>
        <w:t>与原《期货公司会员接受境外经纪机构委托开展期货交易业务管理办法》</w:t>
      </w:r>
      <w:r>
        <w:rPr>
          <w:rFonts w:hint="eastAsia" w:ascii="黑体" w:hAnsi="黑体" w:eastAsia="黑体" w:cs="黑体"/>
          <w:b w:val="0"/>
          <w:bCs/>
          <w:sz w:val="40"/>
          <w:szCs w:val="40"/>
          <w:highlight w:val="none"/>
        </w:rPr>
        <w:t>对照表</w:t>
      </w:r>
    </w:p>
    <w:p>
      <w:pPr>
        <w:keepNext w:val="0"/>
        <w:keepLines w:val="0"/>
        <w:pageBreakBefore w:val="0"/>
        <w:widowControl/>
        <w:kinsoku/>
        <w:wordWrap/>
        <w:overflowPunct/>
        <w:topLinePunct w:val="0"/>
        <w:autoSpaceDE/>
        <w:autoSpaceDN/>
        <w:bidi w:val="0"/>
        <w:snapToGrid/>
        <w:spacing w:line="360" w:lineRule="auto"/>
        <w:jc w:val="center"/>
        <w:textAlignment w:val="auto"/>
        <w:outlineLvl w:val="0"/>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pPr>
              <w:keepNext w:val="0"/>
              <w:keepLines w:val="0"/>
              <w:pageBreakBefore w:val="0"/>
              <w:kinsoku/>
              <w:wordWrap/>
              <w:overflowPunct/>
              <w:topLinePunct w:val="0"/>
              <w:autoSpaceDE/>
              <w:autoSpaceDN/>
              <w:bidi w:val="0"/>
              <w:snapToGrid/>
              <w:spacing w:line="276" w:lineRule="auto"/>
              <w:jc w:val="center"/>
              <w:textAlignment w:val="auto"/>
              <w:rPr>
                <w:rFonts w:ascii="仿宋" w:hAnsi="仿宋" w:eastAsia="仿宋" w:cs="Calibri"/>
                <w:b/>
                <w:bCs/>
                <w:sz w:val="24"/>
                <w:highlight w:val="none"/>
              </w:rPr>
            </w:pPr>
            <w:r>
              <w:rPr>
                <w:rFonts w:hint="eastAsia" w:ascii="仿宋" w:hAnsi="仿宋" w:eastAsia="仿宋"/>
                <w:b/>
                <w:bCs/>
                <w:sz w:val="24"/>
                <w:highlight w:val="none"/>
                <w:lang w:eastAsia="zh-CN"/>
              </w:rPr>
              <w:t>原制度</w:t>
            </w:r>
            <w:r>
              <w:rPr>
                <w:rFonts w:hint="eastAsia" w:ascii="仿宋" w:hAnsi="仿宋" w:eastAsia="仿宋"/>
                <w:b/>
                <w:bCs/>
                <w:sz w:val="24"/>
                <w:highlight w:val="none"/>
              </w:rPr>
              <w:t>条文</w:t>
            </w:r>
          </w:p>
        </w:tc>
        <w:tc>
          <w:tcPr>
            <w:tcW w:w="4261" w:type="dxa"/>
            <w:noWrap w:val="0"/>
            <w:vAlign w:val="center"/>
          </w:tcPr>
          <w:p>
            <w:pPr>
              <w:keepNext w:val="0"/>
              <w:keepLines w:val="0"/>
              <w:pageBreakBefore w:val="0"/>
              <w:kinsoku/>
              <w:wordWrap/>
              <w:overflowPunct/>
              <w:topLinePunct w:val="0"/>
              <w:autoSpaceDE/>
              <w:autoSpaceDN/>
              <w:bidi w:val="0"/>
              <w:snapToGrid/>
              <w:spacing w:line="276" w:lineRule="auto"/>
              <w:jc w:val="center"/>
              <w:textAlignment w:val="auto"/>
              <w:rPr>
                <w:rFonts w:ascii="仿宋" w:hAnsi="仿宋" w:eastAsia="仿宋" w:cs="Calibri"/>
                <w:b/>
                <w:bCs/>
                <w:sz w:val="24"/>
                <w:highlight w:val="none"/>
              </w:rPr>
            </w:pPr>
            <w:r>
              <w:rPr>
                <w:rFonts w:hint="eastAsia" w:ascii="仿宋" w:hAnsi="仿宋" w:eastAsia="仿宋"/>
                <w:b/>
                <w:bCs/>
                <w:sz w:val="24"/>
                <w:highlight w:val="none"/>
                <w:lang w:eastAsia="zh-CN"/>
              </w:rPr>
              <w:t>新制度</w:t>
            </w:r>
            <w:r>
              <w:rPr>
                <w:rFonts w:hint="eastAsia" w:ascii="仿宋" w:hAnsi="仿宋" w:eastAsia="仿宋"/>
                <w:b/>
                <w:bCs/>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2"/>
            <w:noWrap w:val="0"/>
            <w:vAlign w:val="top"/>
          </w:tcPr>
          <w:p>
            <w:pPr>
              <w:keepNext w:val="0"/>
              <w:keepLines w:val="0"/>
              <w:pageBreakBefore w:val="0"/>
              <w:widowControl/>
              <w:kinsoku/>
              <w:wordWrap/>
              <w:overflowPunct/>
              <w:topLinePunct w:val="0"/>
              <w:autoSpaceDE/>
              <w:autoSpaceDN/>
              <w:bidi w:val="0"/>
              <w:snapToGrid/>
              <w:jc w:val="center"/>
              <w:textAlignment w:val="auto"/>
              <w:rPr>
                <w:rFonts w:ascii="仿宋" w:hAnsi="仿宋" w:eastAsia="仿宋"/>
                <w:b/>
                <w:color w:val="000000"/>
                <w:sz w:val="24"/>
                <w:highlight w:val="none"/>
              </w:rPr>
            </w:pPr>
            <w:r>
              <w:rPr>
                <w:rFonts w:hint="eastAsia" w:ascii="仿宋" w:hAnsi="仿宋" w:eastAsia="仿宋"/>
                <w:b/>
                <w:color w:val="000000"/>
                <w:sz w:val="24"/>
                <w:highlight w:val="none"/>
              </w:rPr>
              <w:t>第一章 总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b/>
                <w:sz w:val="24"/>
                <w:highlight w:val="none"/>
              </w:rPr>
              <w:t>第一条</w:t>
            </w:r>
            <w:r>
              <w:rPr>
                <w:rFonts w:hint="eastAsia" w:ascii="仿宋" w:hAnsi="仿宋" w:eastAsia="仿宋"/>
                <w:sz w:val="24"/>
                <w:highlight w:val="none"/>
              </w:rPr>
              <w:t xml:space="preserve"> 为加强期货公司会员接受境外经纪机构委托开展期货交易业务的管理，根据《郑州商品交易所交易规则》和《郑州商品交易所会员管理办法》，制定本办法。</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第一条</w:t>
            </w:r>
            <w:r>
              <w:rPr>
                <w:rFonts w:hint="eastAsia" w:ascii="仿宋" w:hAnsi="仿宋" w:eastAsia="仿宋"/>
                <w:sz w:val="24"/>
                <w:highlight w:val="none"/>
              </w:rPr>
              <w:t xml:space="preserve"> 为加强期货公司会员接受境外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机构委托开展期货交易业务的管理，根据《郑州商品交易所交易规则》和《郑州商品交易所会员管理办法》，制定本办法。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b/>
                <w:sz w:val="24"/>
                <w:highlight w:val="none"/>
              </w:rPr>
              <w:t xml:space="preserve">第二条 </w:t>
            </w:r>
            <w:r>
              <w:rPr>
                <w:rFonts w:hint="eastAsia" w:ascii="仿宋" w:hAnsi="仿宋" w:eastAsia="仿宋"/>
                <w:sz w:val="24"/>
                <w:highlight w:val="none"/>
              </w:rPr>
              <w:t>本办法所称境外经纪机构，是指在中华人民共和国境外依法设立、具有所在国（地区）期货监管机构认可的可以接受交易者资金和交易指令并以自己名义为交易者进行期货交易资质的金融机构。</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b/>
                <w:sz w:val="24"/>
                <w:highlight w:val="none"/>
                <w:u w:val="single"/>
              </w:rPr>
            </w:pPr>
            <w:r>
              <w:rPr>
                <w:rFonts w:hint="eastAsia" w:ascii="仿宋" w:hAnsi="仿宋" w:eastAsia="仿宋"/>
                <w:b/>
                <w:sz w:val="24"/>
                <w:highlight w:val="none"/>
              </w:rPr>
              <w:t xml:space="preserve">第二条 </w:t>
            </w:r>
            <w:r>
              <w:rPr>
                <w:rFonts w:hint="eastAsia" w:ascii="仿宋" w:hAnsi="仿宋" w:eastAsia="仿宋"/>
                <w:sz w:val="24"/>
                <w:highlight w:val="none"/>
              </w:rPr>
              <w:t>本办法所称境外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机构，是指</w:t>
            </w:r>
            <w:r>
              <w:rPr>
                <w:rFonts w:hint="eastAsia" w:ascii="仿宋" w:hAnsi="仿宋" w:eastAsia="仿宋"/>
                <w:dstrike/>
                <w:sz w:val="24"/>
                <w:highlight w:val="none"/>
              </w:rPr>
              <w:t>在中华人民共和国境外依法设立、具有所在国（地区）期货监管机构认可的可以接受交易者资金和交易指令并以自己名义为交易者进行期货交易资质的金融机构。</w:t>
            </w:r>
            <w:r>
              <w:rPr>
                <w:rFonts w:hint="eastAsia" w:ascii="仿宋" w:hAnsi="仿宋" w:eastAsia="仿宋"/>
                <w:b/>
                <w:sz w:val="24"/>
                <w:highlight w:val="none"/>
                <w:u w:val="single"/>
              </w:rPr>
              <w:t>不直接入场交易，</w:t>
            </w:r>
            <w:r>
              <w:rPr>
                <w:rFonts w:hint="eastAsia" w:ascii="仿宋" w:hAnsi="仿宋" w:eastAsia="仿宋"/>
                <w:b/>
                <w:sz w:val="24"/>
                <w:highlight w:val="none"/>
                <w:u w:val="single"/>
                <w:lang w:eastAsia="zh-CN"/>
              </w:rPr>
              <w:t>但</w:t>
            </w:r>
            <w:r>
              <w:rPr>
                <w:rFonts w:hint="eastAsia" w:ascii="仿宋" w:hAnsi="仿宋" w:eastAsia="仿宋"/>
                <w:b/>
                <w:sz w:val="24"/>
                <w:highlight w:val="none"/>
                <w:u w:val="single"/>
              </w:rPr>
              <w:t>委托期货公司会员或者直接入场交易的境外经纪机构进行交易结算的境外经纪机构。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b/>
                <w:sz w:val="24"/>
                <w:highlight w:val="none"/>
              </w:rPr>
              <w:t>第三条</w:t>
            </w:r>
            <w:r>
              <w:rPr>
                <w:rFonts w:hint="eastAsia" w:ascii="仿宋" w:hAnsi="仿宋" w:eastAsia="仿宋"/>
                <w:sz w:val="24"/>
                <w:highlight w:val="none"/>
              </w:rPr>
              <w:t xml:space="preserve"> 期货公司会员接受境外经纪机构委托开展期货交易业务的，应当符合中国证券监督管理委员会（以下简称中国证监会）规定的条件。</w:t>
            </w:r>
          </w:p>
        </w:tc>
        <w:tc>
          <w:tcPr>
            <w:tcW w:w="4261" w:type="dxa"/>
            <w:noWrap w:val="0"/>
            <w:vAlign w:val="top"/>
          </w:tcPr>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b/>
                <w:sz w:val="24"/>
                <w:highlight w:val="none"/>
              </w:rPr>
              <w:t>第三条</w:t>
            </w:r>
            <w:r>
              <w:rPr>
                <w:rFonts w:hint="eastAsia" w:ascii="仿宋" w:hAnsi="仿宋" w:eastAsia="仿宋"/>
                <w:sz w:val="24"/>
                <w:highlight w:val="none"/>
              </w:rPr>
              <w:t xml:space="preserve"> 期货公司会员接受境外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机构委托开展期货交易业务的，应当符合中国证券监督管理委员会（以下简称中国证监会）规定的条件。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b/>
                <w:sz w:val="24"/>
                <w:highlight w:val="none"/>
              </w:rPr>
              <w:t>第四条</w:t>
            </w:r>
            <w:r>
              <w:rPr>
                <w:rFonts w:hint="eastAsia" w:ascii="仿宋" w:hAnsi="仿宋" w:eastAsia="仿宋"/>
                <w:sz w:val="24"/>
                <w:highlight w:val="none"/>
              </w:rPr>
              <w:t xml:space="preserve"> 本办法适用于期货公司会员、境外经纪机构及其从业人员。</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第四条</w:t>
            </w:r>
            <w:r>
              <w:rPr>
                <w:rFonts w:hint="eastAsia" w:ascii="仿宋" w:hAnsi="仿宋" w:eastAsia="仿宋"/>
                <w:sz w:val="24"/>
                <w:highlight w:val="none"/>
              </w:rPr>
              <w:t xml:space="preserve"> 本办法适用于期货公司会员、境外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机构及其从业人员。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keepNext w:val="0"/>
              <w:keepLines w:val="0"/>
              <w:pageBreakBefore w:val="0"/>
              <w:widowControl/>
              <w:kinsoku/>
              <w:wordWrap/>
              <w:overflowPunct/>
              <w:topLinePunct w:val="0"/>
              <w:autoSpaceDE/>
              <w:autoSpaceDN/>
              <w:bidi w:val="0"/>
              <w:snapToGrid/>
              <w:jc w:val="center"/>
              <w:textAlignment w:val="auto"/>
              <w:rPr>
                <w:rFonts w:ascii="仿宋" w:hAnsi="仿宋" w:eastAsia="仿宋"/>
                <w:sz w:val="24"/>
                <w:highlight w:val="none"/>
              </w:rPr>
            </w:pPr>
            <w:r>
              <w:rPr>
                <w:rFonts w:hint="eastAsia" w:ascii="仿宋" w:hAnsi="仿宋" w:eastAsia="仿宋"/>
                <w:b/>
                <w:bCs/>
                <w:color w:val="000000"/>
                <w:sz w:val="24"/>
                <w:highlight w:val="none"/>
              </w:rPr>
              <w:t>第二章 业务规则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4261" w:type="dxa"/>
            <w:noWrap w:val="0"/>
            <w:vAlign w:val="top"/>
          </w:tcPr>
          <w:p>
            <w:pPr>
              <w:keepNext w:val="0"/>
              <w:keepLines w:val="0"/>
              <w:pageBreakBefore w:val="0"/>
              <w:widowControl/>
              <w:kinsoku/>
              <w:wordWrap/>
              <w:overflowPunct/>
              <w:topLinePunct w:val="0"/>
              <w:autoSpaceDE/>
              <w:autoSpaceDN/>
              <w:bidi w:val="0"/>
              <w:adjustRightInd w:val="0"/>
              <w:snapToGrid/>
              <w:textAlignment w:val="auto"/>
              <w:rPr>
                <w:rFonts w:ascii="仿宋" w:hAnsi="仿宋" w:eastAsia="仿宋"/>
                <w:sz w:val="24"/>
                <w:highlight w:val="none"/>
              </w:rPr>
            </w:pPr>
            <w:r>
              <w:rPr>
                <w:rFonts w:hint="eastAsia" w:ascii="仿宋" w:hAnsi="仿宋" w:eastAsia="仿宋"/>
                <w:b/>
                <w:sz w:val="24"/>
                <w:highlight w:val="none"/>
              </w:rPr>
              <w:t>第五条</w:t>
            </w:r>
            <w:r>
              <w:rPr>
                <w:rFonts w:hint="eastAsia" w:ascii="仿宋" w:hAnsi="仿宋" w:eastAsia="仿宋"/>
                <w:sz w:val="24"/>
                <w:highlight w:val="none"/>
              </w:rPr>
              <w:t xml:space="preserve"> 委托期货公司会员开展期货交易业务的境外经纪机构应当满足以下条件：</w:t>
            </w:r>
          </w:p>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ascii="仿宋" w:hAnsi="仿宋" w:eastAsia="仿宋"/>
                <w:sz w:val="24"/>
                <w:highlight w:val="none"/>
              </w:rPr>
              <w:t>……</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第五条</w:t>
            </w:r>
            <w:r>
              <w:rPr>
                <w:rFonts w:hint="eastAsia" w:ascii="仿宋" w:hAnsi="仿宋" w:eastAsia="仿宋"/>
                <w:sz w:val="24"/>
                <w:highlight w:val="none"/>
              </w:rPr>
              <w:t xml:space="preserve"> 委托期货公司会员开展期货交易业务的境外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机构应当满足以下条件：</w:t>
            </w:r>
          </w:p>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第六条</w:t>
            </w:r>
            <w:r>
              <w:rPr>
                <w:rFonts w:hint="eastAsia" w:ascii="仿宋" w:hAnsi="仿宋" w:eastAsia="仿宋"/>
                <w:sz w:val="24"/>
                <w:highlight w:val="none"/>
              </w:rPr>
              <w:t xml:space="preserve"> 期货公司会员与境外经纪机构应当以书面形式签订委托协议。</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委托协议应当包含以下条款：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0"/>
              <w:rPr>
                <w:rFonts w:ascii="仿宋" w:hAnsi="仿宋" w:eastAsia="仿宋"/>
                <w:sz w:val="24"/>
                <w:highlight w:val="none"/>
              </w:rPr>
            </w:pPr>
            <w:r>
              <w:rPr>
                <w:rFonts w:ascii="仿宋" w:hAnsi="仿宋" w:eastAsia="仿宋"/>
                <w:sz w:val="24"/>
                <w:highlight w:val="none"/>
              </w:rPr>
              <w:t>……</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境外经纪机构应当在委托协议中承诺从事境内期货相关业务活动时遵守中国法律、法规、规章和交易所业务规则及各项规定和决定，并不得损害客户和其他市场参与者的合法权益。</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第六条</w:t>
            </w:r>
            <w:r>
              <w:rPr>
                <w:rFonts w:hint="eastAsia" w:ascii="仿宋" w:hAnsi="仿宋" w:eastAsia="仿宋"/>
                <w:sz w:val="24"/>
                <w:highlight w:val="none"/>
              </w:rPr>
              <w:t xml:space="preserve"> 期货公司会员与境外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机构应当以书面形式签订委托协议。</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委托协议应当包含以下条款：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0"/>
              <w:rPr>
                <w:rFonts w:ascii="仿宋" w:hAnsi="仿宋" w:eastAsia="仿宋"/>
                <w:sz w:val="24"/>
                <w:highlight w:val="none"/>
              </w:rPr>
            </w:pPr>
            <w:r>
              <w:rPr>
                <w:rFonts w:ascii="仿宋" w:hAnsi="仿宋" w:eastAsia="仿宋"/>
                <w:sz w:val="24"/>
                <w:highlight w:val="none"/>
              </w:rPr>
              <w:t>……</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机构应当在委托协议中承诺从事境内期货相关业务活动时遵守中国法律、法规、规章和交易所业务规则及各项规定和决定，并不得损害客户和其他市场参与者的合法权益。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ascii="仿宋" w:hAnsi="仿宋" w:eastAsia="仿宋"/>
                <w:b/>
                <w:sz w:val="24"/>
                <w:highlight w:val="none"/>
              </w:rPr>
              <w:t>第</w:t>
            </w:r>
            <w:r>
              <w:rPr>
                <w:rFonts w:hint="eastAsia" w:ascii="仿宋" w:hAnsi="仿宋" w:eastAsia="仿宋"/>
                <w:b/>
                <w:sz w:val="24"/>
                <w:highlight w:val="none"/>
              </w:rPr>
              <w:t>七条</w:t>
            </w:r>
            <w:r>
              <w:rPr>
                <w:rFonts w:hint="eastAsia" w:ascii="仿宋" w:hAnsi="仿宋" w:eastAsia="仿宋"/>
                <w:sz w:val="24"/>
                <w:highlight w:val="none"/>
              </w:rPr>
              <w:t xml:space="preserve"> 期货公司会员与境外经纪机构签订委托协议后，应当在办理业务前向交易所备案。</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向交易所备案时，应当提交下列材料：</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0"/>
              <w:rPr>
                <w:rFonts w:ascii="仿宋" w:hAnsi="仿宋" w:eastAsia="仿宋"/>
                <w:sz w:val="24"/>
                <w:highlight w:val="none"/>
              </w:rPr>
            </w:pPr>
            <w:r>
              <w:rPr>
                <w:rFonts w:ascii="仿宋" w:hAnsi="仿宋" w:eastAsia="仿宋"/>
                <w:sz w:val="24"/>
                <w:highlight w:val="none"/>
              </w:rPr>
              <w:t>……</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（二）境外经纪机构证明可以满足本办法第五条相关条件的材料，以及境外经纪机构的期货业务风险控制负责人的有效身份证明、简历及签名印鉴卡；</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（四）与境外经纪机构签订的委托协议；</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ascii="仿宋" w:hAnsi="仿宋" w:eastAsia="仿宋"/>
                <w:b/>
                <w:sz w:val="24"/>
                <w:highlight w:val="none"/>
              </w:rPr>
              <w:t>第</w:t>
            </w:r>
            <w:r>
              <w:rPr>
                <w:rFonts w:hint="eastAsia" w:ascii="仿宋" w:hAnsi="仿宋" w:eastAsia="仿宋"/>
                <w:b/>
                <w:sz w:val="24"/>
                <w:highlight w:val="none"/>
              </w:rPr>
              <w:t>七条</w:t>
            </w:r>
            <w:r>
              <w:rPr>
                <w:rFonts w:hint="eastAsia" w:ascii="仿宋" w:hAnsi="仿宋" w:eastAsia="仿宋"/>
                <w:sz w:val="24"/>
                <w:highlight w:val="none"/>
              </w:rPr>
              <w:t xml:space="preserve"> 期货公司会员与境外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机构签订委托协议后，应当在办理业务前向交易所备案。</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向交易所备案时，应当提交下列材料：</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0"/>
              <w:rPr>
                <w:rFonts w:ascii="仿宋" w:hAnsi="仿宋" w:eastAsia="仿宋"/>
                <w:sz w:val="24"/>
                <w:highlight w:val="none"/>
              </w:rPr>
            </w:pPr>
            <w:r>
              <w:rPr>
                <w:rFonts w:ascii="仿宋" w:hAnsi="仿宋" w:eastAsia="仿宋"/>
                <w:sz w:val="24"/>
                <w:highlight w:val="none"/>
              </w:rPr>
              <w:t>……</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（二）境外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机构证明可以满足本办法第五条相关条件的材料，以及境外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机构的期货业务风险控制负责人的有效身份证明、简历及签名印鉴卡；</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（四）与境外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机构签订的委托协议；</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ascii="仿宋" w:hAnsi="仿宋" w:eastAsia="仿宋"/>
                <w:sz w:val="24"/>
                <w:highlight w:val="none"/>
              </w:rPr>
            </w:pPr>
            <w:r>
              <w:rPr>
                <w:rFonts w:hint="eastAsia"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期货公司会员可以为境外经纪机构开立综合资金账户，用于境外经纪机构的境外客户的期货结算、交割等，期货公司会员按照综合资金账户收取保证金，登记明细账至境外经纪机构（综合资金账户）为止。</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期货公司会员可以为境外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机构开立综合资金账户，用于境外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机构的境外客户的期货结算、交割等，期货公司会员按照综合资金账户收取保证金，登记明细账至境外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机构（综合资金账户）为止。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b/>
                <w:sz w:val="24"/>
                <w:highlight w:val="none"/>
              </w:rPr>
              <w:t>第十一条</w:t>
            </w:r>
            <w:r>
              <w:rPr>
                <w:rFonts w:hint="eastAsia" w:ascii="仿宋" w:hAnsi="仿宋" w:eastAsia="仿宋"/>
                <w:sz w:val="24"/>
                <w:highlight w:val="none"/>
              </w:rPr>
              <w:t xml:space="preserve"> 境外经纪机构应当遵守交易所风险控制制度和其他相关要求，配合期货公司会员严格控制风险。</w:t>
            </w:r>
          </w:p>
        </w:tc>
        <w:tc>
          <w:tcPr>
            <w:tcW w:w="4261" w:type="dxa"/>
            <w:noWrap w:val="0"/>
            <w:vAlign w:val="top"/>
          </w:tcPr>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b/>
                <w:sz w:val="24"/>
                <w:highlight w:val="none"/>
              </w:rPr>
              <w:t>第十一条</w:t>
            </w:r>
            <w:r>
              <w:rPr>
                <w:rFonts w:hint="eastAsia" w:ascii="仿宋" w:hAnsi="仿宋" w:eastAsia="仿宋"/>
                <w:sz w:val="24"/>
                <w:highlight w:val="none"/>
              </w:rPr>
              <w:t xml:space="preserve"> 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机构应当遵守交易所风险控制制度和其他相关要求，配合期货公司会员严格控制风险。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第十二条</w:t>
            </w:r>
            <w:r>
              <w:rPr>
                <w:rFonts w:hint="eastAsia" w:ascii="仿宋" w:hAnsi="仿宋" w:eastAsia="仿宋"/>
                <w:sz w:val="24"/>
                <w:highlight w:val="none"/>
              </w:rPr>
              <w:t xml:space="preserve"> 境外经纪机构应当对其受托的客户进行实名制审核，留存客户的开户材料和影音文件，并按照中国期货市场监控中心有限责任公司的业务规则申请交易编码。境外经纪机构应当协助期货公司会员履行相应的风险管理职责。</w:t>
            </w:r>
          </w:p>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sz w:val="24"/>
                <w:highlight w:val="none"/>
              </w:rPr>
              <w:t>期货公司会员按照中国期货市场监控中心有限责任公司的业务规则协助境外经纪机构为境外客户开立交易账户，获取交易编码。</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第十二条</w:t>
            </w:r>
            <w:r>
              <w:rPr>
                <w:rFonts w:hint="eastAsia" w:ascii="仿宋" w:hAnsi="仿宋" w:eastAsia="仿宋"/>
                <w:sz w:val="24"/>
                <w:highlight w:val="none"/>
              </w:rPr>
              <w:t xml:space="preserve"> 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机构应当对其受托的客户进行实名制审核，留存客户的开户材料和影音文件，并按照中国期货市场监控中心有限责任公司的业务规则申请交易编码。境外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机构应当协助期货公司会员履行相应的风险管理职责。</w:t>
            </w:r>
          </w:p>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sz w:val="24"/>
                <w:highlight w:val="none"/>
              </w:rPr>
              <w:t>期货公司会员按照中国期货市场监控中心有限责任公司的业务规则协助境外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机构为境外客户开立交易账户，获取交易编码。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境外经纪机构和期货公司会员之间期货业务资金的往来应当通过境外经纪机构的期货结算账户和会员保证金专用账户办理。</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机构和期货公司会员之间期货业务资金的往来应当通过境外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机构的期货结算账户和会员保证金专用账户办理。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 xml:space="preserve">第十四条 </w:t>
            </w:r>
            <w:r>
              <w:rPr>
                <w:rFonts w:hint="eastAsia" w:ascii="仿宋" w:hAnsi="仿宋" w:eastAsia="仿宋"/>
                <w:sz w:val="24"/>
                <w:highlight w:val="none"/>
              </w:rPr>
              <w:t>境外经纪机构应当向客户提供交易所行情信息及交易通道，维护设备良好运行，保持信息、交易渠道通畅。</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 xml:space="preserve">第十四条 </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机构应当向客户提供交易所行情信息及交易通道，维护设备良好运行，保持信息、交易渠道通畅。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b/>
                <w:sz w:val="24"/>
                <w:highlight w:val="none"/>
              </w:rPr>
              <w:t>第十五条</w:t>
            </w:r>
            <w:r>
              <w:rPr>
                <w:rFonts w:hint="eastAsia" w:ascii="仿宋" w:hAnsi="仿宋" w:eastAsia="仿宋"/>
                <w:sz w:val="24"/>
                <w:highlight w:val="none"/>
              </w:rPr>
              <w:t xml:space="preserve"> 境外经纪机构应当将客户交易指令直接传送至期货公司会员，不得进行私下对冲等交易。</w:t>
            </w:r>
          </w:p>
        </w:tc>
        <w:tc>
          <w:tcPr>
            <w:tcW w:w="4261" w:type="dxa"/>
            <w:noWrap w:val="0"/>
            <w:vAlign w:val="top"/>
          </w:tcPr>
          <w:p>
            <w:pPr>
              <w:keepNext w:val="0"/>
              <w:keepLines w:val="0"/>
              <w:pageBreakBefore w:val="0"/>
              <w:kinsoku/>
              <w:wordWrap/>
              <w:overflowPunct/>
              <w:topLinePunct w:val="0"/>
              <w:autoSpaceDE/>
              <w:autoSpaceDN/>
              <w:bidi w:val="0"/>
              <w:snapToGrid/>
              <w:jc w:val="left"/>
              <w:textAlignment w:val="auto"/>
              <w:outlineLvl w:val="0"/>
              <w:rPr>
                <w:rFonts w:ascii="仿宋" w:hAnsi="仿宋" w:eastAsia="仿宋"/>
                <w:sz w:val="24"/>
                <w:highlight w:val="none"/>
              </w:rPr>
            </w:pPr>
            <w:r>
              <w:rPr>
                <w:rFonts w:hint="eastAsia" w:ascii="仿宋" w:hAnsi="仿宋" w:eastAsia="仿宋"/>
                <w:b/>
                <w:sz w:val="24"/>
                <w:highlight w:val="none"/>
              </w:rPr>
              <w:t>第十五条</w:t>
            </w:r>
            <w:r>
              <w:rPr>
                <w:rFonts w:hint="eastAsia" w:ascii="仿宋" w:hAnsi="仿宋" w:eastAsia="仿宋"/>
                <w:sz w:val="24"/>
                <w:highlight w:val="none"/>
              </w:rPr>
              <w:t xml:space="preserve"> 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机构应当将客户交易指令直接传送至期货公司会员，不得进行私下对冲等交易。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第十六条</w:t>
            </w:r>
            <w:r>
              <w:rPr>
                <w:rFonts w:hint="eastAsia" w:ascii="仿宋" w:hAnsi="仿宋" w:eastAsia="仿宋"/>
                <w:sz w:val="24"/>
                <w:highlight w:val="none"/>
              </w:rPr>
              <w:t xml:space="preserve"> 每日交易闭市后，期货公司会员应当对境外经纪机构进行结算，并将结算结果按照约定方式及时通知境外经纪机构。</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第十六条</w:t>
            </w:r>
            <w:r>
              <w:rPr>
                <w:rFonts w:hint="eastAsia" w:ascii="仿宋" w:hAnsi="仿宋" w:eastAsia="仿宋"/>
                <w:sz w:val="24"/>
                <w:highlight w:val="none"/>
              </w:rPr>
              <w:t xml:space="preserve"> 每日交易闭市后，期货公司会员应当对境外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机构进行结算，并将结算结果按照约定方式及时通知境外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第十七条</w:t>
            </w:r>
            <w:r>
              <w:rPr>
                <w:rFonts w:hint="eastAsia" w:ascii="仿宋" w:hAnsi="仿宋" w:eastAsia="仿宋"/>
                <w:sz w:val="24"/>
                <w:highlight w:val="none"/>
              </w:rPr>
              <w:t xml:space="preserve"> 境外经纪机构的客户参与实物交割、期转现业务的，应当由境外经纪机构委托期货公司会员办理。</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第十七条</w:t>
            </w:r>
            <w:r>
              <w:rPr>
                <w:rFonts w:hint="eastAsia" w:ascii="仿宋" w:hAnsi="仿宋" w:eastAsia="仿宋"/>
                <w:sz w:val="24"/>
                <w:highlight w:val="none"/>
              </w:rPr>
              <w:t xml:space="preserve"> 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机构的客户参与实物交割、期转现业务的，应当由境外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机构委托期货公司会员办理。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第十八条</w:t>
            </w:r>
            <w:r>
              <w:rPr>
                <w:rFonts w:hint="eastAsia" w:ascii="仿宋" w:hAnsi="仿宋" w:eastAsia="仿宋"/>
                <w:sz w:val="24"/>
                <w:highlight w:val="none"/>
              </w:rPr>
              <w:t xml:space="preserve"> 境外经纪机构应当建立交易、结算、财务数据的备份制度。有关开户、变更、销户的客户资料档案、交易指令记录、交易结算记录、错单记录、客户投诉档案以及其他业务记录应当自期货经纪合同终止之日起至少保存20年。</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第十八条</w:t>
            </w:r>
            <w:r>
              <w:rPr>
                <w:rFonts w:hint="eastAsia" w:ascii="仿宋" w:hAnsi="仿宋" w:eastAsia="仿宋"/>
                <w:sz w:val="24"/>
                <w:highlight w:val="none"/>
              </w:rPr>
              <w:t xml:space="preserve"> 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机构应当建立交易、结算、财务数据的备份制度。有关开户、变更、销户的客户资料档案、交易指令记录、交易结算记录、错单记录、客户投诉档案以及其他业务记录应当自期货</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合同终止之日起至少保存20年。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第十九条</w:t>
            </w:r>
            <w:r>
              <w:rPr>
                <w:rFonts w:hint="eastAsia" w:ascii="仿宋" w:hAnsi="仿宋" w:eastAsia="仿宋"/>
                <w:sz w:val="24"/>
                <w:highlight w:val="none"/>
              </w:rPr>
              <w:t xml:space="preserve"> 期货公司会员负责境外经纪机构在交易所从事期货交易的资金检查和风险控制。</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第十九条</w:t>
            </w:r>
            <w:r>
              <w:rPr>
                <w:rFonts w:hint="eastAsia" w:ascii="仿宋" w:hAnsi="仿宋" w:eastAsia="仿宋"/>
                <w:sz w:val="24"/>
                <w:highlight w:val="none"/>
              </w:rPr>
              <w:t xml:space="preserve"> 期货公司会员负责境外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机构在交易所从事期货交易的资金检查和风险控制。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第二十条</w:t>
            </w:r>
            <w:r>
              <w:rPr>
                <w:rFonts w:hint="eastAsia" w:ascii="仿宋" w:hAnsi="仿宋" w:eastAsia="仿宋"/>
                <w:sz w:val="24"/>
                <w:highlight w:val="none"/>
              </w:rPr>
              <w:t xml:space="preserve"> 客户与境外经纪机构终止业务关系的，境外经纪机构应当及时办理销户手续，相关期货公司会员应当予以协助。</w:t>
            </w:r>
          </w:p>
        </w:tc>
        <w:tc>
          <w:tcPr>
            <w:tcW w:w="4261" w:type="dxa"/>
            <w:noWrap w:val="0"/>
            <w:vAlign w:val="top"/>
          </w:tcPr>
          <w:p>
            <w:pPr>
              <w:keepNext w:val="0"/>
              <w:keepLines w:val="0"/>
              <w:pageBreakBefore w:val="0"/>
              <w:widowControl/>
              <w:kinsoku/>
              <w:wordWrap/>
              <w:overflowPunct/>
              <w:topLinePunct w:val="0"/>
              <w:autoSpaceDE/>
              <w:autoSpaceDN/>
              <w:bidi w:val="0"/>
              <w:adjustRightInd w:val="0"/>
              <w:snapToGrid/>
              <w:jc w:val="left"/>
              <w:textAlignment w:val="auto"/>
              <w:rPr>
                <w:rFonts w:ascii="仿宋" w:hAnsi="仿宋" w:eastAsia="仿宋"/>
                <w:sz w:val="24"/>
                <w:highlight w:val="none"/>
              </w:rPr>
            </w:pPr>
            <w:r>
              <w:rPr>
                <w:rFonts w:hint="eastAsia" w:ascii="仿宋" w:hAnsi="仿宋" w:eastAsia="仿宋"/>
                <w:b/>
                <w:sz w:val="24"/>
                <w:highlight w:val="none"/>
              </w:rPr>
              <w:t>第二十条</w:t>
            </w:r>
            <w:r>
              <w:rPr>
                <w:rFonts w:hint="eastAsia" w:ascii="仿宋" w:hAnsi="仿宋" w:eastAsia="仿宋"/>
                <w:sz w:val="24"/>
                <w:highlight w:val="none"/>
              </w:rPr>
              <w:t xml:space="preserve"> 客户与境外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机构终止业务关系的，境外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机构应当及时办理销户手续，相关期货公司会员应当予以协助。</w:t>
            </w:r>
          </w:p>
        </w:tc>
      </w:tr>
    </w:tbl>
    <w:p>
      <w:pPr>
        <w:rPr>
          <w:rFonts w:hint="eastAsia" w:ascii="仿宋" w:hAnsi="仿宋" w:eastAsia="仿宋" w:cs="仿宋"/>
          <w:sz w:val="32"/>
          <w:szCs w:val="32"/>
          <w:highlight w:val="none"/>
          <w:lang w:val="en-US" w:eastAsia="zh-CN"/>
        </w:rPr>
        <w:sectPr>
          <w:pgSz w:w="11906" w:h="16838"/>
          <w:pgMar w:top="1440" w:right="1800" w:bottom="1440" w:left="1800" w:header="720" w:footer="720" w:gutter="0"/>
          <w:cols w:space="720" w:num="1"/>
          <w:docGrid w:type="lines" w:linePitch="312" w:charSpace="0"/>
        </w:sect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pPr>
        <w:keepNext w:val="0"/>
        <w:keepLines w:val="0"/>
        <w:pageBreakBefore w:val="0"/>
        <w:kinsoku/>
        <w:wordWrap/>
        <w:overflowPunct/>
        <w:topLinePunct w:val="0"/>
        <w:autoSpaceDE/>
        <w:autoSpaceDN/>
        <w:bidi w:val="0"/>
        <w:snapToGrid/>
        <w:spacing w:line="580" w:lineRule="exact"/>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郑州商品交易所期货交易管理办法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对《郑州商品交易所期货交易管理办法》作如下修订：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b w:val="0"/>
          <w:bCs w:val="0"/>
          <w:sz w:val="32"/>
          <w:szCs w:val="32"/>
          <w:highlight w:val="none"/>
          <w:u w:val="none"/>
          <w:lang w:eastAsia="zh-CN"/>
        </w:rPr>
      </w:pPr>
      <w:r>
        <w:rPr>
          <w:rFonts w:hint="eastAsia" w:ascii="仿宋" w:hAnsi="仿宋" w:eastAsia="仿宋"/>
          <w:b w:val="0"/>
          <w:bCs w:val="0"/>
          <w:sz w:val="32"/>
          <w:szCs w:val="32"/>
          <w:highlight w:val="none"/>
          <w:u w:val="none"/>
          <w:lang w:val="en-US" w:eastAsia="zh-CN"/>
        </w:rPr>
        <w:t>一、将第一章第二条修订为：“</w:t>
      </w:r>
      <w:r>
        <w:rPr>
          <w:rFonts w:hint="eastAsia" w:ascii="仿宋" w:hAnsi="仿宋" w:eastAsia="仿宋"/>
          <w:b w:val="0"/>
          <w:bCs w:val="0"/>
          <w:sz w:val="32"/>
          <w:szCs w:val="32"/>
          <w:highlight w:val="none"/>
          <w:u w:val="none"/>
        </w:rPr>
        <w:t>交易所、会员、境外特殊参与者、境外中介机构、客户</w:t>
      </w:r>
      <w:r>
        <w:rPr>
          <w:rFonts w:hint="eastAsia" w:ascii="仿宋" w:hAnsi="仿宋" w:eastAsia="仿宋"/>
          <w:b w:val="0"/>
          <w:bCs w:val="0"/>
          <w:sz w:val="32"/>
          <w:szCs w:val="32"/>
          <w:highlight w:val="none"/>
          <w:u w:val="none"/>
          <w:lang w:eastAsia="zh-CN"/>
        </w:rPr>
        <w:t>、信息技术服务机构等</w:t>
      </w:r>
      <w:r>
        <w:rPr>
          <w:rFonts w:hint="eastAsia" w:ascii="仿宋" w:hAnsi="仿宋" w:eastAsia="仿宋"/>
          <w:b w:val="0"/>
          <w:bCs w:val="0"/>
          <w:sz w:val="32"/>
          <w:szCs w:val="32"/>
          <w:highlight w:val="none"/>
          <w:u w:val="none"/>
        </w:rPr>
        <w:t>应当遵守本</w:t>
      </w:r>
      <w:r>
        <w:rPr>
          <w:rFonts w:hint="eastAsia" w:ascii="仿宋" w:hAnsi="仿宋" w:eastAsia="仿宋"/>
          <w:b w:val="0"/>
          <w:bCs w:val="0"/>
          <w:sz w:val="32"/>
          <w:szCs w:val="32"/>
          <w:highlight w:val="none"/>
          <w:u w:val="none"/>
          <w:lang w:eastAsia="zh-CN"/>
        </w:rPr>
        <w:t>办法</w:t>
      </w:r>
      <w:r>
        <w:rPr>
          <w:rFonts w:hint="eastAsia" w:ascii="仿宋" w:hAnsi="仿宋" w:eastAsia="仿宋"/>
          <w:b w:val="0"/>
          <w:bCs w:val="0"/>
          <w:sz w:val="32"/>
          <w:szCs w:val="32"/>
          <w:highlight w:val="none"/>
          <w:u w:val="none"/>
        </w:rPr>
        <w:t>。</w:t>
      </w:r>
      <w:r>
        <w:rPr>
          <w:rFonts w:hint="eastAsia" w:ascii="仿宋" w:hAnsi="仿宋" w:eastAsia="仿宋"/>
          <w:b w:val="0"/>
          <w:bCs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 w:val="0"/>
          <w:bCs w:val="0"/>
          <w:sz w:val="32"/>
          <w:szCs w:val="32"/>
          <w:highlight w:val="none"/>
          <w:u w:val="none"/>
        </w:rPr>
      </w:pPr>
      <w:r>
        <w:rPr>
          <w:rFonts w:hint="eastAsia" w:ascii="仿宋" w:hAnsi="仿宋" w:eastAsia="仿宋"/>
          <w:b w:val="0"/>
          <w:bCs w:val="0"/>
          <w:sz w:val="32"/>
          <w:szCs w:val="32"/>
          <w:highlight w:val="none"/>
          <w:u w:val="none"/>
          <w:lang w:val="en-US" w:eastAsia="zh-CN"/>
        </w:rPr>
        <w:t>二、将第二章</w:t>
      </w:r>
      <w:r>
        <w:rPr>
          <w:rFonts w:hint="eastAsia" w:ascii="仿宋" w:hAnsi="仿宋" w:eastAsia="仿宋"/>
          <w:b w:val="0"/>
          <w:bCs w:val="0"/>
          <w:sz w:val="32"/>
          <w:szCs w:val="32"/>
          <w:highlight w:val="none"/>
          <w:u w:val="none"/>
        </w:rPr>
        <w:t>第三条</w:t>
      </w:r>
      <w:r>
        <w:rPr>
          <w:rFonts w:hint="eastAsia" w:ascii="仿宋" w:hAnsi="仿宋" w:eastAsia="仿宋"/>
          <w:b w:val="0"/>
          <w:bCs w:val="0"/>
          <w:sz w:val="32"/>
          <w:szCs w:val="32"/>
          <w:highlight w:val="none"/>
          <w:u w:val="none"/>
          <w:lang w:eastAsia="zh-CN"/>
        </w:rPr>
        <w:t>修订为：“</w:t>
      </w:r>
      <w:r>
        <w:rPr>
          <w:rFonts w:hint="eastAsia" w:ascii="仿宋" w:hAnsi="仿宋" w:eastAsia="仿宋"/>
          <w:b w:val="0"/>
          <w:bCs w:val="0"/>
          <w:sz w:val="32"/>
          <w:szCs w:val="32"/>
          <w:highlight w:val="none"/>
          <w:u w:val="none"/>
        </w:rPr>
        <w:t>交易席位是会员、境外特殊参与者将交易指令输入交易所计算机交易系统参与集中竞价交易的通道。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 w:val="0"/>
          <w:bCs w:val="0"/>
          <w:sz w:val="32"/>
          <w:szCs w:val="32"/>
          <w:highlight w:val="none"/>
          <w:u w:val="none"/>
        </w:rPr>
      </w:pPr>
      <w:r>
        <w:rPr>
          <w:rFonts w:hint="eastAsia" w:ascii="仿宋" w:hAnsi="仿宋" w:eastAsia="仿宋"/>
          <w:b w:val="0"/>
          <w:bCs w:val="0"/>
          <w:sz w:val="32"/>
          <w:szCs w:val="32"/>
          <w:highlight w:val="none"/>
          <w:u w:val="none"/>
          <w:lang w:eastAsia="zh-CN"/>
        </w:rPr>
        <w:t>“</w:t>
      </w:r>
      <w:r>
        <w:rPr>
          <w:rFonts w:hint="eastAsia" w:ascii="仿宋" w:hAnsi="仿宋" w:eastAsia="仿宋"/>
          <w:b w:val="0"/>
          <w:bCs w:val="0"/>
          <w:sz w:val="32"/>
          <w:szCs w:val="32"/>
          <w:highlight w:val="none"/>
          <w:u w:val="none"/>
        </w:rPr>
        <w:t>交易所提供的交易席位为远程交易席位。远程交易席位是指会员、境外特殊参与者在其营业场所，通过同交易所计算机交易系统联网的交易信息系统直接输入交易指令，参加交易所集中竞价交易的通道。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highlight w:val="none"/>
          <w:u w:val="none"/>
        </w:rPr>
      </w:pPr>
      <w:r>
        <w:rPr>
          <w:rFonts w:hint="eastAsia" w:ascii="仿宋" w:hAnsi="仿宋" w:eastAsia="仿宋"/>
          <w:b w:val="0"/>
          <w:bCs w:val="0"/>
          <w:sz w:val="32"/>
          <w:szCs w:val="32"/>
          <w:highlight w:val="none"/>
          <w:u w:val="none"/>
          <w:lang w:eastAsia="zh-CN"/>
        </w:rPr>
        <w:t>“</w:t>
      </w:r>
      <w:r>
        <w:rPr>
          <w:rFonts w:hint="eastAsia" w:ascii="仿宋" w:hAnsi="仿宋" w:eastAsia="仿宋"/>
          <w:b w:val="0"/>
          <w:bCs w:val="0"/>
          <w:sz w:val="32"/>
          <w:szCs w:val="32"/>
          <w:highlight w:val="none"/>
          <w:u w:val="none"/>
        </w:rPr>
        <w:t>根据业务发展需要，交易所可以设置特别席位，并与席位使用人约定相关权利和义务。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eastAsia="zh-CN"/>
        </w:rPr>
        <w:t>“</w:t>
      </w:r>
      <w:r>
        <w:rPr>
          <w:rFonts w:hint="eastAsia" w:ascii="仿宋" w:hAnsi="仿宋" w:eastAsia="仿宋"/>
          <w:b w:val="0"/>
          <w:bCs w:val="0"/>
          <w:sz w:val="32"/>
          <w:szCs w:val="32"/>
          <w:highlight w:val="none"/>
          <w:u w:val="none"/>
        </w:rPr>
        <w:t>会员、境外特殊参与者不得将交易席位全部或者部分以发包、转包、转租、抵押、转让等形式交由其他机构和个人使用。</w:t>
      </w:r>
      <w:r>
        <w:rPr>
          <w:rFonts w:hint="eastAsia" w:ascii="仿宋" w:hAnsi="仿宋" w:eastAsia="仿宋"/>
          <w:b w:val="0"/>
          <w:bCs w:val="0"/>
          <w:sz w:val="32"/>
          <w:szCs w:val="32"/>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将第二章第四条修订为：“</w:t>
      </w:r>
      <w:r>
        <w:rPr>
          <w:rFonts w:hint="eastAsia" w:ascii="仿宋" w:hAnsi="仿宋" w:eastAsia="仿宋"/>
          <w:b w:val="0"/>
          <w:bCs w:val="0"/>
          <w:sz w:val="32"/>
          <w:szCs w:val="32"/>
          <w:highlight w:val="none"/>
          <w:u w:val="none"/>
        </w:rPr>
        <w:t>会员取得会员资格、境外特殊参与者取得境外特殊参与者资格后，</w:t>
      </w:r>
      <w:r>
        <w:rPr>
          <w:rFonts w:hint="eastAsia" w:ascii="仿宋" w:hAnsi="仿宋" w:eastAsia="仿宋"/>
          <w:b w:val="0"/>
          <w:bCs w:val="0"/>
          <w:sz w:val="32"/>
          <w:szCs w:val="32"/>
          <w:highlight w:val="none"/>
          <w:u w:val="none"/>
          <w:lang w:eastAsia="zh-CN"/>
        </w:rPr>
        <w:t>可以</w:t>
      </w:r>
      <w:r>
        <w:rPr>
          <w:rFonts w:hint="eastAsia" w:ascii="仿宋" w:hAnsi="仿宋" w:eastAsia="仿宋"/>
          <w:b w:val="0"/>
          <w:bCs w:val="0"/>
          <w:sz w:val="32"/>
          <w:szCs w:val="32"/>
          <w:highlight w:val="none"/>
          <w:u w:val="none"/>
        </w:rPr>
        <w:t>申请使用远程交易席位。经交易所批准，可以增加远程交易席位。</w:t>
      </w:r>
      <w:r>
        <w:rPr>
          <w:rFonts w:hint="eastAsia" w:ascii="仿宋" w:hAnsi="仿宋" w:eastAsia="仿宋"/>
          <w:b w:val="0"/>
          <w:bCs w:val="0"/>
          <w:sz w:val="32"/>
          <w:szCs w:val="32"/>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将第二章第五条修订为：“会员、境外特殊参与者增加交易席位仅是增加其交易通道，交易所对该会员、境外特殊参与者的持仓限额、风险控制及其他有关方面的管理规定不变。”</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将第二章第六条第一款修订为：“会员、境外特殊参与者使用远程交易席位，应当按照远程交易席位数量按年交纳远程交易席位使用费。撤销远程交易席位的，已收取的远程交易席位使用费不予退还。”</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将第二章第七条修订为：“会员、境外特殊参与者申请远程交易席位，应当具备下列条件：……”</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将第二章第八条修订为：“会员、境外特殊参与者申请远程交易席位，应当通过会员服务系统向交易所提交下列材料：……”。</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将第二章第九条修订为：“交易所应当在收到会员、境外特殊参与者提交的远程交易席位申请材料之日起10个工作日内，作出是否批准的答复。”</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将第二章第十条修订为：“会员、境外特殊参与者申请开设远程交易席位的，其远程交易信息系统软件、网络接入应当通过交易所测试。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“会员、境外特殊参与者不得通过远程交易席位及相关网络进行任何可能对交易所交易系统产生危害的行为。”</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将第二章第十一条修订为：“日盘交易时段内，会员、境外特殊参与者远程交易席位不能正常使用的，可以申请使用应急交易场所进行交易。”</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十二条修订为：“会员、境外特殊参与者应当加强对其远程交易席位的管理和远程交易系统的维护。会员、境外特殊参与者主要交易设施需要更换或者远程交易系统升级时，应当及时向交易所报备。交易所有权对远程交易席位的使用情况进行监督检查。因公共通信网络或者第三方交易软件原因导致远程交易席位不能正常使用的，交易所不承担责任。”</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将第二章第十三条修订为：“非交易所管理原因，应急交易场所的计算机终端或者前置服务器自身发生故障，需要交易所为会员、境外特殊参与者更换交易设施或者重新连接交易系统的，交易所不承担责任。”</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将第二章第十四条修订为：“有下列情况之一的，交易席位予以撤销：</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19" w:firstLineChars="131"/>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“（一）会员、境外特殊参与者提出撤销申请，并经交易所批准的；……”。</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将第二章第十五条修订为：“会员丧失交易所会员资格、境外特殊参与者丧失交易所境外特殊参与者资格的，其拥有的远程交易席位全部终止使用。”</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将第二章第十五条修订为：“出现下列情况时，交易所可以采取调整开市、收市时间，暂停交易，调整相关合约最后交易日、到期日、最后交割日等日期以及其他必要的措施：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“（一）因计算机系统、通讯系统等交易设施发生故障，致使10%以上的会员及境外特殊参与者不能交易的；……”。</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将第三章第十八条修订为：“交易所实行交易编码制度。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“交易编码是指由交易所分配给非期货公司会员、境外特殊非经纪参与者和客户进行期货交易的专用代码，是其进行交易、结算、交割和标准仓单确认的依据。”</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三章第十九条修订为：“交易编码由12位数字组成。期货公司会员的客户交易编码前四位数是会员号，后八位数是客户编号；境外特殊经纪参与者的客户交易编码前四位数是境外特殊参与者编号，后八位数是客户编号。”</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将第三章第二十条修订为：“非期货公司会员、境外特殊非经纪参与者交易编码原则上为一个，确需增加交易编码的，应当向交易所提交书面申请，并阐明理由。交易所根据交易情况决定是否添加。”</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三章第二十一条修订为：“期货公司会员、境外特殊经纪参与者、境外中介机构（以下统称开户机构）应当按照中国期货市场监控中心有限责任公司（以下简称监控中心）相关开户规定通过监控中心统一开户系统为客户申请、注销交易编码，以及修改与交易编码相关的客户资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根据中国法律、法规和规章规定，需要对资产进行分户管理的证券公司、基金管理公司、信托公司和其他金融机构，以及社会保障类公司、合格境外机构投资者、人民币合格境外机构投资者等特殊单位客户，可以按照监控中心的规定申请交易编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“交易所收到监控中心转发的客户开户申请资料后，对交易编码进行分配、发放和管理，并将各类申请的处理结果通过监控中心反馈给开户机构。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交易所收到非期货公司会员和境外特殊非经纪参与者的开户申请材料后，对非期货公司会员交易编码和境外特殊非经纪参与者的交易编码进行分配、发放和管理，并将处理结果告知非期货公司会员和境外特殊非经纪参与者。</w:t>
      </w:r>
    </w:p>
    <w:p>
      <w:pPr>
        <w:keepNext w:val="0"/>
        <w:keepLines w:val="0"/>
        <w:pageBreakBefore w:val="0"/>
        <w:widowControl w:val="0"/>
        <w:numPr>
          <w:ilvl w:val="0"/>
          <w:numId w:val="0"/>
        </w:numPr>
        <w:kinsoku/>
        <w:wordWrap/>
        <w:overflowPunct/>
        <w:topLinePunct w:val="0"/>
        <w:autoSpaceDE/>
        <w:autoSpaceDN/>
        <w:bidi w:val="0"/>
        <w:adjustRightInd/>
        <w:snapToGrid/>
        <w:ind w:left="630" w:leftChars="0"/>
        <w:jc w:val="left"/>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“交易编码经交易所审核确认后方可使用。”</w:t>
      </w:r>
    </w:p>
    <w:p>
      <w:pPr>
        <w:keepNext w:val="0"/>
        <w:keepLines w:val="0"/>
        <w:pageBreakBefore w:val="0"/>
        <w:numPr>
          <w:ilvl w:val="0"/>
          <w:numId w:val="1"/>
        </w:numPr>
        <w:kinsoku/>
        <w:wordWrap/>
        <w:overflowPunct/>
        <w:topLinePunct w:val="0"/>
        <w:autoSpaceDE/>
        <w:autoSpaceDN/>
        <w:bidi w:val="0"/>
        <w:snapToGrid/>
        <w:ind w:left="-10" w:leftChars="0" w:firstLine="640" w:firstLineChars="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将第三章第二十二条修订为：“一个客户同一时期内在交易所只能有一个客户编号，但可以在不同的开户机构开户。在不同开户机构开户的客户，其后八位客户编号必须相同。”</w:t>
      </w:r>
    </w:p>
    <w:p>
      <w:pPr>
        <w:keepNext w:val="0"/>
        <w:keepLines w:val="0"/>
        <w:pageBreakBefore w:val="0"/>
        <w:numPr>
          <w:ilvl w:val="0"/>
          <w:numId w:val="1"/>
        </w:numPr>
        <w:kinsoku/>
        <w:wordWrap/>
        <w:overflowPunct/>
        <w:topLinePunct w:val="0"/>
        <w:autoSpaceDE/>
        <w:autoSpaceDN/>
        <w:bidi w:val="0"/>
        <w:snapToGrid/>
        <w:ind w:left="-10" w:leftChars="0" w:firstLine="640" w:firstLineChars="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将第三章第二十三条修订为：“开户机构应当保证客户资料的真实、合法、有效、准确，并妥善保存客户开户、变更及销户资料档案。</w:t>
      </w:r>
    </w:p>
    <w:p>
      <w:pPr>
        <w:keepNext w:val="0"/>
        <w:keepLines w:val="0"/>
        <w:pageBreakBefore w:val="0"/>
        <w:numPr>
          <w:ilvl w:val="0"/>
          <w:numId w:val="0"/>
        </w:numPr>
        <w:kinsoku/>
        <w:wordWrap/>
        <w:overflowPunct/>
        <w:topLinePunct w:val="0"/>
        <w:autoSpaceDE/>
        <w:autoSpaceDN/>
        <w:bidi w:val="0"/>
        <w:snapToGrid/>
        <w:ind w:left="630" w:leftChars="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“开户机构对上述资料的保管期限不得少于20年。”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二十二、将第三章第二十五条修订为：“非期货公司会员、境外特殊非经纪参与者及客户提供虚假开户资料或者开户机构协助客户使用虚假资料开户的，交易所可以责令限期平仓；平仓后注销其交易编码，同时按照《郑州商品交易所违规处理办法》有关规定进行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二十三、将第五章第三十九条修订为：“每日信息内容主要有：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“……（二）最近交割月及活跃月份合约前20名期货公司会员、境外特殊经纪参与者的成交量和买卖持仓量，以及所有月份合约期货转现货量；……”。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二十四、将第五章第四十五条修订为：“交易所、会员、境外特殊参与者和境外中介机构等对不宜公开的交易资料、资金情况等信息有保密义务。”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highlight w:val="none"/>
          <w:u w:val="none"/>
          <w:lang w:val="en-US" w:eastAsia="zh-CN"/>
        </w:rPr>
        <w:sectPr>
          <w:pgSz w:w="11906" w:h="16838"/>
          <w:pgMar w:top="1440" w:right="1800" w:bottom="1440" w:left="1800" w:header="720" w:footer="720" w:gutter="0"/>
          <w:cols w:space="720" w:num="1"/>
          <w:docGrid w:type="lines" w:linePitch="312" w:charSpace="0"/>
        </w:sectPr>
      </w:pPr>
      <w:r>
        <w:rPr>
          <w:rFonts w:hint="eastAsia" w:ascii="仿宋" w:hAnsi="仿宋" w:eastAsia="仿宋"/>
          <w:b w:val="0"/>
          <w:bCs w:val="0"/>
          <w:sz w:val="32"/>
          <w:szCs w:val="32"/>
          <w:highlight w:val="none"/>
          <w:u w:val="none"/>
          <w:lang w:val="en-US" w:eastAsia="zh-CN"/>
        </w:rPr>
        <w:t>二十五、将第五章第四十六条修订为：“因信息技术服务机构或者公共媒体转发交易行情信息发生故障，影响会员、境外特殊参与者、境外中介机构或者客户正常交易的，交易所不承担法律责任。”</w:t>
      </w:r>
    </w:p>
    <w:p>
      <w:pPr>
        <w:widowControl/>
        <w:jc w:val="center"/>
        <w:rPr>
          <w:rFonts w:hint="eastAsia" w:ascii="黑体" w:hAnsi="黑体" w:eastAsia="黑体" w:cs="黑体"/>
          <w:b w:val="0"/>
          <w:bCs/>
          <w:sz w:val="40"/>
          <w:szCs w:val="40"/>
          <w:highlight w:val="none"/>
        </w:rPr>
      </w:pPr>
      <w:r>
        <w:rPr>
          <w:rFonts w:hint="eastAsia" w:ascii="黑体" w:hAnsi="黑体" w:eastAsia="黑体" w:cs="黑体"/>
          <w:b w:val="0"/>
          <w:bCs/>
          <w:sz w:val="40"/>
          <w:szCs w:val="40"/>
          <w:highlight w:val="none"/>
        </w:rPr>
        <w:t>《郑州商品交易所期货</w:t>
      </w:r>
      <w:r>
        <w:rPr>
          <w:rFonts w:hint="eastAsia" w:ascii="黑体" w:hAnsi="黑体" w:eastAsia="黑体" w:cs="黑体"/>
          <w:b w:val="0"/>
          <w:bCs/>
          <w:sz w:val="40"/>
          <w:szCs w:val="40"/>
          <w:highlight w:val="none"/>
          <w:lang w:eastAsia="zh-CN"/>
        </w:rPr>
        <w:t>交易管理办法</w:t>
      </w:r>
      <w:r>
        <w:rPr>
          <w:rFonts w:hint="eastAsia" w:ascii="黑体" w:hAnsi="黑体" w:eastAsia="黑体" w:cs="黑体"/>
          <w:b w:val="0"/>
          <w:bCs/>
          <w:sz w:val="40"/>
          <w:szCs w:val="40"/>
          <w:highlight w:val="none"/>
        </w:rPr>
        <w:t>》</w:t>
      </w:r>
    </w:p>
    <w:p>
      <w:pPr>
        <w:widowControl/>
        <w:jc w:val="center"/>
        <w:rPr>
          <w:rFonts w:hint="eastAsia" w:ascii="黑体" w:hAnsi="黑体" w:eastAsia="黑体" w:cs="黑体"/>
          <w:b w:val="0"/>
          <w:bCs/>
          <w:sz w:val="44"/>
          <w:szCs w:val="44"/>
          <w:highlight w:val="none"/>
          <w:lang w:val="en-US" w:eastAsia="zh-CN"/>
        </w:rPr>
      </w:pPr>
      <w:r>
        <w:rPr>
          <w:rFonts w:hint="eastAsia" w:ascii="黑体" w:hAnsi="黑体" w:eastAsia="黑体" w:cs="黑体"/>
          <w:b w:val="0"/>
          <w:bCs/>
          <w:sz w:val="40"/>
          <w:szCs w:val="40"/>
          <w:highlight w:val="none"/>
        </w:rPr>
        <w:t>修订对照表</w:t>
      </w:r>
    </w:p>
    <w:p>
      <w:pPr>
        <w:widowControl/>
        <w:spacing w:line="360" w:lineRule="auto"/>
        <w:jc w:val="center"/>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8"/>
        <w:tblW w:w="5000" w:type="pct"/>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453"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lang w:eastAsia="zh-CN"/>
              </w:rPr>
              <w:t>修订前</w:t>
            </w:r>
            <w:r>
              <w:rPr>
                <w:rFonts w:hint="eastAsia" w:ascii="仿宋" w:hAnsi="仿宋" w:eastAsia="仿宋"/>
                <w:b/>
                <w:bCs/>
                <w:sz w:val="24"/>
                <w:highlight w:val="none"/>
              </w:rPr>
              <w:t>条文</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rPr>
              <w:t>修订</w:t>
            </w:r>
            <w:r>
              <w:rPr>
                <w:rFonts w:hint="eastAsia" w:ascii="仿宋" w:hAnsi="仿宋" w:eastAsia="仿宋"/>
                <w:b/>
                <w:bCs/>
                <w:sz w:val="24"/>
                <w:highlight w:val="none"/>
                <w:lang w:eastAsia="zh-CN"/>
              </w:rPr>
              <w:t>后</w:t>
            </w:r>
            <w:r>
              <w:rPr>
                <w:rFonts w:hint="eastAsia" w:ascii="仿宋" w:hAnsi="仿宋" w:eastAsia="仿宋"/>
                <w:b/>
                <w:bCs/>
                <w:sz w:val="24"/>
                <w:highlight w:val="none"/>
              </w:rPr>
              <w:t>条文</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第二条</w:t>
            </w:r>
            <w:r>
              <w:rPr>
                <w:rFonts w:hint="eastAsia" w:ascii="仿宋" w:hAnsi="仿宋" w:eastAsia="仿宋"/>
                <w:sz w:val="24"/>
                <w:highlight w:val="none"/>
              </w:rPr>
              <w:t xml:space="preserve"> 交易所、会员、境外经纪机构、客户、信息技术服务机构等应当遵守本办法。</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第二条</w:t>
            </w:r>
            <w:r>
              <w:rPr>
                <w:rFonts w:hint="eastAsia" w:ascii="仿宋" w:hAnsi="仿宋" w:eastAsia="仿宋"/>
                <w:sz w:val="24"/>
                <w:highlight w:val="none"/>
              </w:rPr>
              <w:t xml:space="preserve"> 交易所、会员、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机构、客户</w:t>
            </w:r>
            <w:r>
              <w:rPr>
                <w:rFonts w:hint="eastAsia" w:ascii="仿宋" w:hAnsi="仿宋" w:eastAsia="仿宋"/>
                <w:sz w:val="24"/>
                <w:highlight w:val="none"/>
                <w:lang w:eastAsia="zh-CN"/>
              </w:rPr>
              <w:t>、信息技术服务机构等</w:t>
            </w:r>
            <w:r>
              <w:rPr>
                <w:rFonts w:hint="eastAsia" w:ascii="仿宋" w:hAnsi="仿宋" w:eastAsia="仿宋"/>
                <w:sz w:val="24"/>
                <w:highlight w:val="none"/>
              </w:rPr>
              <w:t>应当遵守本</w:t>
            </w:r>
            <w:r>
              <w:rPr>
                <w:rFonts w:hint="eastAsia" w:ascii="仿宋" w:hAnsi="仿宋" w:eastAsia="仿宋"/>
                <w:sz w:val="24"/>
                <w:highlight w:val="none"/>
                <w:lang w:eastAsia="zh-CN"/>
              </w:rPr>
              <w:t>办法</w:t>
            </w:r>
            <w:r>
              <w:rPr>
                <w:rFonts w:hint="eastAsia" w:ascii="仿宋" w:hAnsi="仿宋" w:eastAsia="仿宋"/>
                <w:sz w:val="24"/>
                <w:highlight w:val="none"/>
              </w:rPr>
              <w:t>。</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第三条</w:t>
            </w:r>
            <w:r>
              <w:rPr>
                <w:rFonts w:hint="eastAsia" w:ascii="仿宋" w:hAnsi="仿宋" w:eastAsia="仿宋"/>
                <w:sz w:val="24"/>
                <w:highlight w:val="none"/>
              </w:rPr>
              <w:t xml:space="preserve"> 交易席位是会员将交易指令输入交易所计算机交易系统参与集中竞价交易的通道。</w:t>
            </w:r>
          </w:p>
          <w:p>
            <w:pPr>
              <w:ind w:firstLine="480" w:firstLineChars="200"/>
              <w:rPr>
                <w:rFonts w:ascii="仿宋" w:hAnsi="仿宋" w:eastAsia="仿宋"/>
                <w:sz w:val="24"/>
                <w:highlight w:val="none"/>
              </w:rPr>
            </w:pPr>
            <w:r>
              <w:rPr>
                <w:rFonts w:hint="eastAsia" w:ascii="仿宋" w:hAnsi="仿宋" w:eastAsia="仿宋"/>
                <w:sz w:val="24"/>
                <w:highlight w:val="none"/>
              </w:rPr>
              <w:t>交易所提供的交易席位为远程交易席位。远程交易席位是指会员在其营业场所，通过同交易所计算机交易系统联网的交易信息系统直接输入交易指令，参加交易所集中竞价交易的通道。</w:t>
            </w:r>
          </w:p>
          <w:p>
            <w:pPr>
              <w:ind w:firstLine="480" w:firstLineChars="200"/>
              <w:rPr>
                <w:rFonts w:hint="eastAsia" w:ascii="仿宋" w:hAnsi="仿宋" w:eastAsia="仿宋"/>
                <w:sz w:val="24"/>
                <w:highlight w:val="none"/>
              </w:rPr>
            </w:pPr>
            <w:r>
              <w:rPr>
                <w:rFonts w:hint="eastAsia" w:ascii="仿宋" w:hAnsi="仿宋" w:eastAsia="仿宋"/>
                <w:sz w:val="24"/>
                <w:highlight w:val="none"/>
              </w:rPr>
              <w:t>根据业务发展需要，交易所可以设置特别席位，并与席位使用人约定相关权利和义务。</w:t>
            </w:r>
          </w:p>
          <w:p>
            <w:pPr>
              <w:ind w:firstLine="480" w:firstLineChars="200"/>
              <w:rPr>
                <w:rFonts w:ascii="仿宋" w:hAnsi="仿宋" w:eastAsia="仿宋"/>
                <w:sz w:val="24"/>
                <w:highlight w:val="none"/>
              </w:rPr>
            </w:pPr>
            <w:r>
              <w:rPr>
                <w:rFonts w:hint="eastAsia" w:ascii="仿宋" w:hAnsi="仿宋" w:eastAsia="仿宋"/>
                <w:sz w:val="24"/>
                <w:highlight w:val="none"/>
              </w:rPr>
              <w:t>会员不得将交易席位全部或者部分以发包、转包、转租、抵押、转让等形式交由其他机构和个人使用。</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第三条</w:t>
            </w:r>
            <w:r>
              <w:rPr>
                <w:rFonts w:hint="eastAsia" w:ascii="仿宋" w:hAnsi="仿宋" w:eastAsia="仿宋"/>
                <w:sz w:val="24"/>
                <w:highlight w:val="none"/>
              </w:rPr>
              <w:t xml:space="preserve"> 交易席位是会员</w:t>
            </w:r>
            <w:r>
              <w:rPr>
                <w:rFonts w:hint="eastAsia" w:ascii="仿宋" w:hAnsi="仿宋" w:eastAsia="仿宋"/>
                <w:b/>
                <w:sz w:val="24"/>
                <w:highlight w:val="none"/>
                <w:u w:val="single"/>
              </w:rPr>
              <w:t>、境外特殊参与者</w:t>
            </w:r>
            <w:r>
              <w:rPr>
                <w:rFonts w:hint="eastAsia" w:ascii="仿宋" w:hAnsi="仿宋" w:eastAsia="仿宋"/>
                <w:sz w:val="24"/>
                <w:highlight w:val="none"/>
              </w:rPr>
              <w:t>将交易指令输入交易所计算机交易系统参与集中竞价交易的通道。</w:t>
            </w:r>
          </w:p>
          <w:p>
            <w:pPr>
              <w:ind w:firstLine="480" w:firstLineChars="200"/>
              <w:rPr>
                <w:rFonts w:ascii="仿宋" w:hAnsi="仿宋" w:eastAsia="仿宋"/>
                <w:sz w:val="24"/>
                <w:highlight w:val="none"/>
              </w:rPr>
            </w:pPr>
            <w:r>
              <w:rPr>
                <w:rFonts w:hint="eastAsia" w:ascii="仿宋" w:hAnsi="仿宋" w:eastAsia="仿宋"/>
                <w:sz w:val="24"/>
                <w:highlight w:val="none"/>
              </w:rPr>
              <w:t>交易所提供的交易席位为远程交易席位。远程交易席位是指会员</w:t>
            </w:r>
            <w:r>
              <w:rPr>
                <w:rFonts w:hint="eastAsia" w:ascii="仿宋" w:hAnsi="仿宋" w:eastAsia="仿宋"/>
                <w:b/>
                <w:sz w:val="24"/>
                <w:highlight w:val="none"/>
                <w:u w:val="single"/>
              </w:rPr>
              <w:t>、境外特殊参与者</w:t>
            </w:r>
            <w:r>
              <w:rPr>
                <w:rFonts w:hint="eastAsia" w:ascii="仿宋" w:hAnsi="仿宋" w:eastAsia="仿宋"/>
                <w:sz w:val="24"/>
                <w:highlight w:val="none"/>
              </w:rPr>
              <w:t>在其营业场所，通过同交易所计算机交易系统联网的交易信息系统直接输入交易指令，参加交易所集中竞价交易的通道。</w:t>
            </w:r>
          </w:p>
          <w:p>
            <w:pPr>
              <w:ind w:firstLine="480" w:firstLineChars="200"/>
              <w:rPr>
                <w:rFonts w:hint="eastAsia" w:ascii="仿宋" w:hAnsi="仿宋" w:eastAsia="仿宋"/>
                <w:sz w:val="24"/>
                <w:highlight w:val="none"/>
              </w:rPr>
            </w:pPr>
            <w:r>
              <w:rPr>
                <w:rFonts w:hint="eastAsia" w:ascii="仿宋" w:hAnsi="仿宋" w:eastAsia="仿宋"/>
                <w:sz w:val="24"/>
                <w:highlight w:val="none"/>
              </w:rPr>
              <w:t>根据业务发展需要，交易所可以设置特别席位，并与席位使用人约定相关权利和义务。</w:t>
            </w:r>
          </w:p>
          <w:p>
            <w:pPr>
              <w:ind w:firstLine="480" w:firstLineChars="200"/>
              <w:rPr>
                <w:rFonts w:ascii="仿宋" w:hAnsi="仿宋" w:eastAsia="仿宋"/>
                <w:sz w:val="24"/>
                <w:highlight w:val="none"/>
              </w:rPr>
            </w:pPr>
            <w:r>
              <w:rPr>
                <w:rFonts w:hint="eastAsia" w:ascii="仿宋" w:hAnsi="仿宋" w:eastAsia="仿宋"/>
                <w:sz w:val="24"/>
                <w:highlight w:val="none"/>
              </w:rPr>
              <w:t>会员</w:t>
            </w:r>
            <w:r>
              <w:rPr>
                <w:rFonts w:hint="eastAsia" w:ascii="仿宋" w:hAnsi="仿宋" w:eastAsia="仿宋"/>
                <w:b/>
                <w:sz w:val="24"/>
                <w:highlight w:val="none"/>
                <w:u w:val="single"/>
              </w:rPr>
              <w:t>、境外特殊参与者</w:t>
            </w:r>
            <w:r>
              <w:rPr>
                <w:rFonts w:hint="eastAsia" w:ascii="仿宋" w:hAnsi="仿宋" w:eastAsia="仿宋"/>
                <w:sz w:val="24"/>
                <w:highlight w:val="none"/>
              </w:rPr>
              <w:t>不得将交易席位全部或者部分以发包、转包、转租、抵押、转让等形式交由其他机构和个人使用。</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第四条</w:t>
            </w:r>
            <w:r>
              <w:rPr>
                <w:rFonts w:hint="eastAsia" w:ascii="仿宋" w:hAnsi="仿宋" w:eastAsia="仿宋"/>
                <w:sz w:val="24"/>
                <w:highlight w:val="none"/>
              </w:rPr>
              <w:t xml:space="preserve"> 会员取得会员资格</w:t>
            </w:r>
            <w:r>
              <w:rPr>
                <w:rFonts w:hint="eastAsia" w:ascii="仿宋" w:hAnsi="仿宋" w:eastAsia="仿宋"/>
                <w:sz w:val="24"/>
                <w:highlight w:val="none"/>
                <w:lang w:eastAsia="zh-CN"/>
              </w:rPr>
              <w:t>后</w:t>
            </w:r>
            <w:r>
              <w:rPr>
                <w:rFonts w:hint="eastAsia" w:ascii="仿宋" w:hAnsi="仿宋" w:eastAsia="仿宋"/>
                <w:sz w:val="24"/>
                <w:highlight w:val="none"/>
              </w:rPr>
              <w:t>，</w:t>
            </w:r>
            <w:r>
              <w:rPr>
                <w:rFonts w:hint="eastAsia" w:ascii="仿宋" w:hAnsi="仿宋" w:eastAsia="仿宋"/>
                <w:sz w:val="24"/>
                <w:highlight w:val="none"/>
                <w:lang w:eastAsia="zh-CN"/>
              </w:rPr>
              <w:t>可以</w:t>
            </w:r>
            <w:r>
              <w:rPr>
                <w:rFonts w:hint="eastAsia" w:ascii="仿宋" w:hAnsi="仿宋" w:eastAsia="仿宋"/>
                <w:sz w:val="24"/>
                <w:highlight w:val="none"/>
              </w:rPr>
              <w:t>申请使用远程交易席位。经交易所批准，可以增加远程交易席位。</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第四条</w:t>
            </w:r>
            <w:r>
              <w:rPr>
                <w:rFonts w:hint="eastAsia" w:ascii="仿宋" w:hAnsi="仿宋" w:eastAsia="仿宋"/>
                <w:sz w:val="24"/>
                <w:highlight w:val="none"/>
              </w:rPr>
              <w:t xml:space="preserve"> 会员取得会员资格</w:t>
            </w:r>
            <w:r>
              <w:rPr>
                <w:rFonts w:hint="eastAsia" w:ascii="仿宋" w:hAnsi="仿宋" w:eastAsia="仿宋"/>
                <w:b/>
                <w:sz w:val="24"/>
                <w:highlight w:val="none"/>
                <w:u w:val="single"/>
              </w:rPr>
              <w:t>、境外特殊参与者取得境外特殊参与者资格</w:t>
            </w:r>
            <w:r>
              <w:rPr>
                <w:rFonts w:hint="eastAsia" w:ascii="仿宋" w:hAnsi="仿宋" w:eastAsia="仿宋"/>
                <w:b w:val="0"/>
                <w:bCs/>
                <w:sz w:val="24"/>
                <w:highlight w:val="none"/>
                <w:u w:val="none"/>
              </w:rPr>
              <w:t>后</w:t>
            </w:r>
            <w:r>
              <w:rPr>
                <w:rFonts w:hint="eastAsia" w:ascii="仿宋" w:hAnsi="仿宋" w:eastAsia="仿宋"/>
                <w:sz w:val="24"/>
                <w:highlight w:val="none"/>
              </w:rPr>
              <w:t>，</w:t>
            </w:r>
            <w:r>
              <w:rPr>
                <w:rFonts w:hint="eastAsia" w:ascii="仿宋" w:hAnsi="仿宋" w:eastAsia="仿宋"/>
                <w:sz w:val="24"/>
                <w:highlight w:val="none"/>
                <w:lang w:eastAsia="zh-CN"/>
              </w:rPr>
              <w:t>可以</w:t>
            </w:r>
            <w:r>
              <w:rPr>
                <w:rFonts w:hint="eastAsia" w:ascii="仿宋" w:hAnsi="仿宋" w:eastAsia="仿宋"/>
                <w:sz w:val="24"/>
                <w:highlight w:val="none"/>
              </w:rPr>
              <w:t>申请使用远程交易席位。经交易所批准，可以增加远程交易席位。</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第五条</w:t>
            </w:r>
            <w:r>
              <w:rPr>
                <w:rFonts w:hint="eastAsia" w:ascii="仿宋" w:hAnsi="仿宋" w:eastAsia="仿宋"/>
                <w:sz w:val="24"/>
                <w:highlight w:val="none"/>
              </w:rPr>
              <w:t xml:space="preserve"> 会员增加交易席位仅是增加其交易通道，交易所对该会员的持仓限额、风险控制以及其他有关方面的管理规定不变。</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第五条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sz w:val="24"/>
                <w:highlight w:val="none"/>
              </w:rPr>
              <w:t>增加交易席位仅是增加</w:t>
            </w:r>
            <w:r>
              <w:rPr>
                <w:rFonts w:hint="eastAsia" w:ascii="仿宋" w:hAnsi="仿宋" w:eastAsia="仿宋"/>
                <w:sz w:val="24"/>
                <w:highlight w:val="none"/>
                <w:lang w:eastAsia="zh-CN"/>
              </w:rPr>
              <w:t>其</w:t>
            </w:r>
            <w:r>
              <w:rPr>
                <w:rFonts w:hint="eastAsia" w:ascii="仿宋" w:hAnsi="仿宋" w:eastAsia="仿宋"/>
                <w:sz w:val="24"/>
                <w:highlight w:val="none"/>
              </w:rPr>
              <w:t>交易通道，交易所对</w:t>
            </w:r>
            <w:r>
              <w:rPr>
                <w:rFonts w:hint="eastAsia" w:ascii="仿宋" w:hAnsi="仿宋" w:eastAsia="仿宋"/>
                <w:sz w:val="24"/>
                <w:highlight w:val="none"/>
                <w:lang w:eastAsia="zh-CN"/>
              </w:rPr>
              <w:t>该会员</w:t>
            </w:r>
            <w:r>
              <w:rPr>
                <w:rFonts w:hint="eastAsia" w:ascii="仿宋" w:hAnsi="仿宋" w:eastAsia="仿宋"/>
                <w:b/>
                <w:sz w:val="24"/>
                <w:highlight w:val="none"/>
                <w:u w:val="single"/>
              </w:rPr>
              <w:t>、境外特殊参与者</w:t>
            </w:r>
            <w:r>
              <w:rPr>
                <w:rFonts w:hint="eastAsia" w:ascii="仿宋" w:hAnsi="仿宋" w:eastAsia="仿宋"/>
                <w:sz w:val="24"/>
                <w:highlight w:val="none"/>
                <w:lang w:eastAsia="zh-CN"/>
              </w:rPr>
              <w:t>的</w:t>
            </w:r>
            <w:r>
              <w:rPr>
                <w:rFonts w:hint="eastAsia" w:ascii="仿宋" w:hAnsi="仿宋" w:eastAsia="仿宋"/>
                <w:sz w:val="24"/>
                <w:highlight w:val="none"/>
              </w:rPr>
              <w:t>持仓限额、风险控制及其他有关方面的管理规定不变。</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hint="eastAsia" w:ascii="仿宋" w:hAnsi="仿宋" w:eastAsia="仿宋"/>
                <w:sz w:val="24"/>
                <w:highlight w:val="none"/>
              </w:rPr>
            </w:pPr>
            <w:r>
              <w:rPr>
                <w:rFonts w:hint="eastAsia" w:ascii="仿宋" w:hAnsi="仿宋" w:eastAsia="仿宋"/>
                <w:b/>
                <w:sz w:val="24"/>
                <w:highlight w:val="none"/>
              </w:rPr>
              <w:t>第六条</w:t>
            </w:r>
            <w:r>
              <w:rPr>
                <w:rFonts w:hint="eastAsia" w:ascii="仿宋" w:hAnsi="仿宋" w:eastAsia="仿宋"/>
                <w:sz w:val="24"/>
                <w:highlight w:val="none"/>
              </w:rPr>
              <w:t xml:space="preserve"> 会员使用远程交易席位，应当按照远程交易席位数量按年交纳远程交易席位使用费。撤销远程交易席位的，已收取的远程交易席位使用费不予退还。</w:t>
            </w:r>
          </w:p>
          <w:p>
            <w:pPr>
              <w:ind w:firstLine="480" w:firstLineChars="200"/>
              <w:rPr>
                <w:rFonts w:ascii="仿宋" w:hAnsi="仿宋" w:eastAsia="仿宋"/>
                <w:sz w:val="24"/>
                <w:highlight w:val="none"/>
              </w:rPr>
            </w:pPr>
            <w:r>
              <w:rPr>
                <w:rFonts w:hint="eastAsia" w:ascii="仿宋" w:hAnsi="仿宋" w:eastAsia="仿宋"/>
                <w:sz w:val="24"/>
                <w:highlight w:val="none"/>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第六条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sz w:val="24"/>
                <w:highlight w:val="none"/>
              </w:rPr>
              <w:t>使用远程交易席位，应当按照远程交易席位数量按年</w:t>
            </w:r>
            <w:r>
              <w:rPr>
                <w:rFonts w:hint="eastAsia" w:ascii="仿宋" w:hAnsi="仿宋" w:eastAsia="仿宋"/>
                <w:sz w:val="24"/>
                <w:highlight w:val="none"/>
                <w:lang w:eastAsia="zh-CN"/>
              </w:rPr>
              <w:t>交纳</w:t>
            </w:r>
            <w:r>
              <w:rPr>
                <w:rFonts w:hint="eastAsia" w:ascii="仿宋" w:hAnsi="仿宋" w:eastAsia="仿宋"/>
                <w:sz w:val="24"/>
                <w:highlight w:val="none"/>
              </w:rPr>
              <w:t>远程交易席位使用费。撤销远程交易席位的，已收取的远程交易席位</w:t>
            </w:r>
            <w:r>
              <w:rPr>
                <w:rFonts w:hint="eastAsia" w:ascii="仿宋" w:hAnsi="仿宋" w:eastAsia="仿宋"/>
                <w:sz w:val="24"/>
                <w:highlight w:val="none"/>
                <w:lang w:eastAsia="zh-CN"/>
              </w:rPr>
              <w:t>使用</w:t>
            </w:r>
            <w:r>
              <w:rPr>
                <w:rFonts w:hint="eastAsia" w:ascii="仿宋" w:hAnsi="仿宋" w:eastAsia="仿宋"/>
                <w:sz w:val="24"/>
                <w:highlight w:val="none"/>
              </w:rPr>
              <w:t>费不予退还。</w:t>
            </w:r>
          </w:p>
          <w:p>
            <w:pPr>
              <w:ind w:firstLine="480" w:firstLineChars="200"/>
              <w:rPr>
                <w:rFonts w:ascii="仿宋" w:hAnsi="仿宋" w:eastAsia="仿宋"/>
                <w:sz w:val="24"/>
                <w:highlight w:val="none"/>
              </w:rPr>
            </w:pPr>
            <w:r>
              <w:rPr>
                <w:rFonts w:hint="eastAsia" w:ascii="仿宋" w:hAnsi="仿宋" w:eastAsia="仿宋"/>
                <w:sz w:val="24"/>
                <w:highlight w:val="none"/>
              </w:rPr>
              <w:t>……</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第七条</w:t>
            </w:r>
            <w:r>
              <w:rPr>
                <w:rFonts w:hint="eastAsia" w:ascii="仿宋" w:hAnsi="仿宋" w:eastAsia="仿宋"/>
                <w:sz w:val="24"/>
                <w:highlight w:val="none"/>
              </w:rPr>
              <w:t xml:space="preserve"> 会员申请远程交易席位，应当具备下列条件：</w:t>
            </w:r>
          </w:p>
          <w:p>
            <w:pPr>
              <w:ind w:firstLine="480" w:firstLineChars="200"/>
              <w:rPr>
                <w:rFonts w:ascii="仿宋" w:hAnsi="仿宋" w:eastAsia="仿宋"/>
                <w:sz w:val="24"/>
                <w:highlight w:val="none"/>
              </w:rPr>
            </w:pPr>
            <w:r>
              <w:rPr>
                <w:rFonts w:hint="eastAsia" w:ascii="仿宋" w:hAnsi="仿宋" w:eastAsia="仿宋"/>
                <w:sz w:val="24"/>
                <w:highlight w:val="none"/>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第七条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sz w:val="24"/>
                <w:highlight w:val="none"/>
              </w:rPr>
              <w:t>申请远程交易席位，应当具备下列条件：</w:t>
            </w:r>
          </w:p>
          <w:p>
            <w:pPr>
              <w:ind w:firstLine="480" w:firstLineChars="200"/>
              <w:rPr>
                <w:rFonts w:ascii="仿宋" w:hAnsi="仿宋" w:eastAsia="仿宋"/>
                <w:sz w:val="24"/>
                <w:highlight w:val="none"/>
              </w:rPr>
            </w:pPr>
            <w:r>
              <w:rPr>
                <w:rFonts w:hint="eastAsia" w:ascii="仿宋" w:hAnsi="仿宋" w:eastAsia="仿宋"/>
                <w:sz w:val="24"/>
                <w:highlight w:val="none"/>
              </w:rPr>
              <w:t>……</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第八条</w:t>
            </w:r>
            <w:r>
              <w:rPr>
                <w:rFonts w:hint="eastAsia" w:ascii="仿宋" w:hAnsi="仿宋" w:eastAsia="仿宋"/>
                <w:sz w:val="24"/>
                <w:highlight w:val="none"/>
              </w:rPr>
              <w:t xml:space="preserve"> 会员申请远程交易席位，应当通过会员服务系统向交易所提交下列材料：</w:t>
            </w:r>
          </w:p>
          <w:p>
            <w:pPr>
              <w:ind w:firstLine="480" w:firstLineChars="200"/>
              <w:rPr>
                <w:rFonts w:ascii="仿宋" w:hAnsi="仿宋" w:eastAsia="仿宋"/>
                <w:sz w:val="24"/>
                <w:highlight w:val="none"/>
              </w:rPr>
            </w:pPr>
            <w:r>
              <w:rPr>
                <w:rFonts w:hint="eastAsia" w:ascii="仿宋" w:hAnsi="仿宋" w:eastAsia="仿宋"/>
                <w:sz w:val="24"/>
                <w:highlight w:val="none"/>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第八条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sz w:val="24"/>
                <w:highlight w:val="none"/>
              </w:rPr>
              <w:t>申请远程交易席位，应当通过会员服务系统向交易所提交下列材料：</w:t>
            </w:r>
          </w:p>
          <w:p>
            <w:pPr>
              <w:ind w:firstLine="480" w:firstLineChars="200"/>
              <w:rPr>
                <w:rFonts w:ascii="仿宋" w:hAnsi="仿宋" w:eastAsia="仿宋"/>
                <w:sz w:val="24"/>
                <w:highlight w:val="none"/>
              </w:rPr>
            </w:pPr>
            <w:r>
              <w:rPr>
                <w:rFonts w:hint="eastAsia" w:ascii="仿宋" w:hAnsi="仿宋" w:eastAsia="仿宋"/>
                <w:sz w:val="24"/>
                <w:highlight w:val="none"/>
              </w:rPr>
              <w:t>……</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交易所应当在收到会员提交的远程交易席位申请材料之日起10个工作日内，作出是否批准的答复。</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w:t>
            </w:r>
            <w:r>
              <w:rPr>
                <w:rFonts w:hint="eastAsia" w:ascii="仿宋" w:hAnsi="仿宋" w:eastAsia="仿宋"/>
                <w:sz w:val="24"/>
                <w:highlight w:val="none"/>
                <w:lang w:eastAsia="zh-CN"/>
              </w:rPr>
              <w:t>交易所应当在</w:t>
            </w:r>
            <w:r>
              <w:rPr>
                <w:rFonts w:hint="eastAsia" w:ascii="仿宋" w:hAnsi="仿宋" w:eastAsia="仿宋"/>
                <w:sz w:val="24"/>
                <w:highlight w:val="none"/>
              </w:rPr>
              <w:t>收到会员</w:t>
            </w:r>
            <w:r>
              <w:rPr>
                <w:rFonts w:hint="eastAsia" w:ascii="仿宋" w:hAnsi="仿宋" w:eastAsia="仿宋"/>
                <w:b/>
                <w:sz w:val="24"/>
                <w:highlight w:val="none"/>
                <w:u w:val="single"/>
              </w:rPr>
              <w:t>、境外特殊参与者</w:t>
            </w:r>
            <w:r>
              <w:rPr>
                <w:rFonts w:hint="eastAsia" w:ascii="仿宋" w:hAnsi="仿宋" w:eastAsia="仿宋"/>
                <w:sz w:val="24"/>
                <w:highlight w:val="none"/>
              </w:rPr>
              <w:t>提交的远程交易席位申请</w:t>
            </w:r>
            <w:r>
              <w:rPr>
                <w:rFonts w:hint="eastAsia" w:ascii="仿宋" w:hAnsi="仿宋" w:eastAsia="仿宋"/>
                <w:sz w:val="24"/>
                <w:highlight w:val="none"/>
                <w:lang w:eastAsia="zh-CN"/>
              </w:rPr>
              <w:t>材料</w:t>
            </w:r>
            <w:r>
              <w:rPr>
                <w:rFonts w:hint="eastAsia" w:ascii="仿宋" w:hAnsi="仿宋" w:eastAsia="仿宋"/>
                <w:sz w:val="24"/>
                <w:highlight w:val="none"/>
              </w:rPr>
              <w:t>之日起10个工作日内，作出是否批准的答复。</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会员申请开设远程交易席位的，其远程交易信息系统软件、网络接入应当通过交易所测试。</w:t>
            </w:r>
          </w:p>
          <w:p>
            <w:pPr>
              <w:ind w:firstLine="480" w:firstLineChars="200"/>
              <w:rPr>
                <w:rFonts w:ascii="仿宋" w:hAnsi="仿宋" w:eastAsia="仿宋"/>
                <w:sz w:val="24"/>
                <w:highlight w:val="none"/>
              </w:rPr>
            </w:pPr>
            <w:r>
              <w:rPr>
                <w:rFonts w:hint="eastAsia" w:ascii="仿宋" w:hAnsi="仿宋" w:eastAsia="仿宋"/>
                <w:sz w:val="24"/>
                <w:highlight w:val="none"/>
              </w:rPr>
              <w:t>会员不得通过远程交易席位及相关网络进行任何可能对交易所交易系统产生危害的行为。</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sz w:val="24"/>
                <w:highlight w:val="none"/>
              </w:rPr>
              <w:t>申请开设远程交易席位的，其远程交易信息系统软件、网络接入应当通过交易所测试。</w:t>
            </w:r>
          </w:p>
          <w:p>
            <w:pPr>
              <w:ind w:firstLine="480" w:firstLineChars="200"/>
              <w:rPr>
                <w:rFonts w:ascii="仿宋" w:hAnsi="仿宋" w:eastAsia="仿宋"/>
                <w:sz w:val="24"/>
                <w:highlight w:val="none"/>
              </w:rPr>
            </w:pPr>
            <w:r>
              <w:rPr>
                <w:rFonts w:hint="eastAsia" w:ascii="仿宋" w:hAnsi="仿宋" w:eastAsia="仿宋"/>
                <w:sz w:val="24"/>
                <w:highlight w:val="none"/>
              </w:rPr>
              <w:t>会员</w:t>
            </w:r>
            <w:r>
              <w:rPr>
                <w:rFonts w:hint="eastAsia" w:ascii="仿宋" w:hAnsi="仿宋" w:eastAsia="仿宋"/>
                <w:b/>
                <w:sz w:val="24"/>
                <w:highlight w:val="none"/>
                <w:u w:val="single"/>
              </w:rPr>
              <w:t>、境外特殊参与者</w:t>
            </w:r>
            <w:r>
              <w:rPr>
                <w:rFonts w:hint="eastAsia" w:ascii="仿宋" w:hAnsi="仿宋" w:eastAsia="仿宋"/>
                <w:sz w:val="24"/>
                <w:highlight w:val="none"/>
              </w:rPr>
              <w:t>不得通过远程交易席位及相关网络进行任何可能对交易所交易系统产生危害的行为。</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第十一条</w:t>
            </w:r>
            <w:r>
              <w:rPr>
                <w:rFonts w:hint="eastAsia" w:ascii="仿宋" w:hAnsi="仿宋" w:eastAsia="仿宋"/>
                <w:sz w:val="24"/>
                <w:highlight w:val="none"/>
              </w:rPr>
              <w:t xml:space="preserve"> 日盘交易时段内，会员远程交易席位不能正常使用的，可以申请使用应急交易场所进行交易。</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第十一条</w:t>
            </w:r>
            <w:r>
              <w:rPr>
                <w:rFonts w:hint="eastAsia" w:ascii="仿宋" w:hAnsi="仿宋" w:eastAsia="仿宋"/>
                <w:sz w:val="24"/>
                <w:highlight w:val="none"/>
              </w:rPr>
              <w:t xml:space="preserve"> 日盘交易时段内，会员</w:t>
            </w:r>
            <w:r>
              <w:rPr>
                <w:rFonts w:hint="eastAsia" w:ascii="仿宋" w:hAnsi="仿宋" w:eastAsia="仿宋"/>
                <w:b/>
                <w:sz w:val="24"/>
                <w:highlight w:val="none"/>
                <w:u w:val="single"/>
              </w:rPr>
              <w:t>、境外特殊参与者</w:t>
            </w:r>
            <w:r>
              <w:rPr>
                <w:rFonts w:hint="eastAsia" w:ascii="仿宋" w:hAnsi="仿宋" w:eastAsia="仿宋"/>
                <w:sz w:val="24"/>
                <w:highlight w:val="none"/>
              </w:rPr>
              <w:t>远程交易席位不能正常使用</w:t>
            </w:r>
            <w:r>
              <w:rPr>
                <w:rFonts w:hint="eastAsia" w:ascii="仿宋" w:hAnsi="仿宋" w:eastAsia="仿宋"/>
                <w:sz w:val="24"/>
                <w:highlight w:val="none"/>
                <w:lang w:eastAsia="zh-CN"/>
              </w:rPr>
              <w:t>的</w:t>
            </w:r>
            <w:r>
              <w:rPr>
                <w:rFonts w:hint="eastAsia" w:ascii="仿宋" w:hAnsi="仿宋" w:eastAsia="仿宋"/>
                <w:sz w:val="24"/>
                <w:highlight w:val="none"/>
              </w:rPr>
              <w:t>，可以申请使用应急交易场所</w:t>
            </w:r>
            <w:r>
              <w:rPr>
                <w:rFonts w:hint="eastAsia" w:ascii="仿宋" w:hAnsi="仿宋" w:eastAsia="仿宋"/>
                <w:sz w:val="24"/>
                <w:highlight w:val="none"/>
                <w:lang w:eastAsia="zh-CN"/>
              </w:rPr>
              <w:t>进行交易</w:t>
            </w:r>
            <w:r>
              <w:rPr>
                <w:rFonts w:hint="eastAsia" w:ascii="仿宋" w:hAnsi="仿宋" w:eastAsia="仿宋"/>
                <w:sz w:val="24"/>
                <w:highlight w:val="none"/>
              </w:rPr>
              <w:t>。</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第十二条</w:t>
            </w:r>
            <w:r>
              <w:rPr>
                <w:rFonts w:hint="eastAsia" w:ascii="仿宋" w:hAnsi="仿宋" w:eastAsia="仿宋"/>
                <w:sz w:val="24"/>
                <w:highlight w:val="none"/>
              </w:rPr>
              <w:t xml:space="preserve"> 会员应当加强对其远程交易席位的管理和远程交易系统的维护。会员主要交易设施需要更换或者远程交易系统升级时，应当及时向交易所报备。交易所有权对远程交易席位的使用情况进行监督检查。因公共通信网络或者第三方交易软件原因导致远程交易席位不能正常使用的，交易所不承担责任。</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第十二条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sz w:val="24"/>
                <w:highlight w:val="none"/>
              </w:rPr>
              <w:t>应当加强对其远程交易席位的管理和远程交易系统的维护。</w:t>
            </w:r>
            <w:r>
              <w:rPr>
                <w:rFonts w:hint="eastAsia" w:ascii="仿宋" w:hAnsi="仿宋" w:eastAsia="仿宋"/>
                <w:sz w:val="24"/>
                <w:highlight w:val="none"/>
                <w:shd w:val="clear" w:color="auto" w:fill="auto"/>
              </w:rPr>
              <w:t>会员</w:t>
            </w:r>
            <w:r>
              <w:rPr>
                <w:rFonts w:hint="eastAsia" w:ascii="仿宋" w:hAnsi="仿宋" w:eastAsia="仿宋" w:cs="仿宋"/>
                <w:b/>
                <w:bCs/>
                <w:highlight w:val="none"/>
                <w:u w:val="single"/>
                <w:lang w:eastAsia="zh-CN"/>
              </w:rPr>
              <w:t>、</w:t>
            </w:r>
            <w:r>
              <w:rPr>
                <w:rFonts w:hint="eastAsia" w:ascii="仿宋" w:hAnsi="仿宋" w:eastAsia="仿宋" w:cs="仿宋"/>
                <w:b/>
                <w:bCs/>
                <w:sz w:val="24"/>
                <w:highlight w:val="none"/>
                <w:u w:val="single"/>
                <w:lang w:eastAsia="zh-CN"/>
              </w:rPr>
              <w:t>境外特殊参与者</w:t>
            </w:r>
            <w:r>
              <w:rPr>
                <w:rFonts w:hint="eastAsia" w:ascii="仿宋" w:hAnsi="仿宋" w:eastAsia="仿宋"/>
                <w:sz w:val="24"/>
                <w:highlight w:val="none"/>
              </w:rPr>
              <w:t>主要交易设施需要更换或者远程交易系统升级时，应当及时向交易所报备。交易所有权对远程交易席位的使用情况进行监督检查。因公共通信网络或者第三方交易软件原因导致远程交易席位不能正常使用的，交易所不承担责任。</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非交易所管理原因，应急交易场所的计算机终端或者前置服务器自身发生故障，需要交易所为会员更换交易设施或者重新连接交易系统的，交易所不承担责任。</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非交易所管理原因，应急交易</w:t>
            </w:r>
            <w:r>
              <w:rPr>
                <w:rFonts w:hint="eastAsia" w:ascii="仿宋" w:hAnsi="仿宋" w:eastAsia="仿宋"/>
                <w:sz w:val="24"/>
                <w:highlight w:val="none"/>
                <w:lang w:eastAsia="zh-CN"/>
              </w:rPr>
              <w:t>场所的计算机</w:t>
            </w:r>
            <w:r>
              <w:rPr>
                <w:rFonts w:hint="eastAsia" w:ascii="仿宋" w:hAnsi="仿宋" w:eastAsia="仿宋"/>
                <w:sz w:val="24"/>
                <w:highlight w:val="none"/>
              </w:rPr>
              <w:t>终端或者前置服务器自身发生故障，需要交易所为会员</w:t>
            </w:r>
            <w:r>
              <w:rPr>
                <w:rFonts w:hint="eastAsia" w:ascii="仿宋" w:hAnsi="仿宋" w:eastAsia="仿宋"/>
                <w:b/>
                <w:sz w:val="24"/>
                <w:highlight w:val="none"/>
                <w:u w:val="single"/>
              </w:rPr>
              <w:t>、境外特殊参与者</w:t>
            </w:r>
            <w:r>
              <w:rPr>
                <w:rFonts w:hint="eastAsia" w:ascii="仿宋" w:hAnsi="仿宋" w:eastAsia="仿宋"/>
                <w:sz w:val="24"/>
                <w:highlight w:val="none"/>
              </w:rPr>
              <w:t>更换交易设施或者重新连接交易系统的，交易所不承担责任。</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第十四条</w:t>
            </w:r>
            <w:r>
              <w:rPr>
                <w:rFonts w:hint="eastAsia" w:ascii="仿宋" w:hAnsi="仿宋" w:eastAsia="仿宋"/>
                <w:sz w:val="24"/>
                <w:highlight w:val="none"/>
              </w:rPr>
              <w:t xml:space="preserve"> 有下列情况之一的，交易席位予以撤销：</w:t>
            </w:r>
          </w:p>
          <w:p>
            <w:pPr>
              <w:ind w:firstLine="480" w:firstLineChars="200"/>
              <w:rPr>
                <w:rFonts w:ascii="仿宋" w:hAnsi="仿宋" w:eastAsia="仿宋"/>
                <w:sz w:val="24"/>
                <w:highlight w:val="none"/>
              </w:rPr>
            </w:pPr>
            <w:r>
              <w:rPr>
                <w:rFonts w:hint="eastAsia" w:ascii="仿宋" w:hAnsi="仿宋" w:eastAsia="仿宋"/>
                <w:sz w:val="24"/>
                <w:highlight w:val="none"/>
              </w:rPr>
              <w:t>（一）会员提出撤销申请，</w:t>
            </w:r>
            <w:r>
              <w:rPr>
                <w:rFonts w:hint="eastAsia" w:ascii="仿宋" w:hAnsi="仿宋" w:eastAsia="仿宋"/>
                <w:sz w:val="24"/>
                <w:highlight w:val="none"/>
                <w:lang w:eastAsia="zh-CN"/>
              </w:rPr>
              <w:t>并</w:t>
            </w:r>
            <w:r>
              <w:rPr>
                <w:rFonts w:hint="eastAsia" w:ascii="仿宋" w:hAnsi="仿宋" w:eastAsia="仿宋"/>
                <w:sz w:val="24"/>
                <w:highlight w:val="none"/>
              </w:rPr>
              <w:t>经交易所批准的；</w:t>
            </w:r>
          </w:p>
          <w:p>
            <w:pPr>
              <w:ind w:firstLine="480" w:firstLineChars="200"/>
              <w:rPr>
                <w:rFonts w:ascii="仿宋" w:hAnsi="仿宋" w:eastAsia="仿宋"/>
                <w:sz w:val="24"/>
                <w:highlight w:val="none"/>
              </w:rPr>
            </w:pPr>
            <w:r>
              <w:rPr>
                <w:rFonts w:hint="eastAsia" w:ascii="仿宋" w:hAnsi="仿宋" w:eastAsia="仿宋"/>
                <w:sz w:val="24"/>
                <w:highlight w:val="none"/>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第十四条</w:t>
            </w:r>
            <w:r>
              <w:rPr>
                <w:rFonts w:hint="eastAsia" w:ascii="仿宋" w:hAnsi="仿宋" w:eastAsia="仿宋"/>
                <w:sz w:val="24"/>
                <w:highlight w:val="none"/>
              </w:rPr>
              <w:t xml:space="preserve"> 有下列情况之一的，交易席位予以撤销：</w:t>
            </w:r>
          </w:p>
          <w:p>
            <w:pPr>
              <w:ind w:firstLine="480" w:firstLineChars="200"/>
              <w:rPr>
                <w:rFonts w:ascii="仿宋" w:hAnsi="仿宋" w:eastAsia="仿宋"/>
                <w:sz w:val="24"/>
                <w:highlight w:val="none"/>
              </w:rPr>
            </w:pPr>
            <w:r>
              <w:rPr>
                <w:rFonts w:hint="eastAsia" w:ascii="仿宋" w:hAnsi="仿宋" w:eastAsia="仿宋"/>
                <w:sz w:val="24"/>
                <w:highlight w:val="none"/>
              </w:rPr>
              <w:t>（一）会员</w:t>
            </w:r>
            <w:r>
              <w:rPr>
                <w:rFonts w:hint="eastAsia" w:ascii="仿宋" w:hAnsi="仿宋" w:eastAsia="仿宋"/>
                <w:b/>
                <w:sz w:val="24"/>
                <w:highlight w:val="none"/>
                <w:u w:val="single"/>
              </w:rPr>
              <w:t>、境外特殊参与者</w:t>
            </w:r>
            <w:r>
              <w:rPr>
                <w:rFonts w:hint="eastAsia" w:ascii="仿宋" w:hAnsi="仿宋" w:eastAsia="仿宋"/>
                <w:sz w:val="24"/>
                <w:highlight w:val="none"/>
              </w:rPr>
              <w:t>提出撤销申请，</w:t>
            </w:r>
            <w:r>
              <w:rPr>
                <w:rFonts w:hint="eastAsia" w:ascii="仿宋" w:hAnsi="仿宋" w:eastAsia="仿宋"/>
                <w:sz w:val="24"/>
                <w:highlight w:val="none"/>
                <w:lang w:eastAsia="zh-CN"/>
              </w:rPr>
              <w:t>并</w:t>
            </w:r>
            <w:r>
              <w:rPr>
                <w:rFonts w:hint="eastAsia" w:ascii="仿宋" w:hAnsi="仿宋" w:eastAsia="仿宋"/>
                <w:sz w:val="24"/>
                <w:highlight w:val="none"/>
              </w:rPr>
              <w:t>经交易所批准的；</w:t>
            </w:r>
          </w:p>
          <w:p>
            <w:pPr>
              <w:ind w:firstLine="480" w:firstLineChars="200"/>
              <w:rPr>
                <w:rFonts w:ascii="仿宋" w:hAnsi="仿宋" w:eastAsia="仿宋"/>
                <w:sz w:val="24"/>
                <w:highlight w:val="none"/>
              </w:rPr>
            </w:pPr>
            <w:r>
              <w:rPr>
                <w:rFonts w:hint="eastAsia" w:ascii="仿宋" w:hAnsi="仿宋" w:eastAsia="仿宋"/>
                <w:sz w:val="24"/>
                <w:highlight w:val="none"/>
              </w:rPr>
              <w:t>……</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第十五条</w:t>
            </w:r>
            <w:r>
              <w:rPr>
                <w:rFonts w:hint="eastAsia" w:ascii="仿宋" w:hAnsi="仿宋" w:eastAsia="仿宋"/>
                <w:sz w:val="24"/>
                <w:highlight w:val="none"/>
              </w:rPr>
              <w:t xml:space="preserve"> 会员丧失交易所会员资格的，其拥有的</w:t>
            </w:r>
            <w:r>
              <w:rPr>
                <w:rFonts w:hint="eastAsia" w:ascii="仿宋" w:hAnsi="仿宋" w:eastAsia="仿宋"/>
                <w:sz w:val="24"/>
                <w:highlight w:val="none"/>
                <w:lang w:eastAsia="zh-CN"/>
              </w:rPr>
              <w:t>远程</w:t>
            </w:r>
            <w:r>
              <w:rPr>
                <w:rFonts w:hint="eastAsia" w:ascii="仿宋" w:hAnsi="仿宋" w:eastAsia="仿宋"/>
                <w:sz w:val="24"/>
                <w:highlight w:val="none"/>
              </w:rPr>
              <w:t>交易席位全部终止使用。</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hint="eastAsia" w:ascii="仿宋" w:hAnsi="仿宋" w:eastAsia="仿宋"/>
                <w:sz w:val="24"/>
                <w:highlight w:val="none"/>
                <w:lang w:eastAsia="zh-CN"/>
              </w:rPr>
            </w:pPr>
            <w:r>
              <w:rPr>
                <w:rFonts w:hint="eastAsia" w:ascii="仿宋" w:hAnsi="仿宋" w:eastAsia="仿宋"/>
                <w:b/>
                <w:sz w:val="24"/>
                <w:highlight w:val="none"/>
              </w:rPr>
              <w:t>第十五条</w:t>
            </w:r>
            <w:r>
              <w:rPr>
                <w:rFonts w:hint="eastAsia" w:ascii="仿宋" w:hAnsi="仿宋" w:eastAsia="仿宋"/>
                <w:sz w:val="24"/>
                <w:highlight w:val="none"/>
              </w:rPr>
              <w:t xml:space="preserve"> 会员丧失</w:t>
            </w:r>
            <w:r>
              <w:rPr>
                <w:rFonts w:hint="eastAsia" w:ascii="仿宋" w:hAnsi="仿宋" w:eastAsia="仿宋"/>
                <w:strike w:val="0"/>
                <w:sz w:val="24"/>
                <w:highlight w:val="none"/>
              </w:rPr>
              <w:t>交易所</w:t>
            </w:r>
            <w:r>
              <w:rPr>
                <w:rFonts w:hint="eastAsia" w:ascii="仿宋" w:hAnsi="仿宋" w:eastAsia="仿宋"/>
                <w:sz w:val="24"/>
                <w:highlight w:val="none"/>
              </w:rPr>
              <w:t>会员资格</w:t>
            </w:r>
            <w:r>
              <w:rPr>
                <w:rFonts w:hint="eastAsia" w:ascii="仿宋" w:hAnsi="仿宋" w:eastAsia="仿宋"/>
                <w:b/>
                <w:sz w:val="24"/>
                <w:highlight w:val="none"/>
                <w:u w:val="single"/>
              </w:rPr>
              <w:t>、境外特殊参与者丧失</w:t>
            </w:r>
            <w:r>
              <w:rPr>
                <w:rFonts w:hint="eastAsia" w:ascii="仿宋" w:hAnsi="仿宋" w:eastAsia="仿宋"/>
                <w:b/>
                <w:sz w:val="24"/>
                <w:highlight w:val="none"/>
                <w:u w:val="single"/>
                <w:lang w:eastAsia="zh-CN"/>
              </w:rPr>
              <w:t>交易所</w:t>
            </w:r>
            <w:r>
              <w:rPr>
                <w:rFonts w:hint="eastAsia" w:ascii="仿宋" w:hAnsi="仿宋" w:eastAsia="仿宋"/>
                <w:b/>
                <w:sz w:val="24"/>
                <w:highlight w:val="none"/>
                <w:u w:val="single"/>
              </w:rPr>
              <w:t>境外特殊参与者资格</w:t>
            </w:r>
            <w:r>
              <w:rPr>
                <w:rFonts w:hint="eastAsia" w:ascii="仿宋" w:hAnsi="仿宋" w:eastAsia="仿宋"/>
                <w:sz w:val="24"/>
                <w:highlight w:val="none"/>
              </w:rPr>
              <w:t>的，其拥有的</w:t>
            </w:r>
            <w:r>
              <w:rPr>
                <w:rFonts w:hint="eastAsia" w:ascii="仿宋" w:hAnsi="仿宋" w:eastAsia="仿宋"/>
                <w:sz w:val="24"/>
                <w:highlight w:val="none"/>
                <w:lang w:eastAsia="zh-CN"/>
              </w:rPr>
              <w:t>远程</w:t>
            </w:r>
            <w:r>
              <w:rPr>
                <w:rFonts w:hint="eastAsia" w:ascii="仿宋" w:hAnsi="仿宋" w:eastAsia="仿宋"/>
                <w:sz w:val="24"/>
                <w:highlight w:val="none"/>
              </w:rPr>
              <w:t>交易席位全部终止使用。</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hint="default" w:ascii="仿宋" w:hAnsi="仿宋" w:eastAsia="仿宋"/>
                <w:sz w:val="24"/>
                <w:highlight w:val="none"/>
                <w:lang w:val="en-US" w:eastAsia="zh-CN"/>
              </w:rPr>
            </w:pPr>
            <w:r>
              <w:rPr>
                <w:rFonts w:hint="default" w:ascii="仿宋" w:hAnsi="仿宋" w:eastAsia="仿宋"/>
                <w:b/>
                <w:bCs/>
                <w:sz w:val="24"/>
                <w:highlight w:val="none"/>
                <w:lang w:val="en-US" w:eastAsia="zh-CN"/>
              </w:rPr>
              <w:t>第十六条</w:t>
            </w:r>
            <w:r>
              <w:rPr>
                <w:rFonts w:hint="default" w:ascii="仿宋" w:hAnsi="仿宋" w:eastAsia="仿宋"/>
                <w:sz w:val="24"/>
                <w:highlight w:val="none"/>
                <w:lang w:val="en-US" w:eastAsia="zh-CN"/>
              </w:rPr>
              <w:t xml:space="preserve"> 出现下列情况时，交易所可以采取调整开市、收市时间，暂停交易，调整相关合约最后交易日、到期日、最后交割日等日期以及其他必要的措施：</w:t>
            </w:r>
          </w:p>
          <w:p>
            <w:pPr>
              <w:ind w:firstLine="480" w:firstLineChars="200"/>
              <w:rPr>
                <w:rFonts w:hint="default" w:ascii="仿宋" w:hAnsi="仿宋" w:eastAsia="仿宋"/>
                <w:sz w:val="24"/>
                <w:highlight w:val="none"/>
                <w:lang w:val="en-US" w:eastAsia="zh-CN"/>
              </w:rPr>
            </w:pPr>
            <w:r>
              <w:rPr>
                <w:rFonts w:hint="default" w:ascii="仿宋" w:hAnsi="仿宋" w:eastAsia="仿宋"/>
                <w:sz w:val="24"/>
                <w:highlight w:val="none"/>
                <w:lang w:val="en-US" w:eastAsia="zh-CN"/>
              </w:rPr>
              <w:t>（一）因计算机系统、通讯系统等交易设施发生故障，致使10%以上的会员不能交易的；</w:t>
            </w:r>
          </w:p>
          <w:p>
            <w:pPr>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hint="default" w:ascii="仿宋" w:hAnsi="仿宋" w:eastAsia="仿宋"/>
                <w:sz w:val="24"/>
                <w:highlight w:val="none"/>
                <w:lang w:val="en-US" w:eastAsia="zh-CN"/>
              </w:rPr>
            </w:pPr>
            <w:r>
              <w:rPr>
                <w:rFonts w:hint="default" w:ascii="仿宋" w:hAnsi="仿宋" w:eastAsia="仿宋"/>
                <w:b/>
                <w:bCs/>
                <w:sz w:val="24"/>
                <w:highlight w:val="none"/>
                <w:lang w:val="en-US" w:eastAsia="zh-CN"/>
              </w:rPr>
              <w:t>第十六条</w:t>
            </w:r>
            <w:r>
              <w:rPr>
                <w:rFonts w:hint="default" w:ascii="仿宋" w:hAnsi="仿宋" w:eastAsia="仿宋"/>
                <w:sz w:val="24"/>
                <w:highlight w:val="none"/>
                <w:lang w:val="en-US" w:eastAsia="zh-CN"/>
              </w:rPr>
              <w:t xml:space="preserve"> 出现下列情况时，交易所可以采取调整开市、收市时间，暂停交易，调整相关合约最后交易日、到期日、最后交割日等日期以及其他必要的措施：</w:t>
            </w:r>
          </w:p>
          <w:p>
            <w:pPr>
              <w:ind w:firstLine="480" w:firstLineChars="200"/>
              <w:rPr>
                <w:rFonts w:hint="default" w:ascii="仿宋" w:hAnsi="仿宋" w:eastAsia="仿宋"/>
                <w:sz w:val="24"/>
                <w:highlight w:val="none"/>
                <w:lang w:val="en-US" w:eastAsia="zh-CN"/>
              </w:rPr>
            </w:pPr>
            <w:r>
              <w:rPr>
                <w:rFonts w:hint="default" w:ascii="仿宋" w:hAnsi="仿宋" w:eastAsia="仿宋"/>
                <w:sz w:val="24"/>
                <w:highlight w:val="none"/>
                <w:lang w:val="en-US" w:eastAsia="zh-CN"/>
              </w:rPr>
              <w:t>（一）因计算机系统、通讯系统等交易设施发生故障，致使10%以上的会员</w:t>
            </w:r>
            <w:r>
              <w:rPr>
                <w:rFonts w:hint="eastAsia" w:ascii="仿宋" w:hAnsi="仿宋" w:eastAsia="仿宋"/>
                <w:b/>
                <w:bCs/>
                <w:sz w:val="24"/>
                <w:highlight w:val="none"/>
                <w:u w:val="single"/>
                <w:lang w:val="en-US" w:eastAsia="zh-CN"/>
              </w:rPr>
              <w:t>及境外特殊参与者</w:t>
            </w:r>
            <w:r>
              <w:rPr>
                <w:rFonts w:hint="default" w:ascii="仿宋" w:hAnsi="仿宋" w:eastAsia="仿宋"/>
                <w:sz w:val="24"/>
                <w:highlight w:val="none"/>
                <w:lang w:val="en-US" w:eastAsia="zh-CN"/>
              </w:rPr>
              <w:t>不能交易的；</w:t>
            </w:r>
          </w:p>
          <w:p>
            <w:pPr>
              <w:ind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bCs/>
                <w:sz w:val="24"/>
                <w:highlight w:val="none"/>
              </w:rPr>
              <w:t>第十八条</w:t>
            </w:r>
            <w:r>
              <w:rPr>
                <w:rFonts w:hint="eastAsia" w:ascii="仿宋" w:hAnsi="仿宋" w:eastAsia="仿宋"/>
                <w:sz w:val="24"/>
                <w:highlight w:val="none"/>
              </w:rPr>
              <w:t xml:space="preserve"> 交易所实行交易编码制度。</w:t>
            </w:r>
          </w:p>
          <w:p>
            <w:pPr>
              <w:ind w:firstLine="480" w:firstLineChars="200"/>
              <w:rPr>
                <w:rFonts w:ascii="仿宋" w:hAnsi="仿宋" w:eastAsia="仿宋"/>
                <w:sz w:val="24"/>
                <w:highlight w:val="none"/>
              </w:rPr>
            </w:pPr>
            <w:r>
              <w:rPr>
                <w:rFonts w:hint="eastAsia" w:ascii="仿宋" w:hAnsi="仿宋" w:eastAsia="仿宋"/>
                <w:sz w:val="24"/>
                <w:highlight w:val="none"/>
              </w:rPr>
              <w:t>交易编码是指由交易所分配给非期货公司会员、客户进行期货交易的专用代码，是其进行交易、结算、交割和标准仓单确认的依据。</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sz w:val="24"/>
                <w:highlight w:val="none"/>
                <w:lang w:eastAsia="zh-CN"/>
              </w:rPr>
              <w:t>十八</w:t>
            </w:r>
            <w:r>
              <w:rPr>
                <w:rFonts w:hint="eastAsia" w:ascii="仿宋" w:hAnsi="仿宋" w:eastAsia="仿宋"/>
                <w:b/>
                <w:sz w:val="24"/>
                <w:highlight w:val="none"/>
              </w:rPr>
              <w:t>条</w:t>
            </w:r>
            <w:r>
              <w:rPr>
                <w:rFonts w:hint="eastAsia" w:ascii="仿宋" w:hAnsi="仿宋" w:eastAsia="仿宋"/>
                <w:sz w:val="24"/>
                <w:highlight w:val="none"/>
              </w:rPr>
              <w:t xml:space="preserve"> 交易所实行交易编码制度。</w:t>
            </w:r>
          </w:p>
          <w:p>
            <w:pPr>
              <w:ind w:firstLine="480" w:firstLineChars="200"/>
              <w:rPr>
                <w:rFonts w:ascii="仿宋" w:hAnsi="仿宋" w:eastAsia="仿宋"/>
                <w:sz w:val="24"/>
                <w:highlight w:val="none"/>
              </w:rPr>
            </w:pPr>
            <w:r>
              <w:rPr>
                <w:rFonts w:hint="eastAsia" w:ascii="仿宋" w:hAnsi="仿宋" w:eastAsia="仿宋"/>
                <w:sz w:val="24"/>
                <w:highlight w:val="none"/>
              </w:rPr>
              <w:t>交易编码是</w:t>
            </w:r>
            <w:r>
              <w:rPr>
                <w:rFonts w:hint="eastAsia" w:ascii="仿宋" w:hAnsi="仿宋" w:eastAsia="仿宋"/>
                <w:sz w:val="24"/>
                <w:highlight w:val="none"/>
                <w:lang w:eastAsia="zh-CN"/>
              </w:rPr>
              <w:t>指</w:t>
            </w:r>
            <w:r>
              <w:rPr>
                <w:rFonts w:hint="eastAsia" w:ascii="仿宋" w:hAnsi="仿宋" w:eastAsia="仿宋"/>
                <w:sz w:val="24"/>
                <w:highlight w:val="none"/>
              </w:rPr>
              <w:t>由交易所分配给非期货公司会员</w:t>
            </w:r>
            <w:r>
              <w:rPr>
                <w:rFonts w:hint="eastAsia" w:ascii="仿宋" w:hAnsi="仿宋" w:eastAsia="仿宋"/>
                <w:b/>
                <w:sz w:val="24"/>
                <w:highlight w:val="none"/>
                <w:u w:val="single"/>
              </w:rPr>
              <w:t>、境外特殊非经纪参与者和</w:t>
            </w:r>
            <w:r>
              <w:rPr>
                <w:rFonts w:hint="eastAsia" w:ascii="仿宋" w:hAnsi="仿宋" w:eastAsia="仿宋"/>
                <w:sz w:val="24"/>
                <w:highlight w:val="none"/>
              </w:rPr>
              <w:t>客户进行期货交易的专用代码，是</w:t>
            </w:r>
            <w:r>
              <w:rPr>
                <w:rFonts w:hint="eastAsia" w:ascii="仿宋" w:hAnsi="仿宋" w:eastAsia="仿宋"/>
                <w:sz w:val="24"/>
                <w:highlight w:val="none"/>
                <w:lang w:eastAsia="zh-CN"/>
              </w:rPr>
              <w:t>其</w:t>
            </w:r>
            <w:r>
              <w:rPr>
                <w:rFonts w:hint="eastAsia" w:ascii="仿宋" w:hAnsi="仿宋" w:eastAsia="仿宋"/>
                <w:sz w:val="24"/>
                <w:highlight w:val="none"/>
              </w:rPr>
              <w:t>进行交易、结算、交割和标准仓单确认的依据。</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bCs/>
                <w:sz w:val="24"/>
                <w:highlight w:val="none"/>
              </w:rPr>
              <w:t>第十九条</w:t>
            </w:r>
            <w:r>
              <w:rPr>
                <w:rFonts w:hint="eastAsia" w:ascii="仿宋" w:hAnsi="仿宋" w:eastAsia="仿宋"/>
                <w:sz w:val="24"/>
                <w:highlight w:val="none"/>
              </w:rPr>
              <w:t xml:space="preserve"> 交易编码由会员号和客户编号两部分12位数字组成，其中前四位数是会员号，后八位数是客户编号。</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b/>
                <w:sz w:val="24"/>
                <w:highlight w:val="none"/>
                <w:u w:val="single"/>
              </w:rPr>
            </w:pPr>
            <w:r>
              <w:rPr>
                <w:rFonts w:hint="eastAsia" w:ascii="仿宋" w:hAnsi="仿宋" w:eastAsia="仿宋"/>
                <w:b/>
                <w:sz w:val="24"/>
                <w:highlight w:val="none"/>
              </w:rPr>
              <w:t>第</w:t>
            </w:r>
            <w:r>
              <w:rPr>
                <w:rFonts w:hint="eastAsia" w:ascii="仿宋" w:hAnsi="仿宋" w:eastAsia="仿宋"/>
                <w:b/>
                <w:sz w:val="24"/>
                <w:highlight w:val="none"/>
                <w:lang w:eastAsia="zh-CN"/>
              </w:rPr>
              <w:t>十九</w:t>
            </w:r>
            <w:r>
              <w:rPr>
                <w:rFonts w:hint="eastAsia" w:ascii="仿宋" w:hAnsi="仿宋" w:eastAsia="仿宋"/>
                <w:b/>
                <w:sz w:val="24"/>
                <w:highlight w:val="none"/>
              </w:rPr>
              <w:t>条</w:t>
            </w:r>
            <w:r>
              <w:rPr>
                <w:rFonts w:hint="eastAsia" w:ascii="仿宋" w:hAnsi="仿宋" w:eastAsia="仿宋"/>
                <w:sz w:val="24"/>
                <w:highlight w:val="none"/>
              </w:rPr>
              <w:t xml:space="preserve"> 交易编码由</w:t>
            </w:r>
            <w:r>
              <w:rPr>
                <w:rFonts w:hint="eastAsia" w:ascii="仿宋" w:hAnsi="仿宋" w:eastAsia="仿宋"/>
                <w:dstrike/>
                <w:sz w:val="24"/>
                <w:highlight w:val="none"/>
              </w:rPr>
              <w:t>会员号和客户编号两部分</w:t>
            </w:r>
            <w:r>
              <w:rPr>
                <w:rFonts w:hint="eastAsia" w:ascii="仿宋" w:hAnsi="仿宋" w:eastAsia="仿宋"/>
                <w:sz w:val="24"/>
                <w:highlight w:val="none"/>
              </w:rPr>
              <w:t>12位数字组成</w:t>
            </w:r>
            <w:r>
              <w:rPr>
                <w:rFonts w:hint="eastAsia" w:ascii="仿宋" w:hAnsi="仿宋" w:eastAsia="仿宋"/>
                <w:b/>
                <w:sz w:val="24"/>
                <w:highlight w:val="none"/>
                <w:u w:val="single"/>
              </w:rPr>
              <w:t>。</w:t>
            </w:r>
            <w:r>
              <w:rPr>
                <w:rFonts w:hint="eastAsia" w:ascii="仿宋" w:hAnsi="仿宋" w:eastAsia="仿宋"/>
                <w:dstrike/>
                <w:sz w:val="24"/>
                <w:highlight w:val="none"/>
              </w:rPr>
              <w:t>，其中</w:t>
            </w:r>
            <w:r>
              <w:rPr>
                <w:rFonts w:hint="eastAsia" w:ascii="仿宋" w:hAnsi="仿宋" w:eastAsia="仿宋"/>
                <w:b/>
                <w:sz w:val="24"/>
                <w:highlight w:val="none"/>
                <w:u w:val="single"/>
              </w:rPr>
              <w:t>期货公司会员的客户交易编码</w:t>
            </w:r>
            <w:r>
              <w:rPr>
                <w:rFonts w:hint="eastAsia" w:ascii="仿宋" w:hAnsi="仿宋" w:eastAsia="仿宋"/>
                <w:sz w:val="24"/>
                <w:highlight w:val="none"/>
              </w:rPr>
              <w:t>前四位</w:t>
            </w:r>
            <w:r>
              <w:rPr>
                <w:rFonts w:hint="eastAsia" w:ascii="仿宋" w:hAnsi="仿宋" w:eastAsia="仿宋"/>
                <w:sz w:val="24"/>
                <w:highlight w:val="none"/>
                <w:lang w:eastAsia="zh-CN"/>
              </w:rPr>
              <w:t>数</w:t>
            </w:r>
            <w:r>
              <w:rPr>
                <w:rFonts w:hint="eastAsia" w:ascii="仿宋" w:hAnsi="仿宋" w:eastAsia="仿宋"/>
                <w:sz w:val="24"/>
                <w:highlight w:val="none"/>
              </w:rPr>
              <w:t>是会员号，后八位</w:t>
            </w:r>
            <w:r>
              <w:rPr>
                <w:rFonts w:hint="eastAsia" w:ascii="仿宋" w:hAnsi="仿宋" w:eastAsia="仿宋"/>
                <w:sz w:val="24"/>
                <w:highlight w:val="none"/>
                <w:lang w:eastAsia="zh-CN"/>
              </w:rPr>
              <w:t>数</w:t>
            </w:r>
            <w:r>
              <w:rPr>
                <w:rFonts w:hint="eastAsia" w:ascii="仿宋" w:hAnsi="仿宋" w:eastAsia="仿宋"/>
                <w:sz w:val="24"/>
                <w:highlight w:val="none"/>
              </w:rPr>
              <w:t>是客户编号</w:t>
            </w:r>
            <w:r>
              <w:rPr>
                <w:rFonts w:hint="eastAsia" w:ascii="仿宋" w:hAnsi="仿宋" w:eastAsia="仿宋"/>
                <w:dstrike/>
                <w:sz w:val="24"/>
                <w:highlight w:val="none"/>
              </w:rPr>
              <w:t>。</w:t>
            </w:r>
            <w:r>
              <w:rPr>
                <w:rFonts w:hint="eastAsia" w:ascii="仿宋" w:hAnsi="仿宋" w:eastAsia="仿宋"/>
                <w:b/>
                <w:sz w:val="24"/>
                <w:highlight w:val="none"/>
                <w:u w:val="single"/>
              </w:rPr>
              <w:t>；境外特殊经纪参与者的客户交易编码前四位</w:t>
            </w:r>
            <w:r>
              <w:rPr>
                <w:rFonts w:hint="eastAsia" w:ascii="仿宋" w:hAnsi="仿宋" w:eastAsia="仿宋"/>
                <w:b/>
                <w:sz w:val="24"/>
                <w:highlight w:val="none"/>
                <w:u w:val="single"/>
                <w:lang w:eastAsia="zh-CN"/>
              </w:rPr>
              <w:t>数</w:t>
            </w:r>
            <w:r>
              <w:rPr>
                <w:rFonts w:hint="eastAsia" w:ascii="仿宋" w:hAnsi="仿宋" w:eastAsia="仿宋"/>
                <w:b/>
                <w:sz w:val="24"/>
                <w:highlight w:val="none"/>
                <w:u w:val="single"/>
              </w:rPr>
              <w:t>是境外特殊参与者编号，后八位</w:t>
            </w:r>
            <w:r>
              <w:rPr>
                <w:rFonts w:hint="eastAsia" w:ascii="仿宋" w:hAnsi="仿宋" w:eastAsia="仿宋"/>
                <w:b/>
                <w:sz w:val="24"/>
                <w:highlight w:val="none"/>
                <w:u w:val="single"/>
                <w:lang w:eastAsia="zh-CN"/>
              </w:rPr>
              <w:t>数</w:t>
            </w:r>
            <w:r>
              <w:rPr>
                <w:rFonts w:hint="eastAsia" w:ascii="仿宋" w:hAnsi="仿宋" w:eastAsia="仿宋"/>
                <w:b/>
                <w:sz w:val="24"/>
                <w:highlight w:val="none"/>
                <w:u w:val="single"/>
              </w:rPr>
              <w:t>是客户编号。</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sz w:val="24"/>
                <w:highlight w:val="none"/>
                <w:lang w:eastAsia="zh-CN"/>
              </w:rPr>
              <w:t>二十</w:t>
            </w:r>
            <w:r>
              <w:rPr>
                <w:rFonts w:hint="eastAsia" w:ascii="仿宋" w:hAnsi="仿宋" w:eastAsia="仿宋"/>
                <w:b/>
                <w:sz w:val="24"/>
                <w:highlight w:val="none"/>
              </w:rPr>
              <w:t>条</w:t>
            </w:r>
            <w:r>
              <w:rPr>
                <w:rFonts w:hint="eastAsia" w:ascii="仿宋" w:hAnsi="仿宋" w:eastAsia="仿宋"/>
                <w:sz w:val="24"/>
                <w:highlight w:val="none"/>
              </w:rPr>
              <w:t xml:space="preserve"> 非期货公司会员交易编码原则上为一个，确需增加交易编码的，应当向交易所提交书面申请，并阐明理由。交易所根据交易情况决定是否添加。</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sz w:val="24"/>
                <w:highlight w:val="none"/>
                <w:lang w:eastAsia="zh-CN"/>
              </w:rPr>
              <w:t>二十</w:t>
            </w:r>
            <w:r>
              <w:rPr>
                <w:rFonts w:hint="eastAsia" w:ascii="仿宋" w:hAnsi="仿宋" w:eastAsia="仿宋"/>
                <w:b/>
                <w:sz w:val="24"/>
                <w:highlight w:val="none"/>
              </w:rPr>
              <w:t>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交易编码原则上为一个，确需增加交易编码的，应当向交易所提交书面申请，并阐明理由。交易所根据交易情况决定是否添加。</w:t>
            </w:r>
          </w:p>
        </w:tc>
      </w:tr>
      <w:tr>
        <w:tblPrEx>
          <w:tblCellMar>
            <w:top w:w="0" w:type="dxa"/>
            <w:left w:w="108" w:type="dxa"/>
            <w:bottom w:w="0" w:type="dxa"/>
            <w:right w:w="108" w:type="dxa"/>
          </w:tblCellMar>
        </w:tblPrEx>
        <w:trPr>
          <w:trHeight w:val="416"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hint="eastAsia" w:ascii="仿宋" w:hAnsi="仿宋" w:eastAsia="仿宋"/>
                <w:sz w:val="24"/>
                <w:highlight w:val="none"/>
              </w:rPr>
            </w:pPr>
            <w:r>
              <w:rPr>
                <w:rFonts w:hint="eastAsia" w:ascii="仿宋" w:hAnsi="仿宋" w:eastAsia="仿宋"/>
                <w:b/>
                <w:bCs/>
                <w:sz w:val="24"/>
                <w:highlight w:val="none"/>
              </w:rPr>
              <w:t>第二十一条</w:t>
            </w:r>
            <w:r>
              <w:rPr>
                <w:rFonts w:hint="eastAsia" w:ascii="仿宋" w:hAnsi="仿宋" w:eastAsia="仿宋"/>
                <w:sz w:val="24"/>
                <w:highlight w:val="none"/>
              </w:rPr>
              <w:t xml:space="preserve"> 一个客户同一时期内在交易所只能有一个客户编号，但可以在不同的期货公司会员、境外经纪机构开户，其交易编码前四位会员号不同，后八位客户编号必须相同。</w:t>
            </w:r>
          </w:p>
          <w:p>
            <w:pPr>
              <w:ind w:firstLine="480" w:firstLineChars="200"/>
              <w:rPr>
                <w:rFonts w:ascii="仿宋" w:hAnsi="仿宋" w:eastAsia="仿宋"/>
                <w:sz w:val="24"/>
                <w:highlight w:val="none"/>
              </w:rPr>
            </w:pPr>
            <w:r>
              <w:rPr>
                <w:rFonts w:hint="eastAsia" w:ascii="仿宋" w:hAnsi="仿宋" w:eastAsia="仿宋"/>
                <w:sz w:val="24"/>
                <w:highlight w:val="none"/>
              </w:rPr>
              <w:t>境外客户是指通过期货公司会员直接开户，或者通过境外经纪机构转委托期货公司会员开户的境外交易者。境外客户不得通过同一家期货公司会员同时采取以上两种方式开户，或者同时通过两家境外经纪机构转委托同一家期货公司会员开户。</w:t>
            </w:r>
          </w:p>
          <w:p>
            <w:pPr>
              <w:ind w:firstLine="480" w:firstLineChars="200"/>
              <w:rPr>
                <w:rFonts w:ascii="仿宋" w:hAnsi="仿宋" w:eastAsia="仿宋"/>
                <w:sz w:val="24"/>
                <w:highlight w:val="none"/>
              </w:rPr>
            </w:pPr>
            <w:r>
              <w:rPr>
                <w:rFonts w:hint="eastAsia" w:ascii="仿宋" w:hAnsi="仿宋" w:eastAsia="仿宋"/>
                <w:sz w:val="24"/>
                <w:highlight w:val="none"/>
              </w:rPr>
              <w:t>除交易所业务规则另有规定外，前款所述境外交易者参与特定品种期货交易应当适用交易所业务规则关于客户的相关规定。</w:t>
            </w:r>
          </w:p>
          <w:p>
            <w:pPr>
              <w:ind w:firstLine="481" w:firstLineChars="200"/>
              <w:rPr>
                <w:rFonts w:ascii="仿宋" w:hAnsi="仿宋" w:eastAsia="仿宋"/>
                <w:b/>
                <w:sz w:val="24"/>
                <w:highlight w:val="none"/>
              </w:rPr>
            </w:pPr>
          </w:p>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二</w:t>
            </w:r>
            <w:r>
              <w:rPr>
                <w:rFonts w:hint="eastAsia" w:ascii="仿宋" w:hAnsi="仿宋" w:eastAsia="仿宋"/>
                <w:b/>
                <w:sz w:val="24"/>
                <w:highlight w:val="none"/>
              </w:rPr>
              <w:t>条</w:t>
            </w:r>
            <w:r>
              <w:rPr>
                <w:rFonts w:hint="eastAsia" w:ascii="仿宋" w:hAnsi="仿宋" w:eastAsia="仿宋"/>
                <w:sz w:val="24"/>
                <w:highlight w:val="none"/>
              </w:rPr>
              <w:t xml:space="preserve"> 期货公司会员、境外经纪机构应当按照中国期货市场监控中心有限责任公司（以下简称监控中心）相关开户规定通过监控中心统一开户系统为客户申请、注销交易编码，以及修改与交易编码相关的客户资料。</w:t>
            </w:r>
          </w:p>
          <w:p>
            <w:pPr>
              <w:ind w:firstLine="480" w:firstLineChars="200"/>
              <w:rPr>
                <w:rFonts w:ascii="仿宋" w:hAnsi="仿宋" w:eastAsia="仿宋"/>
                <w:b/>
                <w:sz w:val="24"/>
                <w:highlight w:val="none"/>
              </w:rPr>
            </w:pPr>
            <w:r>
              <w:rPr>
                <w:rFonts w:hint="eastAsia" w:ascii="仿宋" w:hAnsi="仿宋" w:eastAsia="仿宋"/>
                <w:b w:val="0"/>
                <w:sz w:val="24"/>
                <w:highlight w:val="none"/>
              </w:rPr>
              <w:t>根据中国法律、法规和规章规定，需要对资产进行分户管理的证券公司、基金管理公司、信托公司和其他金融机构，以及社会保障类公司、合格境外机构投资者、人民币合格境外机构投资者等特殊单位客户，可以按照监控中心的规定申请交易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trike w:val="0"/>
                <w:dstrike/>
                <w:sz w:val="24"/>
                <w:highlight w:val="none"/>
                <w:lang w:eastAsia="zh-CN"/>
              </w:rPr>
              <w:t>二</w:t>
            </w:r>
            <w:r>
              <w:rPr>
                <w:rFonts w:hint="eastAsia" w:ascii="仿宋" w:hAnsi="仿宋" w:eastAsia="仿宋"/>
                <w:b/>
                <w:sz w:val="24"/>
                <w:highlight w:val="none"/>
                <w:lang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w:t>
            </w:r>
            <w:r>
              <w:rPr>
                <w:rFonts w:hint="eastAsia" w:ascii="仿宋" w:hAnsi="仿宋" w:eastAsia="仿宋"/>
                <w:b/>
                <w:sz w:val="24"/>
                <w:highlight w:val="none"/>
                <w:u w:val="single"/>
              </w:rPr>
              <w:t>（以下统称开户机构）</w:t>
            </w:r>
            <w:r>
              <w:rPr>
                <w:rFonts w:hint="eastAsia" w:ascii="仿宋" w:hAnsi="仿宋" w:eastAsia="仿宋"/>
                <w:sz w:val="24"/>
                <w:highlight w:val="none"/>
              </w:rPr>
              <w:t>应当按照中国期货市场监控中心有限责任公司（以下简称监控中心）相关开户规定通过监控中心统一开户系统为客户申请、注销交易编码，以及修改与交易编码相关的客户资料。</w:t>
            </w:r>
          </w:p>
          <w:p>
            <w:pPr>
              <w:spacing w:line="24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根据中国法律、法规和规章规定，需要对资产进行分户管理的证券公司、基金管理公司、信托公司和其他金融机构，以及社会保障类公司、合格境外机构投资者、人民币合格境外机构投资者等特殊单位客户，可以按照监控中心的规定申请交易编码。</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交易所收到监控中心转发的客户开户申请资料后，对交易编码进行分配、发放和管理，并将各类申请的处理结果通过监控中心反馈给开户机构。</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交易所收到非期货公司会员和境外特殊非经纪参与者的开户申请材料后，对非期货公司会员交易编码和境外特殊非经纪参与者的交易编码进行分配、发放和管理，并将处理结果告知非期货公司会员和境外特殊非经纪参与者。</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交易编码经交易所审核确认后方可使用。</w:t>
            </w:r>
          </w:p>
          <w:p>
            <w:pPr>
              <w:ind w:firstLine="481" w:firstLineChars="200"/>
              <w:rPr>
                <w:rFonts w:ascii="仿宋" w:hAnsi="仿宋" w:eastAsia="仿宋"/>
                <w:b/>
                <w:sz w:val="24"/>
                <w:highlight w:val="none"/>
              </w:rPr>
            </w:pPr>
          </w:p>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trike w:val="0"/>
                <w:dstrike/>
                <w:sz w:val="24"/>
                <w:highlight w:val="none"/>
                <w:lang w:eastAsia="zh-CN"/>
              </w:rPr>
              <w:t>一</w:t>
            </w:r>
            <w:r>
              <w:rPr>
                <w:rFonts w:hint="eastAsia" w:ascii="仿宋" w:hAnsi="仿宋" w:eastAsia="仿宋"/>
                <w:b/>
                <w:sz w:val="24"/>
                <w:highlight w:val="none"/>
                <w:lang w:eastAsia="zh-CN"/>
              </w:rPr>
              <w:t>二</w:t>
            </w:r>
            <w:r>
              <w:rPr>
                <w:rFonts w:hint="eastAsia" w:ascii="仿宋" w:hAnsi="仿宋" w:eastAsia="仿宋"/>
                <w:b/>
                <w:sz w:val="24"/>
                <w:highlight w:val="none"/>
              </w:rPr>
              <w:t xml:space="preserve">条 </w:t>
            </w:r>
            <w:r>
              <w:rPr>
                <w:rFonts w:hint="eastAsia" w:ascii="仿宋" w:hAnsi="仿宋" w:eastAsia="仿宋"/>
                <w:sz w:val="24"/>
                <w:highlight w:val="none"/>
              </w:rPr>
              <w:t>一个客户同一时期内在交易所只能有一个客户编号，但可以在不同的</w:t>
            </w:r>
            <w:r>
              <w:rPr>
                <w:rFonts w:hint="eastAsia" w:ascii="仿宋" w:hAnsi="仿宋" w:eastAsia="仿宋"/>
                <w:b/>
                <w:sz w:val="24"/>
                <w:highlight w:val="none"/>
                <w:u w:val="single"/>
              </w:rPr>
              <w:t>开户机构</w:t>
            </w:r>
            <w:r>
              <w:rPr>
                <w:rFonts w:hint="eastAsia" w:ascii="仿宋" w:hAnsi="仿宋" w:eastAsia="仿宋"/>
                <w:dstrike/>
                <w:sz w:val="24"/>
                <w:highlight w:val="none"/>
              </w:rPr>
              <w:t>期货公司会员、境外经纪机构</w:t>
            </w:r>
            <w:r>
              <w:rPr>
                <w:rFonts w:hint="eastAsia" w:ascii="仿宋" w:hAnsi="仿宋" w:eastAsia="仿宋"/>
                <w:sz w:val="24"/>
                <w:highlight w:val="none"/>
              </w:rPr>
              <w:t>开户</w:t>
            </w:r>
            <w:r>
              <w:rPr>
                <w:rFonts w:hint="eastAsia" w:ascii="仿宋" w:hAnsi="仿宋" w:eastAsia="仿宋"/>
                <w:b/>
                <w:sz w:val="24"/>
                <w:highlight w:val="none"/>
                <w:u w:val="single"/>
              </w:rPr>
              <w:t>。</w:t>
            </w:r>
            <w:r>
              <w:rPr>
                <w:rFonts w:hint="eastAsia" w:ascii="仿宋" w:hAnsi="仿宋" w:eastAsia="仿宋"/>
                <w:dstrike/>
                <w:sz w:val="24"/>
                <w:highlight w:val="none"/>
              </w:rPr>
              <w:t>，</w:t>
            </w:r>
            <w:r>
              <w:rPr>
                <w:rFonts w:hint="eastAsia" w:ascii="仿宋" w:hAnsi="仿宋" w:eastAsia="仿宋"/>
                <w:b/>
                <w:sz w:val="24"/>
                <w:highlight w:val="none"/>
                <w:u w:val="single"/>
              </w:rPr>
              <w:t>在不同开户机构开户的客户，</w:t>
            </w:r>
            <w:r>
              <w:rPr>
                <w:rFonts w:hint="eastAsia" w:ascii="仿宋" w:hAnsi="仿宋" w:eastAsia="仿宋"/>
                <w:sz w:val="24"/>
                <w:highlight w:val="none"/>
              </w:rPr>
              <w:t>其</w:t>
            </w:r>
            <w:r>
              <w:rPr>
                <w:rFonts w:hint="eastAsia" w:ascii="仿宋" w:hAnsi="仿宋" w:eastAsia="仿宋"/>
                <w:dstrike/>
                <w:sz w:val="24"/>
                <w:highlight w:val="none"/>
              </w:rPr>
              <w:t>交易编码</w:t>
            </w:r>
            <w:r>
              <w:rPr>
                <w:rFonts w:hint="eastAsia" w:ascii="仿宋" w:hAnsi="仿宋" w:eastAsia="仿宋"/>
                <w:dstrike/>
                <w:sz w:val="24"/>
                <w:highlight w:val="none"/>
                <w:lang w:eastAsia="zh-CN"/>
              </w:rPr>
              <w:t>前</w:t>
            </w:r>
            <w:r>
              <w:rPr>
                <w:rFonts w:hint="eastAsia" w:ascii="仿宋" w:hAnsi="仿宋" w:eastAsia="仿宋"/>
                <w:dstrike/>
                <w:sz w:val="24"/>
                <w:highlight w:val="none"/>
              </w:rPr>
              <w:t>四位会员号不同，</w:t>
            </w:r>
            <w:r>
              <w:rPr>
                <w:rFonts w:hint="eastAsia" w:ascii="仿宋" w:hAnsi="仿宋" w:eastAsia="仿宋"/>
                <w:dstrike w:val="0"/>
                <w:sz w:val="24"/>
                <w:highlight w:val="none"/>
                <w:lang w:eastAsia="zh-CN"/>
              </w:rPr>
              <w:t>后</w:t>
            </w:r>
            <w:r>
              <w:rPr>
                <w:rFonts w:hint="eastAsia" w:ascii="仿宋" w:hAnsi="仿宋" w:eastAsia="仿宋"/>
                <w:sz w:val="24"/>
                <w:highlight w:val="none"/>
              </w:rPr>
              <w:t>八位客户编号必须相同。</w:t>
            </w:r>
          </w:p>
          <w:p>
            <w:pPr>
              <w:ind w:firstLine="480" w:firstLineChars="200"/>
              <w:rPr>
                <w:rFonts w:ascii="仿宋" w:hAnsi="仿宋" w:eastAsia="仿宋"/>
                <w:dstrike/>
                <w:sz w:val="24"/>
                <w:highlight w:val="none"/>
              </w:rPr>
            </w:pPr>
            <w:r>
              <w:rPr>
                <w:rFonts w:hint="eastAsia" w:ascii="仿宋" w:hAnsi="仿宋" w:eastAsia="仿宋"/>
                <w:dstrike/>
                <w:sz w:val="24"/>
                <w:highlight w:val="none"/>
              </w:rPr>
              <w:t>境外客户是指通过期货公司会员直接开户，或者通过境外经纪机构转委托期货公司会员开户的境外交易者。境外客户不得通过同一家期货公司会员同时采取以上两种方式开户，或者同时通过两家境外经纪机构转委托同一家期货公司会员开户。</w:t>
            </w:r>
          </w:p>
          <w:p>
            <w:pPr>
              <w:ind w:firstLine="480" w:firstLineChars="200"/>
              <w:rPr>
                <w:rFonts w:ascii="仿宋" w:hAnsi="仿宋" w:eastAsia="仿宋"/>
                <w:b/>
                <w:sz w:val="24"/>
                <w:highlight w:val="none"/>
              </w:rPr>
            </w:pPr>
            <w:r>
              <w:rPr>
                <w:rFonts w:hint="eastAsia" w:ascii="仿宋" w:hAnsi="仿宋" w:eastAsia="仿宋"/>
                <w:dstrike/>
                <w:sz w:val="24"/>
                <w:highlight w:val="none"/>
              </w:rPr>
              <w:t>除交易所业务规则另有规定外，前款所述境外交易者参与特定品种期货交易应当适用交易所业务规则关于客户的相关规定。</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期货公司会员、境外经纪机构应当保证客户资料的真实、合法、有效、准确，并妥善保存客户开户、变更及销户资料档案。</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w:t>
            </w:r>
            <w:r>
              <w:rPr>
                <w:rFonts w:hint="eastAsia" w:ascii="仿宋" w:hAnsi="仿宋" w:eastAsia="仿宋"/>
                <w:b/>
                <w:sz w:val="24"/>
                <w:highlight w:val="none"/>
                <w:u w:val="single"/>
              </w:rPr>
              <w:t>开户机构</w:t>
            </w:r>
            <w:r>
              <w:rPr>
                <w:rFonts w:hint="eastAsia" w:ascii="仿宋" w:hAnsi="仿宋" w:eastAsia="仿宋"/>
                <w:dstrike/>
                <w:sz w:val="24"/>
                <w:highlight w:val="none"/>
              </w:rPr>
              <w:t>期货公司会员、境外经纪机构</w:t>
            </w:r>
            <w:r>
              <w:rPr>
                <w:rFonts w:hint="eastAsia" w:ascii="仿宋" w:hAnsi="仿宋" w:eastAsia="仿宋"/>
                <w:sz w:val="24"/>
                <w:highlight w:val="none"/>
              </w:rPr>
              <w:t>应当保证客户资料的真实、合法、有效、准确，并妥善保存客户开户、变更及销户资料档案。</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开户机构对上述资料的保管期限不得少于20年。</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bCs/>
                <w:sz w:val="24"/>
                <w:highlight w:val="none"/>
              </w:rPr>
              <w:t>第二十五条</w:t>
            </w:r>
            <w:r>
              <w:rPr>
                <w:rFonts w:hint="eastAsia" w:ascii="仿宋" w:hAnsi="仿宋" w:eastAsia="仿宋"/>
                <w:sz w:val="24"/>
                <w:highlight w:val="none"/>
              </w:rPr>
              <w:t xml:space="preserve"> 非期货公司会员及客户提供虚假开户资料，或者期货公司会员、境外经纪机构协助客户使用虚假资料开户的，交易所可以责令限期平仓；平仓后注销其交易编码，同时按照《郑州商品交易所违规处理办法》有关规定进行处理。</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五</w:t>
            </w:r>
            <w:r>
              <w:rPr>
                <w:rFonts w:hint="eastAsia" w:ascii="仿宋" w:hAnsi="仿宋" w:eastAsia="仿宋"/>
                <w:b/>
                <w:sz w:val="24"/>
                <w:highlight w:val="none"/>
              </w:rPr>
              <w:t>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及客户提供虚假开户资料或者</w:t>
            </w:r>
            <w:r>
              <w:rPr>
                <w:rFonts w:hint="eastAsia" w:ascii="仿宋" w:hAnsi="仿宋" w:eastAsia="仿宋"/>
                <w:b/>
                <w:sz w:val="24"/>
                <w:highlight w:val="none"/>
                <w:u w:val="single"/>
              </w:rPr>
              <w:t>开户机构</w:t>
            </w:r>
            <w:r>
              <w:rPr>
                <w:rFonts w:hint="eastAsia" w:ascii="仿宋" w:hAnsi="仿宋" w:eastAsia="仿宋"/>
                <w:dstrike/>
                <w:sz w:val="24"/>
                <w:highlight w:val="none"/>
              </w:rPr>
              <w:t>期货公司会员、境外经纪机构</w:t>
            </w:r>
            <w:r>
              <w:rPr>
                <w:rFonts w:hint="eastAsia" w:ascii="仿宋" w:hAnsi="仿宋" w:eastAsia="仿宋"/>
                <w:sz w:val="24"/>
                <w:highlight w:val="none"/>
              </w:rPr>
              <w:t>协助客户使用虚假资料开户的，交易所</w:t>
            </w:r>
            <w:r>
              <w:rPr>
                <w:rFonts w:hint="eastAsia" w:ascii="仿宋" w:hAnsi="仿宋" w:eastAsia="仿宋"/>
                <w:sz w:val="24"/>
                <w:highlight w:val="none"/>
                <w:lang w:eastAsia="zh-CN"/>
              </w:rPr>
              <w:t>可以</w:t>
            </w:r>
            <w:r>
              <w:rPr>
                <w:rFonts w:hint="eastAsia" w:ascii="仿宋" w:hAnsi="仿宋" w:eastAsia="仿宋"/>
                <w:sz w:val="24"/>
                <w:highlight w:val="none"/>
              </w:rPr>
              <w:t>责令限期平仓；平仓后</w:t>
            </w:r>
            <w:r>
              <w:rPr>
                <w:rFonts w:hint="eastAsia" w:ascii="仿宋" w:hAnsi="仿宋" w:eastAsia="仿宋"/>
                <w:sz w:val="24"/>
                <w:highlight w:val="none"/>
                <w:lang w:eastAsia="zh-CN"/>
              </w:rPr>
              <w:t>注销其</w:t>
            </w:r>
            <w:r>
              <w:rPr>
                <w:rFonts w:hint="eastAsia" w:ascii="仿宋" w:hAnsi="仿宋" w:eastAsia="仿宋"/>
                <w:sz w:val="24"/>
                <w:highlight w:val="none"/>
              </w:rPr>
              <w:t>交易编码，同时</w:t>
            </w:r>
            <w:r>
              <w:rPr>
                <w:rFonts w:hint="eastAsia" w:ascii="仿宋" w:hAnsi="仿宋" w:eastAsia="仿宋"/>
                <w:sz w:val="24"/>
                <w:highlight w:val="none"/>
                <w:lang w:eastAsia="zh-CN"/>
              </w:rPr>
              <w:t>按照</w:t>
            </w:r>
            <w:r>
              <w:rPr>
                <w:rFonts w:hint="eastAsia" w:ascii="仿宋" w:hAnsi="仿宋" w:eastAsia="仿宋"/>
                <w:sz w:val="24"/>
                <w:highlight w:val="none"/>
              </w:rPr>
              <w:t>《郑州商品交易所违规处理办法》有关规定进行处理。</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sz w:val="24"/>
                <w:highlight w:val="none"/>
                <w:lang w:eastAsia="zh-CN"/>
              </w:rPr>
              <w:t>九</w:t>
            </w:r>
            <w:r>
              <w:rPr>
                <w:rFonts w:hint="eastAsia" w:ascii="仿宋" w:hAnsi="仿宋" w:eastAsia="仿宋"/>
                <w:b/>
                <w:sz w:val="24"/>
                <w:highlight w:val="none"/>
              </w:rPr>
              <w:t>条</w:t>
            </w:r>
            <w:r>
              <w:rPr>
                <w:rFonts w:hint="eastAsia" w:ascii="仿宋" w:hAnsi="仿宋" w:eastAsia="仿宋"/>
                <w:sz w:val="24"/>
                <w:highlight w:val="none"/>
              </w:rPr>
              <w:t xml:space="preserve"> 每日信息内容主要有：</w:t>
            </w:r>
          </w:p>
          <w:p>
            <w:pPr>
              <w:ind w:firstLine="480" w:firstLineChars="200"/>
              <w:rPr>
                <w:rFonts w:ascii="仿宋" w:hAnsi="仿宋" w:eastAsia="仿宋"/>
                <w:sz w:val="24"/>
                <w:highlight w:val="none"/>
              </w:rPr>
            </w:pPr>
            <w:r>
              <w:rPr>
                <w:rFonts w:hint="eastAsia" w:ascii="仿宋" w:hAnsi="仿宋" w:eastAsia="仿宋"/>
                <w:sz w:val="24"/>
                <w:highlight w:val="none"/>
              </w:rPr>
              <w:t>……</w:t>
            </w:r>
          </w:p>
          <w:p>
            <w:pPr>
              <w:ind w:firstLine="480" w:firstLineChars="200"/>
              <w:rPr>
                <w:rFonts w:ascii="仿宋" w:hAnsi="仿宋" w:eastAsia="仿宋"/>
                <w:sz w:val="24"/>
                <w:highlight w:val="none"/>
              </w:rPr>
            </w:pPr>
            <w:r>
              <w:rPr>
                <w:rFonts w:hint="eastAsia" w:ascii="仿宋" w:hAnsi="仿宋" w:eastAsia="仿宋"/>
                <w:sz w:val="24"/>
                <w:highlight w:val="none"/>
              </w:rPr>
              <w:t>（二）最近交割月及活跃月份合约前20名会员的成交量和买卖持仓量，以及所有月份合约期货转现货量；</w:t>
            </w:r>
          </w:p>
          <w:p>
            <w:pPr>
              <w:ind w:firstLine="480" w:firstLineChars="200"/>
              <w:rPr>
                <w:rFonts w:ascii="仿宋" w:hAnsi="仿宋" w:eastAsia="仿宋"/>
                <w:sz w:val="24"/>
                <w:highlight w:val="none"/>
              </w:rPr>
            </w:pPr>
            <w:r>
              <w:rPr>
                <w:rFonts w:hint="eastAsia" w:ascii="仿宋" w:hAnsi="仿宋" w:eastAsia="仿宋"/>
                <w:sz w:val="24"/>
                <w:highlight w:val="none"/>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sz w:val="24"/>
                <w:highlight w:val="none"/>
                <w:lang w:eastAsia="zh-CN"/>
              </w:rPr>
              <w:t>九</w:t>
            </w:r>
            <w:r>
              <w:rPr>
                <w:rFonts w:hint="eastAsia" w:ascii="仿宋" w:hAnsi="仿宋" w:eastAsia="仿宋"/>
                <w:b/>
                <w:sz w:val="24"/>
                <w:highlight w:val="none"/>
              </w:rPr>
              <w:t>条</w:t>
            </w:r>
            <w:r>
              <w:rPr>
                <w:rFonts w:hint="eastAsia" w:ascii="仿宋" w:hAnsi="仿宋" w:eastAsia="仿宋"/>
                <w:sz w:val="24"/>
                <w:highlight w:val="none"/>
              </w:rPr>
              <w:t xml:space="preserve"> 每日信息内容主要有：</w:t>
            </w:r>
          </w:p>
          <w:p>
            <w:pPr>
              <w:ind w:firstLine="480" w:firstLineChars="200"/>
              <w:rPr>
                <w:rFonts w:ascii="仿宋" w:hAnsi="仿宋" w:eastAsia="仿宋"/>
                <w:sz w:val="24"/>
                <w:highlight w:val="none"/>
              </w:rPr>
            </w:pPr>
            <w:r>
              <w:rPr>
                <w:rFonts w:hint="eastAsia" w:ascii="仿宋" w:hAnsi="仿宋" w:eastAsia="仿宋"/>
                <w:sz w:val="24"/>
                <w:highlight w:val="none"/>
              </w:rPr>
              <w:t>……</w:t>
            </w:r>
          </w:p>
          <w:p>
            <w:pPr>
              <w:ind w:firstLine="480" w:firstLineChars="200"/>
              <w:rPr>
                <w:rFonts w:ascii="仿宋" w:hAnsi="仿宋" w:eastAsia="仿宋"/>
                <w:sz w:val="24"/>
                <w:highlight w:val="none"/>
              </w:rPr>
            </w:pPr>
            <w:r>
              <w:rPr>
                <w:rFonts w:hint="eastAsia" w:ascii="仿宋" w:hAnsi="仿宋" w:eastAsia="仿宋"/>
                <w:sz w:val="24"/>
                <w:highlight w:val="none"/>
              </w:rPr>
              <w:t>（二）最近交割月及活跃月份</w:t>
            </w:r>
            <w:r>
              <w:rPr>
                <w:rFonts w:hint="eastAsia" w:ascii="仿宋" w:hAnsi="仿宋" w:eastAsia="仿宋"/>
                <w:sz w:val="24"/>
                <w:highlight w:val="none"/>
                <w:lang w:eastAsia="zh-CN"/>
              </w:rPr>
              <w:t>合约</w:t>
            </w:r>
            <w:r>
              <w:rPr>
                <w:rFonts w:hint="eastAsia" w:ascii="仿宋" w:hAnsi="仿宋" w:eastAsia="仿宋"/>
                <w:sz w:val="24"/>
                <w:highlight w:val="none"/>
              </w:rPr>
              <w:t>前20名</w:t>
            </w:r>
            <w:r>
              <w:rPr>
                <w:rFonts w:hint="eastAsia" w:ascii="仿宋" w:hAnsi="仿宋" w:eastAsia="仿宋"/>
                <w:b/>
                <w:sz w:val="24"/>
                <w:highlight w:val="none"/>
                <w:u w:val="single"/>
              </w:rPr>
              <w:t>期货公司</w:t>
            </w:r>
            <w:r>
              <w:rPr>
                <w:rFonts w:hint="eastAsia" w:ascii="仿宋" w:hAnsi="仿宋" w:eastAsia="仿宋"/>
                <w:sz w:val="24"/>
                <w:highlight w:val="none"/>
              </w:rPr>
              <w:t>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的成交量和买卖持仓量</w:t>
            </w:r>
            <w:r>
              <w:rPr>
                <w:rFonts w:hint="eastAsia" w:ascii="仿宋" w:hAnsi="仿宋" w:eastAsia="仿宋"/>
                <w:sz w:val="24"/>
                <w:highlight w:val="none"/>
                <w:lang w:eastAsia="zh-CN"/>
              </w:rPr>
              <w:t>，以及</w:t>
            </w:r>
            <w:r>
              <w:rPr>
                <w:rFonts w:hint="eastAsia" w:ascii="仿宋" w:hAnsi="仿宋" w:eastAsia="仿宋"/>
                <w:sz w:val="24"/>
                <w:highlight w:val="none"/>
              </w:rPr>
              <w:t>所有月份</w:t>
            </w:r>
            <w:r>
              <w:rPr>
                <w:rFonts w:hint="eastAsia" w:ascii="仿宋" w:hAnsi="仿宋" w:eastAsia="仿宋"/>
                <w:sz w:val="24"/>
                <w:highlight w:val="none"/>
                <w:lang w:eastAsia="zh-CN"/>
              </w:rPr>
              <w:t>合约期货转现货</w:t>
            </w:r>
            <w:r>
              <w:rPr>
                <w:rFonts w:hint="eastAsia" w:ascii="仿宋" w:hAnsi="仿宋" w:eastAsia="仿宋"/>
                <w:sz w:val="24"/>
                <w:highlight w:val="none"/>
              </w:rPr>
              <w:t>量；</w:t>
            </w:r>
          </w:p>
          <w:p>
            <w:pPr>
              <w:ind w:firstLine="480" w:firstLineChars="200"/>
              <w:rPr>
                <w:rFonts w:ascii="仿宋" w:hAnsi="仿宋" w:eastAsia="仿宋"/>
                <w:sz w:val="24"/>
                <w:highlight w:val="none"/>
              </w:rPr>
            </w:pPr>
            <w:r>
              <w:rPr>
                <w:rFonts w:hint="eastAsia" w:ascii="仿宋" w:hAnsi="仿宋" w:eastAsia="仿宋"/>
                <w:sz w:val="24"/>
                <w:highlight w:val="none"/>
              </w:rPr>
              <w:t>……</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第四十</w:t>
            </w:r>
            <w:r>
              <w:rPr>
                <w:rFonts w:hint="eastAsia" w:ascii="仿宋" w:hAnsi="仿宋" w:eastAsia="仿宋"/>
                <w:b/>
                <w:sz w:val="24"/>
                <w:highlight w:val="none"/>
                <w:lang w:eastAsia="zh-CN"/>
              </w:rPr>
              <w:t>五</w:t>
            </w:r>
            <w:r>
              <w:rPr>
                <w:rFonts w:hint="eastAsia" w:ascii="仿宋" w:hAnsi="仿宋" w:eastAsia="仿宋"/>
                <w:b/>
                <w:sz w:val="24"/>
                <w:highlight w:val="none"/>
              </w:rPr>
              <w:t>条</w:t>
            </w:r>
            <w:r>
              <w:rPr>
                <w:rFonts w:hint="eastAsia" w:ascii="仿宋" w:hAnsi="仿宋" w:eastAsia="仿宋"/>
                <w:sz w:val="24"/>
                <w:highlight w:val="none"/>
              </w:rPr>
              <w:t xml:space="preserve"> 交易所和会员对不宜公开的交易资料、资金情况等信息有保密义务。</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第四十</w:t>
            </w:r>
            <w:r>
              <w:rPr>
                <w:rFonts w:hint="eastAsia" w:ascii="仿宋" w:hAnsi="仿宋" w:eastAsia="仿宋"/>
                <w:b/>
                <w:sz w:val="24"/>
                <w:highlight w:val="none"/>
                <w:lang w:eastAsia="zh-CN"/>
              </w:rPr>
              <w:t>五</w:t>
            </w:r>
            <w:r>
              <w:rPr>
                <w:rFonts w:hint="eastAsia" w:ascii="仿宋" w:hAnsi="仿宋" w:eastAsia="仿宋"/>
                <w:b/>
                <w:sz w:val="24"/>
                <w:highlight w:val="none"/>
              </w:rPr>
              <w:t>条</w:t>
            </w:r>
            <w:r>
              <w:rPr>
                <w:rFonts w:hint="eastAsia" w:ascii="仿宋" w:hAnsi="仿宋" w:eastAsia="仿宋"/>
                <w:sz w:val="24"/>
                <w:highlight w:val="none"/>
              </w:rPr>
              <w:t xml:space="preserve"> 交易所</w:t>
            </w:r>
            <w:r>
              <w:rPr>
                <w:rFonts w:hint="eastAsia" w:ascii="仿宋" w:hAnsi="仿宋" w:eastAsia="仿宋"/>
                <w:dstrike/>
                <w:sz w:val="24"/>
                <w:highlight w:val="none"/>
              </w:rPr>
              <w:t>和</w:t>
            </w:r>
            <w:r>
              <w:rPr>
                <w:rFonts w:hint="eastAsia" w:ascii="仿宋" w:hAnsi="仿宋" w:eastAsia="仿宋"/>
                <w:b/>
                <w:sz w:val="24"/>
                <w:highlight w:val="none"/>
                <w:u w:val="single"/>
              </w:rPr>
              <w:t>、</w:t>
            </w:r>
            <w:r>
              <w:rPr>
                <w:rFonts w:hint="eastAsia" w:ascii="仿宋" w:hAnsi="仿宋" w:eastAsia="仿宋"/>
                <w:sz w:val="24"/>
                <w:highlight w:val="none"/>
              </w:rPr>
              <w:t>会员</w:t>
            </w:r>
            <w:r>
              <w:rPr>
                <w:rFonts w:hint="eastAsia" w:ascii="仿宋" w:hAnsi="仿宋" w:eastAsia="仿宋"/>
                <w:b/>
                <w:sz w:val="24"/>
                <w:highlight w:val="none"/>
                <w:u w:val="single"/>
              </w:rPr>
              <w:t>、境外特殊参与者和境外中介机构等</w:t>
            </w:r>
            <w:r>
              <w:rPr>
                <w:rFonts w:hint="eastAsia" w:ascii="仿宋" w:hAnsi="仿宋" w:eastAsia="仿宋"/>
                <w:sz w:val="24"/>
                <w:highlight w:val="none"/>
              </w:rPr>
              <w:t>对不宜公开的交易资料、资金情况等信息有保密义务。</w:t>
            </w:r>
          </w:p>
        </w:tc>
      </w:tr>
      <w:tr>
        <w:tblPrEx>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第四十</w:t>
            </w:r>
            <w:r>
              <w:rPr>
                <w:rFonts w:hint="eastAsia" w:ascii="仿宋" w:hAnsi="仿宋" w:eastAsia="仿宋"/>
                <w:b/>
                <w:sz w:val="24"/>
                <w:highlight w:val="none"/>
                <w:lang w:eastAsia="zh-CN"/>
              </w:rPr>
              <w:t>六</w:t>
            </w:r>
            <w:r>
              <w:rPr>
                <w:rFonts w:hint="eastAsia" w:ascii="仿宋" w:hAnsi="仿宋" w:eastAsia="仿宋"/>
                <w:b/>
                <w:sz w:val="24"/>
                <w:highlight w:val="none"/>
              </w:rPr>
              <w:t>条</w:t>
            </w:r>
            <w:r>
              <w:rPr>
                <w:rFonts w:hint="eastAsia" w:ascii="仿宋" w:hAnsi="仿宋" w:eastAsia="仿宋"/>
                <w:sz w:val="24"/>
                <w:highlight w:val="none"/>
              </w:rPr>
              <w:t xml:space="preserve"> 因信息技术服务机构或者公共媒体转发交易行情信息发生故障，影响会员或者客户正常交易的，交易所不承担法律责任。</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ind w:firstLine="481" w:firstLineChars="200"/>
              <w:rPr>
                <w:rFonts w:ascii="仿宋" w:hAnsi="仿宋" w:eastAsia="仿宋"/>
                <w:sz w:val="24"/>
                <w:highlight w:val="none"/>
              </w:rPr>
            </w:pPr>
            <w:r>
              <w:rPr>
                <w:rFonts w:hint="eastAsia" w:ascii="仿宋" w:hAnsi="仿宋" w:eastAsia="仿宋"/>
                <w:b/>
                <w:sz w:val="24"/>
                <w:highlight w:val="none"/>
              </w:rPr>
              <w:t>第四十</w:t>
            </w:r>
            <w:r>
              <w:rPr>
                <w:rFonts w:hint="eastAsia" w:ascii="仿宋" w:hAnsi="仿宋" w:eastAsia="仿宋"/>
                <w:b/>
                <w:sz w:val="24"/>
                <w:highlight w:val="none"/>
                <w:lang w:eastAsia="zh-CN"/>
              </w:rPr>
              <w:t>六</w:t>
            </w:r>
            <w:r>
              <w:rPr>
                <w:rFonts w:hint="eastAsia" w:ascii="仿宋" w:hAnsi="仿宋" w:eastAsia="仿宋"/>
                <w:b/>
                <w:sz w:val="24"/>
                <w:highlight w:val="none"/>
              </w:rPr>
              <w:t>条</w:t>
            </w:r>
            <w:r>
              <w:rPr>
                <w:rFonts w:hint="eastAsia" w:ascii="仿宋" w:hAnsi="仿宋" w:eastAsia="仿宋"/>
                <w:sz w:val="24"/>
                <w:highlight w:val="none"/>
              </w:rPr>
              <w:t xml:space="preserve"> 因信息</w:t>
            </w:r>
            <w:r>
              <w:rPr>
                <w:rFonts w:hint="eastAsia" w:ascii="仿宋" w:hAnsi="仿宋" w:eastAsia="仿宋"/>
                <w:sz w:val="24"/>
                <w:highlight w:val="none"/>
                <w:lang w:eastAsia="zh-CN"/>
              </w:rPr>
              <w:t>技术服务</w:t>
            </w:r>
            <w:r>
              <w:rPr>
                <w:rFonts w:hint="eastAsia" w:ascii="仿宋" w:hAnsi="仿宋" w:eastAsia="仿宋"/>
                <w:sz w:val="24"/>
                <w:highlight w:val="none"/>
              </w:rPr>
              <w:t>机构或者</w:t>
            </w:r>
            <w:r>
              <w:rPr>
                <w:rFonts w:hint="eastAsia" w:ascii="仿宋" w:hAnsi="仿宋" w:eastAsia="仿宋"/>
                <w:sz w:val="24"/>
                <w:highlight w:val="none"/>
                <w:lang w:eastAsia="zh-CN"/>
              </w:rPr>
              <w:t>公共</w:t>
            </w:r>
            <w:r>
              <w:rPr>
                <w:rFonts w:hint="eastAsia" w:ascii="仿宋" w:hAnsi="仿宋" w:eastAsia="仿宋"/>
                <w:sz w:val="24"/>
                <w:highlight w:val="none"/>
              </w:rPr>
              <w:t>媒体转发交易行情信息发生故障，影响会员</w:t>
            </w:r>
            <w:r>
              <w:rPr>
                <w:rFonts w:hint="eastAsia" w:ascii="仿宋" w:hAnsi="仿宋" w:eastAsia="仿宋"/>
                <w:b/>
                <w:sz w:val="24"/>
                <w:highlight w:val="none"/>
                <w:u w:val="single"/>
              </w:rPr>
              <w:t>、境外特殊参与者、境外中介</w:t>
            </w:r>
            <w:r>
              <w:rPr>
                <w:rFonts w:hint="eastAsia" w:ascii="仿宋" w:hAnsi="仿宋" w:eastAsia="仿宋"/>
                <w:b/>
                <w:sz w:val="24"/>
                <w:highlight w:val="none"/>
                <w:u w:val="single"/>
                <w:lang w:eastAsia="zh-CN"/>
              </w:rPr>
              <w:t>机构</w:t>
            </w:r>
            <w:r>
              <w:rPr>
                <w:rFonts w:hint="eastAsia" w:ascii="仿宋" w:hAnsi="仿宋" w:eastAsia="仿宋"/>
                <w:sz w:val="24"/>
                <w:highlight w:val="none"/>
              </w:rPr>
              <w:t>或者客户正常交易的，交易所不承担</w:t>
            </w:r>
            <w:r>
              <w:rPr>
                <w:rFonts w:hint="eastAsia" w:ascii="仿宋" w:hAnsi="仿宋" w:eastAsia="仿宋"/>
                <w:sz w:val="24"/>
                <w:highlight w:val="none"/>
                <w:lang w:eastAsia="zh-CN"/>
              </w:rPr>
              <w:t>法律</w:t>
            </w:r>
            <w:r>
              <w:rPr>
                <w:rFonts w:hint="eastAsia" w:ascii="仿宋" w:hAnsi="仿宋" w:eastAsia="仿宋"/>
                <w:sz w:val="24"/>
                <w:highlight w:val="none"/>
              </w:rPr>
              <w:t>责任。</w:t>
            </w:r>
          </w:p>
        </w:tc>
      </w:tr>
    </w:tbl>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sectPr>
          <w:pgSz w:w="11906" w:h="16838"/>
          <w:pgMar w:top="1440" w:right="1800" w:bottom="1440" w:left="1800" w:header="720" w:footer="720" w:gutter="0"/>
          <w:cols w:space="720" w:num="1"/>
          <w:docGrid w:type="lines" w:linePitch="312" w:charSpace="0"/>
        </w:sectPr>
      </w:pPr>
    </w:p>
    <w:p>
      <w:pPr>
        <w:spacing w:after="240"/>
        <w:jc w:val="center"/>
        <w:rPr>
          <w:rFonts w:ascii="黑体" w:hAnsi="黑体" w:eastAsia="黑体"/>
          <w:kern w:val="0"/>
          <w:sz w:val="40"/>
          <w:szCs w:val="40"/>
          <w:highlight w:val="none"/>
        </w:rPr>
      </w:pPr>
      <w:r>
        <w:rPr>
          <w:rFonts w:hint="eastAsia" w:ascii="黑体" w:hAnsi="黑体" w:eastAsia="黑体"/>
          <w:kern w:val="0"/>
          <w:sz w:val="40"/>
          <w:szCs w:val="40"/>
          <w:highlight w:val="none"/>
        </w:rPr>
        <w:t>郑州商品交易所期货交易管理办法</w:t>
      </w:r>
    </w:p>
    <w:p>
      <w:pPr>
        <w:spacing w:before="240" w:after="24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spacing w:line="600" w:lineRule="exact"/>
        <w:jc w:val="center"/>
        <w:rPr>
          <w:rFonts w:ascii="黑体" w:hAnsi="黑体" w:eastAsia="黑体"/>
          <w:sz w:val="32"/>
          <w:szCs w:val="32"/>
          <w:highlight w:val="none"/>
        </w:rPr>
      </w:pPr>
      <w:r>
        <w:rPr>
          <w:rFonts w:hint="eastAsia" w:ascii="黑体" w:hAnsi="黑体" w:eastAsia="黑体"/>
          <w:sz w:val="32"/>
          <w:szCs w:val="32"/>
          <w:highlight w:val="none"/>
        </w:rPr>
        <w:t>第一章 总 则</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第一条</w:t>
      </w:r>
      <w:r>
        <w:rPr>
          <w:rFonts w:ascii="宋体" w:hAnsi="宋体"/>
          <w:sz w:val="28"/>
          <w:szCs w:val="28"/>
          <w:highlight w:val="none"/>
        </w:rPr>
        <w:t xml:space="preserve"> 为了规范期货交易行为，保护期货交易当事人的合法权益，保障郑州商品交易所（以下简称交易所）期货交易的顺利进行，根据《郑州商品交易所交易规则》，制定本办法</w:t>
      </w:r>
      <w:r>
        <w:rPr>
          <w:rFonts w:hint="eastAsia" w:ascii="宋体" w:hAnsi="宋体"/>
          <w:sz w:val="28"/>
          <w:szCs w:val="28"/>
          <w:highlight w:val="none"/>
        </w:rPr>
        <w:t>。</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第二条</w:t>
      </w:r>
      <w:r>
        <w:rPr>
          <w:rFonts w:ascii="宋体" w:hAnsi="宋体"/>
          <w:sz w:val="28"/>
          <w:szCs w:val="28"/>
          <w:highlight w:val="none"/>
        </w:rPr>
        <w:t xml:space="preserve"> 交易所、会员、</w:t>
      </w:r>
      <w:r>
        <w:rPr>
          <w:rFonts w:hint="eastAsia" w:ascii="宋体" w:hAnsi="宋体"/>
          <w:sz w:val="28"/>
          <w:szCs w:val="28"/>
          <w:highlight w:val="none"/>
        </w:rPr>
        <w:t>境外特殊参与者、</w:t>
      </w:r>
      <w:r>
        <w:rPr>
          <w:rFonts w:ascii="宋体" w:hAnsi="宋体"/>
          <w:sz w:val="28"/>
          <w:szCs w:val="28"/>
          <w:highlight w:val="none"/>
        </w:rPr>
        <w:t>境外</w:t>
      </w:r>
      <w:r>
        <w:rPr>
          <w:rFonts w:hint="eastAsia" w:ascii="宋体" w:hAnsi="宋体"/>
          <w:sz w:val="28"/>
          <w:szCs w:val="28"/>
          <w:highlight w:val="none"/>
          <w:lang w:eastAsia="zh-CN"/>
        </w:rPr>
        <w:t>中介</w:t>
      </w:r>
      <w:r>
        <w:rPr>
          <w:rFonts w:ascii="宋体" w:hAnsi="宋体"/>
          <w:sz w:val="28"/>
          <w:szCs w:val="28"/>
          <w:highlight w:val="none"/>
        </w:rPr>
        <w:t>机构、客户、信息技术服务机构等应当遵守本办法</w:t>
      </w:r>
      <w:r>
        <w:rPr>
          <w:rFonts w:hint="eastAsia" w:ascii="宋体" w:hAnsi="宋体"/>
          <w:sz w:val="28"/>
          <w:szCs w:val="28"/>
          <w:highlight w:val="none"/>
        </w:rPr>
        <w:t>。</w:t>
      </w:r>
    </w:p>
    <w:p>
      <w:pPr>
        <w:spacing w:line="360" w:lineRule="auto"/>
        <w:ind w:firstLine="627" w:firstLineChars="196"/>
        <w:jc w:val="center"/>
        <w:rPr>
          <w:rFonts w:ascii="黑体" w:hAnsi="黑体" w:eastAsia="黑体"/>
          <w:sz w:val="32"/>
          <w:szCs w:val="32"/>
          <w:highlight w:val="none"/>
        </w:rPr>
      </w:pPr>
      <w:r>
        <w:rPr>
          <w:rFonts w:hint="eastAsia" w:ascii="黑体" w:hAnsi="黑体" w:eastAsia="黑体"/>
          <w:sz w:val="32"/>
          <w:szCs w:val="32"/>
          <w:highlight w:val="none"/>
        </w:rPr>
        <w:t>第二章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席位管理</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第三条</w:t>
      </w:r>
      <w:r>
        <w:rPr>
          <w:rFonts w:ascii="宋体" w:hAnsi="宋体"/>
          <w:sz w:val="28"/>
          <w:szCs w:val="28"/>
          <w:highlight w:val="none"/>
        </w:rPr>
        <w:t xml:space="preserve"> 交易席位是会员</w:t>
      </w:r>
      <w:r>
        <w:rPr>
          <w:rFonts w:hint="eastAsia" w:ascii="宋体" w:hAnsi="宋体"/>
          <w:sz w:val="28"/>
          <w:szCs w:val="28"/>
          <w:highlight w:val="none"/>
        </w:rPr>
        <w:t>、境外特殊参与者</w:t>
      </w:r>
      <w:r>
        <w:rPr>
          <w:rFonts w:ascii="宋体" w:hAnsi="宋体"/>
          <w:sz w:val="28"/>
          <w:szCs w:val="28"/>
          <w:highlight w:val="none"/>
        </w:rPr>
        <w:t>将交易指令输入交易所计算机交易系统参与集中竞价交易的通道。</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交易所提供的交易席位为远程交易席位。远程交易席位是指会员、境外特殊参与者在其营业场所，通过同交易所计算机交易系统联网的交易信息系统直接输入交易指令，参加交易所集中竞价交易的通道。</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根据业务发展需要，交易所可以设置特别席位，并与席位使用人约定相关权利和义务。</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会员、境外特殊参与者不得将交易席位全部或者部分以发包、转包、转租、抵押、转让等形式交由其他机构和个人使用。</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第四条</w:t>
      </w:r>
      <w:r>
        <w:rPr>
          <w:rFonts w:ascii="宋体" w:hAnsi="宋体"/>
          <w:sz w:val="28"/>
          <w:szCs w:val="28"/>
          <w:highlight w:val="none"/>
        </w:rPr>
        <w:t xml:space="preserve"> 会员取得会员资格</w:t>
      </w:r>
      <w:r>
        <w:rPr>
          <w:rFonts w:hint="eastAsia" w:ascii="宋体" w:hAnsi="宋体"/>
          <w:sz w:val="28"/>
          <w:szCs w:val="28"/>
          <w:highlight w:val="none"/>
        </w:rPr>
        <w:t>、境外特殊参与者取得境外特殊参与者资格</w:t>
      </w:r>
      <w:r>
        <w:rPr>
          <w:rFonts w:ascii="宋体" w:hAnsi="宋体"/>
          <w:sz w:val="28"/>
          <w:szCs w:val="28"/>
          <w:highlight w:val="none"/>
        </w:rPr>
        <w:t>后，</w:t>
      </w:r>
      <w:r>
        <w:rPr>
          <w:rFonts w:hint="eastAsia" w:ascii="宋体" w:hAnsi="宋体"/>
          <w:sz w:val="28"/>
          <w:szCs w:val="28"/>
          <w:highlight w:val="none"/>
        </w:rPr>
        <w:t>可以申请使用远程交易席位。经交易所批准，可以增加远程交易席位。</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会员、境外特殊参与者增加交易席位仅是增加其交易通道，交易所对该会员、境外特殊参与者的持仓限额、风险控制以及其他有关方面的管理规定不变。</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第六条</w:t>
      </w:r>
      <w:r>
        <w:rPr>
          <w:rFonts w:ascii="宋体" w:hAnsi="宋体"/>
          <w:sz w:val="28"/>
          <w:szCs w:val="28"/>
          <w:highlight w:val="none"/>
        </w:rPr>
        <w:t xml:space="preserve"> 会员</w:t>
      </w:r>
      <w:r>
        <w:rPr>
          <w:rFonts w:hint="eastAsia" w:ascii="宋体" w:hAnsi="宋体"/>
          <w:sz w:val="28"/>
          <w:szCs w:val="28"/>
          <w:highlight w:val="none"/>
        </w:rPr>
        <w:t>、境外特殊参与者</w:t>
      </w:r>
      <w:r>
        <w:rPr>
          <w:rFonts w:ascii="宋体" w:hAnsi="宋体"/>
          <w:sz w:val="28"/>
          <w:szCs w:val="28"/>
          <w:highlight w:val="none"/>
        </w:rPr>
        <w:t>使用远程交易席位，应当按照远程交易席位数量按年交</w:t>
      </w:r>
      <w:r>
        <w:rPr>
          <w:rFonts w:hint="eastAsia" w:ascii="宋体" w:hAnsi="宋体"/>
          <w:sz w:val="28"/>
          <w:szCs w:val="28"/>
          <w:highlight w:val="none"/>
        </w:rPr>
        <w:t>纳远程交易席位使用费。撤销远程交易席位的，已收取的远程交易席位使用费不予退还。</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远程交易席位使用费收费标准由交易所另行公布。</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第七条</w:t>
      </w:r>
      <w:r>
        <w:rPr>
          <w:rFonts w:ascii="宋体" w:hAnsi="宋体"/>
          <w:sz w:val="28"/>
          <w:szCs w:val="28"/>
          <w:highlight w:val="none"/>
        </w:rPr>
        <w:t xml:space="preserve"> 会员</w:t>
      </w:r>
      <w:r>
        <w:rPr>
          <w:rFonts w:hint="eastAsia" w:ascii="宋体" w:hAnsi="宋体"/>
          <w:sz w:val="28"/>
          <w:szCs w:val="28"/>
          <w:highlight w:val="none"/>
        </w:rPr>
        <w:t>、境外特殊参与者</w:t>
      </w:r>
      <w:r>
        <w:rPr>
          <w:rFonts w:ascii="宋体" w:hAnsi="宋体"/>
          <w:sz w:val="28"/>
          <w:szCs w:val="28"/>
          <w:highlight w:val="none"/>
        </w:rPr>
        <w:t>申请远程交易席位，应当具备下列条件：</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（一）经营状况良好，无严重违规违约记录；</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（二）拟开设远程交易的所在地的通讯、资金划拨条件能满足交易所期货交易运作要求；</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（三）具有固定的远程交易场所及参与交易所集中竞价交易所需的计算机交易系统、通讯系统等软硬件设施和必要的备份措施；</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（四）有健全的规章制度和远程交易管理办法；</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（五）符合中国证监会和交易所相关技术管理规范的要求。</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第八条</w:t>
      </w:r>
      <w:r>
        <w:rPr>
          <w:rFonts w:ascii="宋体" w:hAnsi="宋体"/>
          <w:sz w:val="28"/>
          <w:szCs w:val="28"/>
          <w:highlight w:val="none"/>
        </w:rPr>
        <w:t xml:space="preserve"> 会员</w:t>
      </w:r>
      <w:r>
        <w:rPr>
          <w:rFonts w:hint="eastAsia" w:ascii="宋体" w:hAnsi="宋体"/>
          <w:sz w:val="28"/>
          <w:szCs w:val="28"/>
          <w:highlight w:val="none"/>
        </w:rPr>
        <w:t>、境外特殊参与者</w:t>
      </w:r>
      <w:r>
        <w:rPr>
          <w:rFonts w:ascii="宋体" w:hAnsi="宋体"/>
          <w:sz w:val="28"/>
          <w:szCs w:val="28"/>
          <w:highlight w:val="none"/>
        </w:rPr>
        <w:t>申请远程交易席位，应当通过会员服务系统向交易所提交下列材料：</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（一）远程交易席位的申请，包括开设远程交易席位的理由、条件、可行性论证等内容；</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（二）远程交易管理相关业务制度，包括数据安全管理等制度；</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（三）计算机系统、通讯系统（包括通讯线路）、系统软件、应用软件等配置清单；</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（四）交易所要求提供的其他材料。</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第九条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交易所应当在收到会员、境外特殊参与者提交的远程交易席位申请材料之日起</w:t>
      </w:r>
      <w:r>
        <w:rPr>
          <w:rFonts w:ascii="宋体" w:hAnsi="宋体"/>
          <w:sz w:val="28"/>
          <w:szCs w:val="28"/>
          <w:highlight w:val="none"/>
        </w:rPr>
        <w:t>10个工作日内，</w:t>
      </w:r>
      <w:r>
        <w:rPr>
          <w:rFonts w:hint="eastAsia" w:ascii="宋体" w:hAnsi="宋体"/>
          <w:sz w:val="28"/>
          <w:szCs w:val="28"/>
          <w:highlight w:val="none"/>
        </w:rPr>
        <w:t>作出是否批准的答复。</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第十条</w:t>
      </w:r>
      <w:r>
        <w:rPr>
          <w:rFonts w:ascii="宋体" w:hAnsi="宋体"/>
          <w:sz w:val="28"/>
          <w:szCs w:val="28"/>
          <w:highlight w:val="none"/>
        </w:rPr>
        <w:t xml:space="preserve"> 会员</w:t>
      </w:r>
      <w:r>
        <w:rPr>
          <w:rFonts w:hint="eastAsia" w:ascii="宋体" w:hAnsi="宋体"/>
          <w:sz w:val="28"/>
          <w:szCs w:val="28"/>
          <w:highlight w:val="none"/>
        </w:rPr>
        <w:t>、境外特殊参与者</w:t>
      </w:r>
      <w:r>
        <w:rPr>
          <w:rFonts w:ascii="宋体" w:hAnsi="宋体"/>
          <w:sz w:val="28"/>
          <w:szCs w:val="28"/>
          <w:highlight w:val="none"/>
        </w:rPr>
        <w:t>申请开设远程交易席位的，其远程交易信息系统软件、网络接入应当通过交易所测试。</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会员、境外特殊参与者不得通过远程交易席位及相关网络进行任何可能对交易所交易系统产生危害的行为。</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第十一条</w:t>
      </w:r>
      <w:r>
        <w:rPr>
          <w:rFonts w:ascii="宋体" w:hAnsi="宋体"/>
          <w:sz w:val="28"/>
          <w:szCs w:val="28"/>
          <w:highlight w:val="none"/>
        </w:rPr>
        <w:t xml:space="preserve"> 日盘交易时段</w:t>
      </w:r>
      <w:r>
        <w:rPr>
          <w:rFonts w:hint="eastAsia" w:ascii="宋体" w:hAnsi="宋体"/>
          <w:sz w:val="28"/>
          <w:szCs w:val="28"/>
          <w:highlight w:val="none"/>
        </w:rPr>
        <w:t>内，会员、境外特殊参与者远程交易席位不能正常使用的，可以申请使用应急交易场所进行交易。</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第十二条</w:t>
      </w:r>
      <w:r>
        <w:rPr>
          <w:rFonts w:ascii="宋体" w:hAnsi="宋体"/>
          <w:sz w:val="28"/>
          <w:szCs w:val="28"/>
          <w:highlight w:val="none"/>
        </w:rPr>
        <w:t xml:space="preserve"> 会员</w:t>
      </w:r>
      <w:r>
        <w:rPr>
          <w:rFonts w:hint="eastAsia" w:ascii="宋体" w:hAnsi="宋体"/>
          <w:sz w:val="28"/>
          <w:szCs w:val="28"/>
          <w:highlight w:val="none"/>
        </w:rPr>
        <w:t>、境外特殊参与者</w:t>
      </w:r>
      <w:r>
        <w:rPr>
          <w:rFonts w:ascii="宋体" w:hAnsi="宋体"/>
          <w:sz w:val="28"/>
          <w:szCs w:val="28"/>
          <w:highlight w:val="none"/>
        </w:rPr>
        <w:t>应当加强对其远程交易席位的管理和远程交易系统的维护。会员</w:t>
      </w:r>
      <w:r>
        <w:rPr>
          <w:rFonts w:hint="eastAsia" w:ascii="宋体" w:hAnsi="宋体"/>
          <w:sz w:val="28"/>
          <w:szCs w:val="28"/>
          <w:highlight w:val="none"/>
        </w:rPr>
        <w:t>、境外特殊参与者</w:t>
      </w:r>
      <w:r>
        <w:rPr>
          <w:rFonts w:ascii="宋体" w:hAnsi="宋体"/>
          <w:sz w:val="28"/>
          <w:szCs w:val="28"/>
          <w:highlight w:val="none"/>
        </w:rPr>
        <w:t>主要交易设施需要更换或者远程交易系统升级时，应当及时向交易所报备。交易所有权对远程交易席位的使用情况进行监督检查。因公共通信网络或者</w:t>
      </w:r>
      <w:r>
        <w:rPr>
          <w:rFonts w:hint="eastAsia" w:ascii="宋体" w:hAnsi="宋体"/>
          <w:sz w:val="28"/>
          <w:szCs w:val="28"/>
          <w:highlight w:val="none"/>
        </w:rPr>
        <w:t>第三方交易软件原因导致远程交易席位不能正常使用的，交易所不承担责任。</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第十三条</w:t>
      </w:r>
      <w:r>
        <w:rPr>
          <w:rFonts w:ascii="宋体" w:hAnsi="宋体"/>
          <w:sz w:val="28"/>
          <w:szCs w:val="28"/>
          <w:highlight w:val="none"/>
        </w:rPr>
        <w:t xml:space="preserve"> 非交易所管理原因，应急交易场所的计算机终端或者前置服务器自身发生故障，需要交易所为会员</w:t>
      </w:r>
      <w:r>
        <w:rPr>
          <w:rFonts w:hint="eastAsia" w:ascii="宋体" w:hAnsi="宋体"/>
          <w:sz w:val="28"/>
          <w:szCs w:val="28"/>
          <w:highlight w:val="none"/>
        </w:rPr>
        <w:t>、境外特殊参与者</w:t>
      </w:r>
      <w:r>
        <w:rPr>
          <w:rFonts w:ascii="宋体" w:hAnsi="宋体"/>
          <w:sz w:val="28"/>
          <w:szCs w:val="28"/>
          <w:highlight w:val="none"/>
        </w:rPr>
        <w:t>更换交易设施或者重新连接交易系统的，交易所不承担责任。</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第十四条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有下列情况之一的，交易席位予以撤销：</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（一）会员、境外特殊参与者提出撤销申请，并经交易所批准的；</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（二）将远程交易席位以发包、转包、转租或者转让等形式交由其他机构和个人使用的；</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（三）管理混乱，有严重违规行为的；</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（四）利用席位窃密或者破坏交易系统的。</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第十五条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会员丧失交易所会员资格、境外特殊参与者丧失交易所境外特殊参与者资格的，其拥有的远程交易席位全部终止使用。</w:t>
      </w:r>
    </w:p>
    <w:p>
      <w:pPr>
        <w:widowControl/>
        <w:adjustRightInd w:val="0"/>
        <w:snapToGrid w:val="0"/>
        <w:spacing w:line="360" w:lineRule="auto"/>
        <w:ind w:firstLine="560" w:firstLineChars="200"/>
        <w:rPr>
          <w:rFonts w:ascii="宋体" w:hAnsi="宋体" w:cs="仿宋_GB2312"/>
          <w:sz w:val="28"/>
          <w:szCs w:val="28"/>
          <w:highlight w:val="none"/>
        </w:rPr>
      </w:pPr>
      <w:r>
        <w:rPr>
          <w:rFonts w:hint="eastAsia" w:ascii="黑体" w:hAnsi="黑体" w:eastAsia="黑体"/>
          <w:sz w:val="28"/>
          <w:szCs w:val="28"/>
          <w:highlight w:val="none"/>
        </w:rPr>
        <w:t xml:space="preserve">第十六条 </w:t>
      </w:r>
      <w:r>
        <w:rPr>
          <w:rFonts w:hint="eastAsia" w:ascii="宋体" w:hAnsi="宋体" w:cs="仿宋_GB2312"/>
          <w:sz w:val="28"/>
          <w:szCs w:val="28"/>
          <w:highlight w:val="none"/>
        </w:rPr>
        <w:t>出现下列情况时，交易所可以采取调整开市、收市时间，暂停交易，调整相关合约最后交易日、到期日、最后交割日等日期以及其他必要的措施：</w:t>
      </w:r>
    </w:p>
    <w:p>
      <w:pPr>
        <w:widowControl/>
        <w:adjustRightInd w:val="0"/>
        <w:snapToGrid w:val="0"/>
        <w:spacing w:line="360" w:lineRule="auto"/>
        <w:ind w:firstLine="560" w:firstLineChars="200"/>
        <w:rPr>
          <w:rFonts w:ascii="宋体" w:hAnsi="宋体" w:cs="仿宋_GB2312"/>
          <w:sz w:val="28"/>
          <w:szCs w:val="28"/>
          <w:highlight w:val="none"/>
        </w:rPr>
      </w:pPr>
      <w:r>
        <w:rPr>
          <w:rFonts w:hint="eastAsia" w:ascii="宋体" w:hAnsi="宋体" w:cs="仿宋_GB2312"/>
          <w:sz w:val="28"/>
          <w:szCs w:val="28"/>
          <w:highlight w:val="none"/>
        </w:rPr>
        <w:t>（一）因计算机系统、通讯系统等交易设施发生故障，致使</w:t>
      </w:r>
      <w:r>
        <w:rPr>
          <w:rFonts w:ascii="宋体" w:hAnsi="宋体" w:cs="仿宋_GB2312"/>
          <w:sz w:val="28"/>
          <w:szCs w:val="28"/>
          <w:highlight w:val="none"/>
        </w:rPr>
        <w:t>10%以上的会员</w:t>
      </w:r>
      <w:r>
        <w:rPr>
          <w:rFonts w:hint="eastAsia" w:ascii="宋体" w:hAnsi="宋体" w:cs="仿宋_GB2312"/>
          <w:sz w:val="28"/>
          <w:szCs w:val="28"/>
          <w:highlight w:val="none"/>
        </w:rPr>
        <w:t>及境外特殊参与者</w:t>
      </w:r>
      <w:r>
        <w:rPr>
          <w:rFonts w:ascii="宋体" w:hAnsi="宋体" w:cs="仿宋_GB2312"/>
          <w:sz w:val="28"/>
          <w:szCs w:val="28"/>
          <w:highlight w:val="none"/>
        </w:rPr>
        <w:t>不能交易的；</w:t>
      </w:r>
    </w:p>
    <w:p>
      <w:pPr>
        <w:widowControl/>
        <w:adjustRightInd w:val="0"/>
        <w:snapToGrid w:val="0"/>
        <w:spacing w:line="360" w:lineRule="auto"/>
        <w:ind w:firstLine="560" w:firstLineChars="200"/>
        <w:rPr>
          <w:rFonts w:ascii="宋体" w:hAnsi="宋体" w:cs="仿宋_GB2312"/>
          <w:sz w:val="28"/>
          <w:szCs w:val="28"/>
          <w:highlight w:val="none"/>
        </w:rPr>
      </w:pPr>
      <w:r>
        <w:rPr>
          <w:rFonts w:hint="eastAsia" w:ascii="宋体" w:hAnsi="宋体" w:cs="仿宋_GB2312"/>
          <w:sz w:val="28"/>
          <w:szCs w:val="28"/>
          <w:highlight w:val="none"/>
        </w:rPr>
        <w:t>（二）在开市前，</w:t>
      </w:r>
      <w:r>
        <w:rPr>
          <w:rFonts w:ascii="宋体" w:hAnsi="宋体" w:cs="仿宋_GB2312"/>
          <w:sz w:val="28"/>
          <w:szCs w:val="28"/>
          <w:highlight w:val="none"/>
        </w:rPr>
        <w:t>30%以上的会员未能完成结算工作或者未完成交易系统初始化工作的；</w:t>
      </w:r>
    </w:p>
    <w:p>
      <w:pPr>
        <w:widowControl/>
        <w:adjustRightInd w:val="0"/>
        <w:snapToGrid w:val="0"/>
        <w:spacing w:line="360" w:lineRule="auto"/>
        <w:ind w:firstLine="560" w:firstLineChars="200"/>
        <w:rPr>
          <w:rFonts w:ascii="宋体" w:hAnsi="宋体" w:cs="仿宋_GB2312"/>
          <w:sz w:val="28"/>
          <w:szCs w:val="28"/>
          <w:highlight w:val="none"/>
        </w:rPr>
      </w:pPr>
      <w:r>
        <w:rPr>
          <w:rFonts w:hint="eastAsia" w:ascii="宋体" w:hAnsi="宋体" w:cs="仿宋_GB2312"/>
          <w:sz w:val="28"/>
          <w:szCs w:val="28"/>
          <w:highlight w:val="none"/>
        </w:rPr>
        <w:t>（三）交易所认为必要的其他情况。</w:t>
      </w:r>
    </w:p>
    <w:p>
      <w:pPr>
        <w:widowControl/>
        <w:adjustRightInd w:val="0"/>
        <w:snapToGrid w:val="0"/>
        <w:spacing w:line="360" w:lineRule="auto"/>
        <w:ind w:firstLine="560" w:firstLineChars="200"/>
        <w:rPr>
          <w:rFonts w:ascii="宋体" w:hAnsi="宋体" w:cs="仿宋_GB2312"/>
          <w:sz w:val="28"/>
          <w:szCs w:val="28"/>
          <w:highlight w:val="none"/>
        </w:rPr>
      </w:pPr>
      <w:r>
        <w:rPr>
          <w:rFonts w:hint="eastAsia" w:ascii="黑体" w:hAnsi="黑体" w:eastAsia="黑体"/>
          <w:sz w:val="28"/>
          <w:szCs w:val="28"/>
          <w:highlight w:val="none"/>
        </w:rPr>
        <w:t>第十七条</w:t>
      </w:r>
      <w:r>
        <w:rPr>
          <w:rFonts w:ascii="宋体" w:hAnsi="宋体"/>
          <w:sz w:val="28"/>
          <w:szCs w:val="28"/>
          <w:highlight w:val="none"/>
        </w:rPr>
        <w:t xml:space="preserve"> 交易所在夜盘交易时段不办理远程交易席位申请、变更和撤销业务。</w:t>
      </w:r>
    </w:p>
    <w:p>
      <w:pPr>
        <w:spacing w:line="360" w:lineRule="auto"/>
        <w:jc w:val="center"/>
        <w:rPr>
          <w:rFonts w:ascii="黑体" w:hAnsi="黑体" w:eastAsia="黑体"/>
          <w:sz w:val="32"/>
          <w:szCs w:val="32"/>
          <w:highlight w:val="none"/>
        </w:rPr>
      </w:pPr>
      <w:r>
        <w:rPr>
          <w:rFonts w:hint="eastAsia" w:ascii="黑体" w:hAnsi="黑体" w:eastAsia="黑体"/>
          <w:sz w:val="32"/>
          <w:szCs w:val="32"/>
          <w:highlight w:val="none"/>
        </w:rPr>
        <w:t>第三章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交易编码制度</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第十八条</w:t>
      </w:r>
      <w:r>
        <w:rPr>
          <w:rFonts w:ascii="宋体" w:hAnsi="宋体"/>
          <w:sz w:val="28"/>
          <w:szCs w:val="28"/>
          <w:highlight w:val="none"/>
        </w:rPr>
        <w:t xml:space="preserve"> 交易所实行交易编码制度。</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交易编码是指由交易所分配给非期货公司会员、境外特殊非经纪参与者和客户进行期货交易的专用代码，是其进行交易、结算、交割和标准仓单确认的依据。</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第十九条</w:t>
      </w:r>
      <w:r>
        <w:rPr>
          <w:rFonts w:ascii="宋体" w:hAnsi="宋体"/>
          <w:sz w:val="28"/>
          <w:szCs w:val="28"/>
          <w:highlight w:val="none"/>
        </w:rPr>
        <w:t xml:space="preserve"> 交易编码由12位数字组成</w:t>
      </w:r>
      <w:r>
        <w:rPr>
          <w:rFonts w:hint="eastAsia" w:ascii="宋体" w:hAnsi="宋体"/>
          <w:sz w:val="28"/>
          <w:szCs w:val="28"/>
          <w:highlight w:val="none"/>
          <w:lang w:eastAsia="zh-CN"/>
        </w:rPr>
        <w:t>。</w:t>
      </w:r>
      <w:r>
        <w:rPr>
          <w:rFonts w:hint="eastAsia" w:ascii="宋体" w:hAnsi="宋体"/>
          <w:sz w:val="28"/>
          <w:szCs w:val="28"/>
          <w:highlight w:val="none"/>
        </w:rPr>
        <w:t>期货公司会员的客户交易编码</w:t>
      </w:r>
      <w:r>
        <w:rPr>
          <w:rFonts w:ascii="宋体" w:hAnsi="宋体"/>
          <w:sz w:val="28"/>
          <w:szCs w:val="28"/>
          <w:highlight w:val="none"/>
        </w:rPr>
        <w:t>前四位数是会员号，后八位数是客户编号</w:t>
      </w:r>
      <w:r>
        <w:rPr>
          <w:rFonts w:hint="eastAsia" w:ascii="宋体" w:hAnsi="宋体" w:eastAsia="宋体"/>
          <w:b w:val="0"/>
          <w:sz w:val="28"/>
          <w:szCs w:val="28"/>
          <w:highlight w:val="none"/>
          <w:u w:val="none"/>
        </w:rPr>
        <w:t>；境外特殊经纪参与者的客户交易编码前四位</w:t>
      </w:r>
      <w:r>
        <w:rPr>
          <w:rFonts w:hint="eastAsia" w:ascii="宋体" w:hAnsi="宋体" w:eastAsia="宋体"/>
          <w:b w:val="0"/>
          <w:sz w:val="28"/>
          <w:szCs w:val="28"/>
          <w:highlight w:val="none"/>
          <w:u w:val="none"/>
          <w:lang w:eastAsia="zh-CN"/>
        </w:rPr>
        <w:t>数</w:t>
      </w:r>
      <w:r>
        <w:rPr>
          <w:rFonts w:hint="eastAsia" w:ascii="宋体" w:hAnsi="宋体" w:eastAsia="宋体"/>
          <w:b w:val="0"/>
          <w:sz w:val="28"/>
          <w:szCs w:val="28"/>
          <w:highlight w:val="none"/>
          <w:u w:val="none"/>
        </w:rPr>
        <w:t>是境外特殊参与者编号，后八位</w:t>
      </w:r>
      <w:r>
        <w:rPr>
          <w:rFonts w:hint="eastAsia" w:ascii="宋体" w:hAnsi="宋体" w:eastAsia="宋体"/>
          <w:b w:val="0"/>
          <w:sz w:val="28"/>
          <w:szCs w:val="28"/>
          <w:highlight w:val="none"/>
          <w:u w:val="none"/>
          <w:lang w:eastAsia="zh-CN"/>
        </w:rPr>
        <w:t>数</w:t>
      </w:r>
      <w:r>
        <w:rPr>
          <w:rFonts w:hint="eastAsia" w:ascii="宋体" w:hAnsi="宋体" w:eastAsia="宋体"/>
          <w:b w:val="0"/>
          <w:sz w:val="28"/>
          <w:szCs w:val="28"/>
          <w:highlight w:val="none"/>
          <w:u w:val="none"/>
        </w:rPr>
        <w:t>是客户编号。</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第二十条</w:t>
      </w:r>
      <w:r>
        <w:rPr>
          <w:rFonts w:ascii="宋体" w:hAnsi="宋体"/>
          <w:sz w:val="28"/>
          <w:szCs w:val="28"/>
          <w:highlight w:val="none"/>
        </w:rPr>
        <w:t xml:space="preserve"> 非期货公司会员</w:t>
      </w:r>
      <w:r>
        <w:rPr>
          <w:rFonts w:hint="eastAsia" w:ascii="宋体" w:hAnsi="宋体"/>
          <w:sz w:val="28"/>
          <w:szCs w:val="28"/>
          <w:highlight w:val="none"/>
        </w:rPr>
        <w:t>、境外特殊非经纪参与者</w:t>
      </w:r>
      <w:r>
        <w:rPr>
          <w:rFonts w:ascii="宋体" w:hAnsi="宋体"/>
          <w:sz w:val="28"/>
          <w:szCs w:val="28"/>
          <w:highlight w:val="none"/>
        </w:rPr>
        <w:t>交易编码原则上为一个，确需增加交易编码的，应当向交易所提交书面申请，并阐明理由。交易所根据交易情况决定是否添加。</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一</w:t>
      </w:r>
      <w:r>
        <w:rPr>
          <w:rFonts w:hint="eastAsia" w:ascii="黑体" w:hAnsi="黑体" w:eastAsia="黑体"/>
          <w:sz w:val="28"/>
          <w:szCs w:val="28"/>
          <w:highlight w:val="none"/>
        </w:rPr>
        <w:t>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期货公司会员、境外特殊经纪参与者、境外</w:t>
      </w:r>
      <w:r>
        <w:rPr>
          <w:rFonts w:hint="eastAsia" w:ascii="宋体" w:hAnsi="宋体"/>
          <w:sz w:val="28"/>
          <w:szCs w:val="28"/>
          <w:highlight w:val="none"/>
          <w:lang w:eastAsia="zh-CN"/>
        </w:rPr>
        <w:t>中介</w:t>
      </w:r>
      <w:r>
        <w:rPr>
          <w:rFonts w:hint="eastAsia" w:ascii="宋体" w:hAnsi="宋体"/>
          <w:sz w:val="28"/>
          <w:szCs w:val="28"/>
          <w:highlight w:val="none"/>
        </w:rPr>
        <w:t>机构</w:t>
      </w:r>
      <w:r>
        <w:rPr>
          <w:rFonts w:hint="eastAsia" w:ascii="宋体" w:hAnsi="宋体"/>
          <w:sz w:val="28"/>
          <w:szCs w:val="28"/>
          <w:highlight w:val="none"/>
          <w:lang w:eastAsia="zh-CN"/>
        </w:rPr>
        <w:t>（以下统称开户机构）</w:t>
      </w:r>
      <w:r>
        <w:rPr>
          <w:rFonts w:hint="eastAsia" w:ascii="宋体" w:hAnsi="宋体"/>
          <w:sz w:val="28"/>
          <w:szCs w:val="28"/>
          <w:highlight w:val="none"/>
        </w:rPr>
        <w:t>应当按照中国期货市场监控中心有限责任公司（以下简称监控中心）相关开户规定，通过监控中心统一开户系统为客户申请、注销交易编码，以及修改与交易编码相关的客户资料。</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根据中国法律、法规和规章规定，需要对资产进行分户管理的证券公司、基金管理公司、信托公司和其他金融机构，以及社会保障类公司、合格境外机构投资者、人民币合格境外机构投资者等特殊单位客户，可以按照监控中心的规定申请交易编码。</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交易所收到监控中心转发的客户开户申请资料后，对交易编码进行分配、发放和管理，并将各类申请的处理结果通过监控中心反馈给开户机构。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交易所收到非期货公司会员和境外特殊非经纪参与者的开户申请材料后，对非期货公司会员交易编码和境外特殊非经纪参与者的交易编码进行分配、发放和管理，并将处理结果告知非期货公司会员和境外特殊非经纪参与者。</w:t>
      </w:r>
    </w:p>
    <w:p>
      <w:pPr>
        <w:spacing w:line="360" w:lineRule="auto"/>
        <w:ind w:firstLine="560" w:firstLineChars="200"/>
        <w:rPr>
          <w:rFonts w:hint="eastAsia" w:ascii="黑体" w:hAnsi="黑体" w:eastAsia="黑体"/>
          <w:sz w:val="28"/>
          <w:szCs w:val="28"/>
          <w:highlight w:val="none"/>
        </w:rPr>
      </w:pPr>
      <w:r>
        <w:rPr>
          <w:rFonts w:hint="eastAsia" w:ascii="宋体" w:hAnsi="宋体" w:eastAsia="宋体"/>
          <w:sz w:val="28"/>
          <w:szCs w:val="28"/>
          <w:highlight w:val="none"/>
        </w:rPr>
        <w:t>交易编码经交易所审核确认后方可使用。</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二</w:t>
      </w:r>
      <w:r>
        <w:rPr>
          <w:rFonts w:hint="eastAsia" w:ascii="黑体" w:hAnsi="黑体" w:eastAsia="黑体"/>
          <w:sz w:val="28"/>
          <w:szCs w:val="28"/>
          <w:highlight w:val="none"/>
        </w:rPr>
        <w:t>条</w:t>
      </w:r>
      <w:r>
        <w:rPr>
          <w:rFonts w:ascii="宋体" w:hAnsi="宋体"/>
          <w:sz w:val="28"/>
          <w:szCs w:val="28"/>
          <w:highlight w:val="none"/>
        </w:rPr>
        <w:t xml:space="preserve"> 一个客户同一时期内在交易所只能有一个客户编号，但可以在不同的</w:t>
      </w:r>
      <w:r>
        <w:rPr>
          <w:rFonts w:hint="eastAsia" w:ascii="宋体" w:hAnsi="宋体"/>
          <w:sz w:val="28"/>
          <w:szCs w:val="28"/>
          <w:highlight w:val="none"/>
        </w:rPr>
        <w:t>开户机构</w:t>
      </w:r>
      <w:r>
        <w:rPr>
          <w:rFonts w:ascii="宋体" w:hAnsi="宋体"/>
          <w:sz w:val="28"/>
          <w:szCs w:val="28"/>
          <w:highlight w:val="none"/>
        </w:rPr>
        <w:t>开户</w:t>
      </w:r>
      <w:r>
        <w:rPr>
          <w:rFonts w:hint="eastAsia" w:ascii="宋体" w:hAnsi="宋体"/>
          <w:sz w:val="28"/>
          <w:szCs w:val="28"/>
          <w:highlight w:val="none"/>
          <w:lang w:eastAsia="zh-CN"/>
        </w:rPr>
        <w:t>。在不同开户机构开户的客户，</w:t>
      </w:r>
      <w:r>
        <w:rPr>
          <w:rFonts w:ascii="宋体" w:hAnsi="宋体"/>
          <w:sz w:val="28"/>
          <w:szCs w:val="28"/>
          <w:highlight w:val="none"/>
        </w:rPr>
        <w:t>其</w:t>
      </w:r>
      <w:r>
        <w:rPr>
          <w:rFonts w:hint="eastAsia" w:ascii="宋体" w:hAnsi="宋体"/>
          <w:sz w:val="28"/>
          <w:szCs w:val="28"/>
          <w:highlight w:val="none"/>
        </w:rPr>
        <w:t>后八位客户编号必须相同。</w:t>
      </w:r>
    </w:p>
    <w:p>
      <w:pPr>
        <w:spacing w:line="360" w:lineRule="auto"/>
        <w:ind w:firstLine="560" w:firstLineChars="200"/>
        <w:rPr>
          <w:rFonts w:hint="eastAsia" w:ascii="宋体" w:hAnsi="宋体"/>
          <w:sz w:val="28"/>
          <w:szCs w:val="28"/>
          <w:highlight w:val="none"/>
        </w:rPr>
      </w:pPr>
      <w:r>
        <w:rPr>
          <w:rFonts w:hint="eastAsia" w:ascii="黑体" w:hAnsi="黑体" w:eastAsia="黑体"/>
          <w:sz w:val="28"/>
          <w:szCs w:val="28"/>
          <w:highlight w:val="none"/>
        </w:rPr>
        <w:t>第二十三条</w:t>
      </w:r>
      <w:r>
        <w:rPr>
          <w:rFonts w:hint="eastAsia" w:ascii="黑体" w:hAnsi="黑体" w:eastAsia="黑体"/>
          <w:sz w:val="28"/>
          <w:szCs w:val="28"/>
          <w:highlight w:val="none"/>
          <w:lang w:val="en-US" w:eastAsia="zh-CN"/>
        </w:rPr>
        <w:t xml:space="preserve"> </w:t>
      </w:r>
      <w:r>
        <w:rPr>
          <w:rFonts w:hint="eastAsia" w:ascii="宋体" w:hAnsi="宋体" w:eastAsia="宋体"/>
          <w:sz w:val="28"/>
          <w:szCs w:val="28"/>
          <w:highlight w:val="none"/>
          <w:lang w:val="en-US" w:eastAsia="zh-CN"/>
        </w:rPr>
        <w:t>开户机构</w:t>
      </w:r>
      <w:r>
        <w:rPr>
          <w:rFonts w:hint="eastAsia" w:ascii="宋体" w:hAnsi="宋体"/>
          <w:sz w:val="28"/>
          <w:szCs w:val="28"/>
          <w:highlight w:val="none"/>
        </w:rPr>
        <w:t>应当保证客户资料的真实、合法、有效、准确，并妥善保存客户开户、变更及销户资料档案。</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开户机构对上述资料的保管期限不得少于20年。</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第二十四条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客户资料不真实或者被认定为市场禁入者的，交易所可以对其实施暂停开新仓、限期平仓、注销交易编码等措施。</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第二十五条</w:t>
      </w:r>
      <w:r>
        <w:rPr>
          <w:rFonts w:ascii="宋体" w:hAnsi="宋体"/>
          <w:sz w:val="28"/>
          <w:szCs w:val="28"/>
          <w:highlight w:val="none"/>
        </w:rPr>
        <w:t xml:space="preserve"> 非期货公司会员</w:t>
      </w:r>
      <w:r>
        <w:rPr>
          <w:rFonts w:hint="eastAsia" w:ascii="宋体" w:hAnsi="宋体"/>
          <w:sz w:val="28"/>
          <w:szCs w:val="28"/>
          <w:highlight w:val="none"/>
        </w:rPr>
        <w:t>、境外特殊非经纪参与者</w:t>
      </w:r>
      <w:r>
        <w:rPr>
          <w:rFonts w:ascii="宋体" w:hAnsi="宋体"/>
          <w:sz w:val="28"/>
          <w:szCs w:val="28"/>
          <w:highlight w:val="none"/>
        </w:rPr>
        <w:t>及客户提供虚假开户资料，或者</w:t>
      </w:r>
      <w:r>
        <w:rPr>
          <w:rFonts w:hint="eastAsia" w:ascii="宋体" w:hAnsi="宋体"/>
          <w:sz w:val="28"/>
          <w:szCs w:val="28"/>
          <w:highlight w:val="none"/>
        </w:rPr>
        <w:t>开户机构</w:t>
      </w:r>
      <w:r>
        <w:rPr>
          <w:rFonts w:ascii="宋体" w:hAnsi="宋体"/>
          <w:sz w:val="28"/>
          <w:szCs w:val="28"/>
          <w:highlight w:val="none"/>
        </w:rPr>
        <w:t>协助客户使用虚假资料开户的，交易所可以责令限期平仓；平仓后注销其</w:t>
      </w:r>
      <w:r>
        <w:rPr>
          <w:rFonts w:hint="eastAsia" w:ascii="宋体" w:hAnsi="宋体"/>
          <w:sz w:val="28"/>
          <w:szCs w:val="28"/>
          <w:highlight w:val="none"/>
        </w:rPr>
        <w:t>交易编码，同时按照《郑州商品交易所违规处理办法》有关规定进行处理。</w:t>
      </w:r>
    </w:p>
    <w:p>
      <w:pPr>
        <w:spacing w:line="360" w:lineRule="auto"/>
        <w:ind w:firstLine="640" w:firstLineChars="200"/>
        <w:jc w:val="center"/>
        <w:rPr>
          <w:rFonts w:ascii="黑体" w:hAnsi="黑体" w:eastAsia="黑体"/>
          <w:sz w:val="32"/>
          <w:szCs w:val="32"/>
          <w:highlight w:val="none"/>
        </w:rPr>
      </w:pPr>
      <w:r>
        <w:rPr>
          <w:rFonts w:hint="eastAsia" w:ascii="黑体" w:hAnsi="黑体" w:eastAsia="黑体"/>
          <w:sz w:val="32"/>
          <w:szCs w:val="32"/>
          <w:highlight w:val="none"/>
        </w:rPr>
        <w:t>第四章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交易时间、交易指令与价格</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第二十六条</w:t>
      </w:r>
      <w:r>
        <w:rPr>
          <w:rFonts w:ascii="宋体" w:hAnsi="宋体"/>
          <w:sz w:val="28"/>
          <w:szCs w:val="28"/>
          <w:highlight w:val="none"/>
        </w:rPr>
        <w:t xml:space="preserve"> 期货交易的交易日分为夜盘交易和日盘交易时段，夜盘交易设一个交易小节，具体交易时间由交易所另行通知；日盘交易设两个交易小节，分别为第一节9:00-11:30，其中10:15-10:30为休息时间，第二节13:30-15:00。开展夜盘交易的品种由交易所另行公布。</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对于开展夜盘交易的品种，“交易日”是指从夜盘开市至日盘收市的交易期间。</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第二十七条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期货交易指令的种类包括限价指令、市价指令、套利指令、取消指令和交易所规定的其他指令。</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限价指令是指执行时以限定价格或者更好价格成交的指令。集合竞价结束后，未成交的限价指令于开市后继续执行。</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市价指令是指没有标明具体价位，按当时市场上可执行的最好价格（报价）成交的指令。市价指令不参与集合竞价；交易期间，市价指令先于限价指令执行；行情出现单方无报价时，未成交的市价指令自动撤销。</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套利指令分为跨期套利指令和跨品种套利指令。跨期套利指令是指同时买进（卖出）和卖出（买进）两个相同标的物但不同到期日期货合约的指令；跨品种套利指令是指同时买进（卖出）和卖出（买进）两个不同标的物期货合约的指令。套利指令不参与集合竞价；行情出现单方无报价时，不得下达套利指令。</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适用跨品种套利指令的具体品种由交易所公告。</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取消指令是指客户要求将某一指令取消的指令。</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期货交易指令每次最小下单量和最大下单量见各品种期货业务细则。交易所可以根据市场情况，对不同的上市品种、合约交易指令每次最小下单量、每次最大下单量进行调整，具体标准由交易所另行公布。本条所称每次最小下单量，包括每次最小开仓下单量和每次最小平仓下单量；每次最大下单量，包括每次最大开仓下单量和每次最大平仓下单量。</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第二十八条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开展夜盘交易的品种，其开盘集合竞价在夜盘交易时段开市前</w:t>
      </w:r>
      <w:r>
        <w:rPr>
          <w:rFonts w:ascii="宋体" w:hAnsi="宋体"/>
          <w:sz w:val="28"/>
          <w:szCs w:val="28"/>
          <w:highlight w:val="none"/>
        </w:rPr>
        <w:t>5分钟内进行；如夜盘交易时段不交易，则集合竞价顺延至日盘开市前5分钟内进行。无夜盘交易的品种，其开盘集合竞价在日盘交易时段</w:t>
      </w:r>
      <w:r>
        <w:rPr>
          <w:rFonts w:hint="eastAsia" w:ascii="宋体" w:hAnsi="宋体"/>
          <w:sz w:val="28"/>
          <w:szCs w:val="28"/>
          <w:highlight w:val="none"/>
        </w:rPr>
        <w:t>开市前</w:t>
      </w:r>
      <w:r>
        <w:rPr>
          <w:rFonts w:ascii="宋体" w:hAnsi="宋体"/>
          <w:sz w:val="28"/>
          <w:szCs w:val="28"/>
          <w:highlight w:val="none"/>
        </w:rPr>
        <w:t>5分钟内进行。</w:t>
      </w:r>
      <w:r>
        <w:rPr>
          <w:rFonts w:hint="eastAsia" w:ascii="宋体" w:hAnsi="宋体"/>
          <w:sz w:val="28"/>
          <w:szCs w:val="28"/>
          <w:highlight w:val="none"/>
        </w:rPr>
        <w:t>集合竞价中，前</w:t>
      </w:r>
      <w:r>
        <w:rPr>
          <w:rFonts w:ascii="宋体" w:hAnsi="宋体"/>
          <w:sz w:val="28"/>
          <w:szCs w:val="28"/>
          <w:highlight w:val="none"/>
        </w:rPr>
        <w:t>4分钟为期货合约买、卖指令申报时间，后1分钟为集合竞价撮合时间，开市时产生开盘价。</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交易系统自动控制集合竞价申报的开始和结束并在计算机终端上显示。</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第二十九条</w:t>
      </w:r>
      <w:r>
        <w:rPr>
          <w:rFonts w:ascii="宋体" w:hAnsi="宋体"/>
          <w:sz w:val="28"/>
          <w:szCs w:val="28"/>
          <w:highlight w:val="none"/>
        </w:rPr>
        <w:t xml:space="preserve"> 集合竞价采用最大成交量原则，即以此价格成交能够得到最大成交量。</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第三十条</w:t>
      </w:r>
      <w:r>
        <w:rPr>
          <w:rFonts w:ascii="宋体" w:hAnsi="宋体"/>
          <w:sz w:val="28"/>
          <w:szCs w:val="28"/>
          <w:highlight w:val="none"/>
        </w:rPr>
        <w:t xml:space="preserve"> 开盘集合竞价中的未成交申报单自动参与开市后竞价</w:t>
      </w:r>
      <w:r>
        <w:rPr>
          <w:rFonts w:hint="eastAsia" w:ascii="宋体" w:hAnsi="宋体"/>
          <w:sz w:val="28"/>
          <w:szCs w:val="28"/>
          <w:highlight w:val="none"/>
        </w:rPr>
        <w:t>交易。</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夜盘交易中的未成交申报单，可以在同一交易日上午8：55至8：59之间取消。</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第三十一条</w:t>
      </w:r>
      <w:r>
        <w:rPr>
          <w:rFonts w:ascii="宋体" w:hAnsi="宋体"/>
          <w:sz w:val="28"/>
          <w:szCs w:val="28"/>
          <w:highlight w:val="none"/>
        </w:rPr>
        <w:t xml:space="preserve"> 开市后交易所计算机自动撮合系统将买卖申报指令以价格优先、时间优先的原则进行排序。</w:t>
      </w:r>
      <w:r>
        <w:rPr>
          <w:rFonts w:hint="eastAsia" w:ascii="宋体" w:hAnsi="宋体"/>
          <w:sz w:val="28"/>
          <w:szCs w:val="28"/>
          <w:highlight w:val="none"/>
        </w:rPr>
        <w:t>买入价大于、等于卖出价则自动撮合成交，撮合成交价等于买入价</w:t>
      </w:r>
      <w:r>
        <w:rPr>
          <w:rFonts w:ascii="宋体" w:hAnsi="宋体"/>
          <w:sz w:val="28"/>
          <w:szCs w:val="28"/>
          <w:highlight w:val="none"/>
        </w:rPr>
        <w:t>(bp)、卖出价(sp)和前一成交价(cp)三者中居中的一个价格。即：</w:t>
      </w:r>
    </w:p>
    <w:p>
      <w:pPr>
        <w:spacing w:line="360" w:lineRule="auto"/>
        <w:ind w:left="561" w:leftChars="267"/>
        <w:rPr>
          <w:rFonts w:ascii="宋体" w:hAnsi="宋体"/>
          <w:sz w:val="28"/>
          <w:szCs w:val="28"/>
          <w:highlight w:val="none"/>
        </w:rPr>
      </w:pPr>
      <w:r>
        <w:rPr>
          <w:rFonts w:hint="eastAsia" w:ascii="宋体" w:hAnsi="宋体"/>
          <w:sz w:val="28"/>
          <w:szCs w:val="28"/>
          <w:highlight w:val="none"/>
        </w:rPr>
        <w:t>当</w:t>
      </w:r>
      <w:r>
        <w:rPr>
          <w:rFonts w:ascii="宋体" w:hAnsi="宋体"/>
          <w:sz w:val="28"/>
          <w:szCs w:val="28"/>
          <w:highlight w:val="none"/>
        </w:rPr>
        <w:t>bp≥sp≥cp,则</w:t>
      </w:r>
      <w:r>
        <w:rPr>
          <w:rFonts w:hint="eastAsia" w:ascii="宋体" w:hAnsi="宋体"/>
          <w:sz w:val="28"/>
          <w:szCs w:val="28"/>
          <w:highlight w:val="none"/>
        </w:rPr>
        <w:t>最新成交价</w:t>
      </w:r>
      <w:r>
        <w:rPr>
          <w:rFonts w:ascii="宋体" w:hAnsi="宋体"/>
          <w:sz w:val="28"/>
          <w:szCs w:val="28"/>
          <w:highlight w:val="none"/>
        </w:rPr>
        <w:t>=sp；</w:t>
      </w:r>
      <w:r>
        <w:rPr>
          <w:rFonts w:ascii="宋体" w:hAnsi="宋体"/>
          <w:sz w:val="28"/>
          <w:szCs w:val="28"/>
          <w:highlight w:val="none"/>
        </w:rPr>
        <w:br w:type="textWrapping"/>
      </w:r>
      <w:r>
        <w:rPr>
          <w:rFonts w:hint="eastAsia" w:ascii="宋体" w:hAnsi="宋体"/>
          <w:sz w:val="28"/>
          <w:szCs w:val="28"/>
          <w:highlight w:val="none"/>
        </w:rPr>
        <w:t>当</w:t>
      </w:r>
      <w:r>
        <w:rPr>
          <w:rFonts w:ascii="宋体" w:hAnsi="宋体"/>
          <w:sz w:val="28"/>
          <w:szCs w:val="28"/>
          <w:highlight w:val="none"/>
        </w:rPr>
        <w:t>bp≥cp≥sp,则</w:t>
      </w:r>
      <w:r>
        <w:rPr>
          <w:rFonts w:hint="eastAsia" w:ascii="宋体" w:hAnsi="宋体"/>
          <w:sz w:val="28"/>
          <w:szCs w:val="28"/>
          <w:highlight w:val="none"/>
        </w:rPr>
        <w:t>最新成交价</w:t>
      </w:r>
      <w:r>
        <w:rPr>
          <w:rFonts w:ascii="宋体" w:hAnsi="宋体"/>
          <w:sz w:val="28"/>
          <w:szCs w:val="28"/>
          <w:highlight w:val="none"/>
        </w:rPr>
        <w:t>=cp；</w:t>
      </w:r>
      <w:r>
        <w:rPr>
          <w:rFonts w:ascii="宋体" w:hAnsi="宋体"/>
          <w:sz w:val="28"/>
          <w:szCs w:val="28"/>
          <w:highlight w:val="none"/>
        </w:rPr>
        <w:br w:type="textWrapping"/>
      </w:r>
      <w:r>
        <w:rPr>
          <w:rFonts w:hint="eastAsia" w:ascii="宋体" w:hAnsi="宋体"/>
          <w:sz w:val="28"/>
          <w:szCs w:val="28"/>
          <w:highlight w:val="none"/>
        </w:rPr>
        <w:t>当</w:t>
      </w:r>
      <w:r>
        <w:rPr>
          <w:rFonts w:ascii="宋体" w:hAnsi="宋体"/>
          <w:sz w:val="28"/>
          <w:szCs w:val="28"/>
          <w:highlight w:val="none"/>
        </w:rPr>
        <w:t>cp≥bp≥sp,则</w:t>
      </w:r>
      <w:r>
        <w:rPr>
          <w:rFonts w:hint="eastAsia" w:ascii="宋体" w:hAnsi="宋体"/>
          <w:sz w:val="28"/>
          <w:szCs w:val="28"/>
          <w:highlight w:val="none"/>
        </w:rPr>
        <w:t>最新成交价</w:t>
      </w:r>
      <w:r>
        <w:rPr>
          <w:rFonts w:ascii="宋体" w:hAnsi="宋体"/>
          <w:sz w:val="28"/>
          <w:szCs w:val="28"/>
          <w:highlight w:val="none"/>
        </w:rPr>
        <w:t>=bp。</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某一期货合约以涨跌停板价格成交的，撮合成交原则为平仓优先和时间优先。</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第三十二条</w:t>
      </w:r>
      <w:r>
        <w:rPr>
          <w:rFonts w:ascii="宋体" w:hAnsi="宋体"/>
          <w:sz w:val="28"/>
          <w:szCs w:val="28"/>
          <w:highlight w:val="none"/>
        </w:rPr>
        <w:t xml:space="preserve"> 交易所应当及时发布以下与交易有关的信息：</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（一）开盘价。开盘价是指某一期货合约开市前</w:t>
      </w:r>
      <w:r>
        <w:rPr>
          <w:rFonts w:ascii="宋体" w:hAnsi="宋体"/>
          <w:sz w:val="28"/>
          <w:szCs w:val="28"/>
          <w:highlight w:val="none"/>
        </w:rPr>
        <w:t>5分钟内经集合竞价产生的成交价格。集合竞价未产生成交价格的，以集合竞价后第一笔成交价为开盘价。第一笔成交价按本办法</w:t>
      </w:r>
      <w:r>
        <w:rPr>
          <w:rFonts w:hint="eastAsia" w:ascii="宋体" w:hAnsi="宋体"/>
          <w:sz w:val="28"/>
          <w:szCs w:val="28"/>
          <w:highlight w:val="none"/>
        </w:rPr>
        <w:t>有关撮合原则的规定确定，此时前一成交价为上一交易日收盘价，新上市合约前一成交价为挂牌基准价。</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（二）收盘价。收盘价是指某一期货合约当日交易的最后一笔成交价格。</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（三）最高价。最高价是指一定时间内某一期货合约成交价中的最高成交价格。</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（四）最低价。最低价是指一定时间内某一期货合约成交价中的最低成交价格。</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（五）最新价。最新价是指某一交易日某一期货合约交易期间的即时成交价格。</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（六）涨跌。涨跌是指某一交易日某一期货合约交易期间的最新价与上一交易日结算价之差。</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（七）最高买价。最高买价是指某一期货合约当日买方申请买入的即时最高价格。</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（八）最低卖价。最低卖价是指某一期货合约当日卖方申请卖出的即时最低价格。</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（九）申买量。申买量是指某一期货合约当日交易所交易系统中未成交的最高买价申请买入的下单数量。</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（十）申卖量。申卖量是指某一期货合约当日交易所交易系统中未成交的最低卖价申请卖出的下单数量。</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十一）结算价。结算价是指某一期货合约当日成交价格按成交量的加权平均价。当日无成交的，当日结算价按照《郑州商品交易所期货结算管理办法》相关规定执行。结算价是进行当日未平仓合约盈亏结算和确定下一交易日涨跌停板额的依据。</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（十二）成交量。成交量是指某一期货合约在当日交易期间所有成交合约的单边数量。</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（十三）持仓量。持仓量是指期货交易者所持有的未平仓合约的单边数量。</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第三十三条</w:t>
      </w:r>
      <w:r>
        <w:rPr>
          <w:rFonts w:ascii="宋体" w:hAnsi="宋体"/>
          <w:sz w:val="28"/>
          <w:szCs w:val="28"/>
          <w:highlight w:val="none"/>
        </w:rPr>
        <w:t xml:space="preserve"> 新上市品种的挂牌时间和挂牌基准价由交易所公布。</w:t>
      </w:r>
    </w:p>
    <w:p>
      <w:pPr>
        <w:widowControl/>
        <w:adjustRightInd w:val="0"/>
        <w:snapToGrid w:val="0"/>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第三十四条</w:t>
      </w:r>
      <w:r>
        <w:rPr>
          <w:rFonts w:ascii="宋体" w:hAnsi="宋体"/>
          <w:sz w:val="28"/>
          <w:szCs w:val="28"/>
          <w:highlight w:val="none"/>
        </w:rPr>
        <w:t xml:space="preserve"> 新年度上市合约的挂牌时间为上一年度该合约交割月份最后交易日的下一交易日。</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新上市合约的挂牌基准价为其最近月份合约前一交易日的结算价，交易所可以根据市场情况进行调整。挂牌基准价是确定新上市合约第一个交易日涨跌停板的依据。</w:t>
      </w:r>
    </w:p>
    <w:p>
      <w:pPr>
        <w:spacing w:line="360" w:lineRule="auto"/>
        <w:jc w:val="center"/>
        <w:rPr>
          <w:rFonts w:ascii="黑体" w:hAnsi="黑体" w:eastAsia="黑体"/>
          <w:sz w:val="32"/>
          <w:szCs w:val="32"/>
          <w:highlight w:val="none"/>
        </w:rPr>
      </w:pPr>
      <w:r>
        <w:rPr>
          <w:rFonts w:hint="eastAsia" w:ascii="黑体" w:hAnsi="黑体" w:eastAsia="黑体"/>
          <w:sz w:val="32"/>
          <w:szCs w:val="32"/>
          <w:highlight w:val="none"/>
        </w:rPr>
        <w:t>第五章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信息管理</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第三十五条</w:t>
      </w:r>
      <w:r>
        <w:rPr>
          <w:rFonts w:ascii="宋体" w:hAnsi="宋体"/>
          <w:sz w:val="28"/>
          <w:szCs w:val="28"/>
          <w:highlight w:val="none"/>
        </w:rPr>
        <w:t xml:space="preserve"> 交易所期货交易信息是指在交易所期货交易活动中所产生的所有上市品种的期货交易行情、各种期货交易数据统计资料、交易所发布的各种公告信息，以及中国证监会指定披露的其他相关信息。</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第三十六条</w:t>
      </w:r>
      <w:r>
        <w:rPr>
          <w:rFonts w:ascii="宋体" w:hAnsi="宋体"/>
          <w:sz w:val="28"/>
          <w:szCs w:val="28"/>
          <w:highlight w:val="none"/>
        </w:rPr>
        <w:t xml:space="preserve"> 交易所拥有期货交易信息所有权。未经交易所授权许可，任何机构和个人</w:t>
      </w:r>
      <w:r>
        <w:rPr>
          <w:rFonts w:hint="eastAsia" w:ascii="宋体" w:hAnsi="宋体"/>
          <w:sz w:val="28"/>
          <w:szCs w:val="28"/>
          <w:highlight w:val="none"/>
        </w:rPr>
        <w:t>不得从事与期货交易信息有关的业务，包括发布、经营、增值开发或者传播交易所信息等。</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第三十七条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交易所根据有关规定和市场需要发布不同层次的即时信息、每日信息、每周信息、每月信息、每年信息等。</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第三十八条</w:t>
      </w:r>
      <w:r>
        <w:rPr>
          <w:rFonts w:ascii="宋体" w:hAnsi="宋体"/>
          <w:sz w:val="28"/>
          <w:szCs w:val="28"/>
          <w:highlight w:val="none"/>
        </w:rPr>
        <w:t xml:space="preserve"> 即时信息内容主要有：合约名称、交割月份、最新价、涨跌、成交量、持仓量、持仓量变化、申买价、申卖价、申买量、申卖量、每笔成交量、结算价、开盘价、收盘价、最高价、最低价和前结算价。</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即时信息由交易所在交易时间内与交易活动同步发布。</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第三十九条</w:t>
      </w:r>
      <w:r>
        <w:rPr>
          <w:rFonts w:ascii="宋体" w:hAnsi="宋体"/>
          <w:sz w:val="28"/>
          <w:szCs w:val="28"/>
          <w:highlight w:val="none"/>
        </w:rPr>
        <w:t xml:space="preserve"> 每日信息内容主要有：</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（一）每日行情：合约名称、交割月份、开盘价、最高价、最低价、收盘价、前结算价、结算价、涨跌、成交量、持仓量、持仓量变化和成交额；</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（二）最近交割月及活跃月份合约前</w:t>
      </w:r>
      <w:r>
        <w:rPr>
          <w:rFonts w:ascii="宋体" w:hAnsi="宋体"/>
          <w:sz w:val="28"/>
          <w:szCs w:val="28"/>
          <w:highlight w:val="none"/>
        </w:rPr>
        <w:t>20名</w:t>
      </w:r>
      <w:r>
        <w:rPr>
          <w:rFonts w:hint="eastAsia" w:ascii="宋体" w:hAnsi="宋体"/>
          <w:sz w:val="28"/>
          <w:szCs w:val="28"/>
          <w:highlight w:val="none"/>
        </w:rPr>
        <w:t>期货公司</w:t>
      </w:r>
      <w:r>
        <w:rPr>
          <w:rFonts w:ascii="宋体" w:hAnsi="宋体"/>
          <w:sz w:val="28"/>
          <w:szCs w:val="28"/>
          <w:highlight w:val="none"/>
        </w:rPr>
        <w:t>会员</w:t>
      </w:r>
      <w:r>
        <w:rPr>
          <w:rFonts w:hint="eastAsia" w:ascii="宋体" w:hAnsi="宋体"/>
          <w:sz w:val="28"/>
          <w:szCs w:val="28"/>
          <w:highlight w:val="none"/>
        </w:rPr>
        <w:t>、境外特殊经纪参与者</w:t>
      </w:r>
      <w:r>
        <w:rPr>
          <w:rFonts w:ascii="宋体" w:hAnsi="宋体"/>
          <w:sz w:val="28"/>
          <w:szCs w:val="28"/>
          <w:highlight w:val="none"/>
        </w:rPr>
        <w:t>的成交量和买卖持仓量，以及</w:t>
      </w:r>
      <w:r>
        <w:rPr>
          <w:rFonts w:hint="eastAsia" w:ascii="宋体" w:hAnsi="宋体"/>
          <w:sz w:val="28"/>
          <w:szCs w:val="28"/>
          <w:highlight w:val="none"/>
        </w:rPr>
        <w:t>所有月份合约期货转现货量；</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（三）标准仓单数量及与上次发布的增减量情况；</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（四）交割配对结果、实物交割量。</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每日期货交易信息由交易所在每个交易日闭市后发布。</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第四十条</w:t>
      </w:r>
      <w:r>
        <w:rPr>
          <w:rFonts w:ascii="宋体" w:hAnsi="宋体"/>
          <w:sz w:val="28"/>
          <w:szCs w:val="28"/>
          <w:highlight w:val="none"/>
        </w:rPr>
        <w:t xml:space="preserve"> 每周信息内容主要有：合约名称、交割月份、周开盘价、最高价、最低价、周收盘价、涨跌（本周末收盘价与上周末结算价之差）、持仓量、持仓量变化(本周末持仓量与上周末持仓量之差)、周末结算价、成交量和成交额。</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每周期货交易信息由交易所在每周最后一个交易日闭市后发布。</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第四十一条</w:t>
      </w:r>
      <w:r>
        <w:rPr>
          <w:rFonts w:ascii="宋体" w:hAnsi="宋体"/>
          <w:sz w:val="28"/>
          <w:szCs w:val="28"/>
          <w:highlight w:val="none"/>
        </w:rPr>
        <w:t xml:space="preserve"> 每月信息内容主要有：</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（一）每月行情：合约名称、交割月份、月开盘价、最高价、最低价、月末收盘价、涨跌（本月末收盘价与上月末结算价之差）、持仓量、持仓量变化</w:t>
      </w:r>
      <w:r>
        <w:rPr>
          <w:rFonts w:ascii="宋体" w:hAnsi="宋体"/>
          <w:sz w:val="28"/>
          <w:szCs w:val="28"/>
          <w:highlight w:val="none"/>
        </w:rPr>
        <w:t>(本月末持仓量与上月末持仓量之差)、月末结算价、成交量和成交额；</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（二）所有品种成交量、成交金额，分品种成交量和成交金额；</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（三）月度实物交割量。</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每月期货交易信息由交易所在每月最后一个交易日闭市后发布。</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第四十二条</w:t>
      </w:r>
      <w:r>
        <w:rPr>
          <w:rFonts w:ascii="宋体" w:hAnsi="宋体"/>
          <w:sz w:val="28"/>
          <w:szCs w:val="28"/>
          <w:highlight w:val="none"/>
        </w:rPr>
        <w:t xml:space="preserve"> 每年信息内容主要有：</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（一）所有品种总交易量和总交易金额、分品种交易量和交易金额；</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（二）会员成交量及成交金额排名；</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（三）总交割量和分品种交割量，期货转现货量。</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每年期货交易信息由交易所在每年最后一个交易日闭市后发布。</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第四十三条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交易所期货即时行情通过计算机网络传送至交易席位，并通过交易所授权的信息技术服务机构、公共媒体等发布。</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第四十四条</w:t>
      </w:r>
      <w:r>
        <w:rPr>
          <w:rFonts w:ascii="宋体" w:hAnsi="宋体"/>
          <w:sz w:val="28"/>
          <w:szCs w:val="28"/>
          <w:highlight w:val="none"/>
        </w:rPr>
        <w:t xml:space="preserve"> 交易所应当采取有效通信手段，建立同步报价和即时成交回报系统。</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第四十五条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交易所</w:t>
      </w:r>
      <w:r>
        <w:rPr>
          <w:rFonts w:hint="eastAsia" w:ascii="宋体" w:hAnsi="宋体"/>
          <w:sz w:val="28"/>
          <w:szCs w:val="28"/>
          <w:highlight w:val="none"/>
          <w:lang w:eastAsia="zh-CN"/>
        </w:rPr>
        <w:t>、</w:t>
      </w:r>
      <w:r>
        <w:rPr>
          <w:rFonts w:hint="eastAsia" w:ascii="宋体" w:hAnsi="宋体"/>
          <w:sz w:val="28"/>
          <w:szCs w:val="28"/>
          <w:highlight w:val="none"/>
        </w:rPr>
        <w:t>会员、境外特殊参与者和境外中介机构等对不宜公开的交易资料、资金情况等信息有保密义务。</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第四十六条</w:t>
      </w:r>
      <w:r>
        <w:rPr>
          <w:rFonts w:ascii="宋体" w:hAnsi="宋体"/>
          <w:sz w:val="28"/>
          <w:szCs w:val="28"/>
          <w:highlight w:val="none"/>
        </w:rPr>
        <w:t xml:space="preserve"> 因信息技术服务</w:t>
      </w:r>
      <w:r>
        <w:rPr>
          <w:rFonts w:hint="eastAsia" w:ascii="宋体" w:hAnsi="宋体"/>
          <w:sz w:val="28"/>
          <w:szCs w:val="28"/>
          <w:highlight w:val="none"/>
        </w:rPr>
        <w:t>机构或者公共媒体转发交易行情信息发生故障，影响会员、境外特殊参与者、境外中介机构或者客户正常交易的，交易所不承担法律责任。</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第四十七条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任何单位或者个人不得发布虚假的或者带有误导性质的期货交易信息。</w:t>
      </w:r>
    </w:p>
    <w:p>
      <w:pPr>
        <w:spacing w:line="600" w:lineRule="exact"/>
        <w:jc w:val="center"/>
        <w:rPr>
          <w:rFonts w:ascii="黑体" w:hAnsi="黑体" w:eastAsia="黑体"/>
          <w:sz w:val="32"/>
          <w:szCs w:val="32"/>
          <w:highlight w:val="none"/>
        </w:rPr>
      </w:pPr>
      <w:r>
        <w:rPr>
          <w:rFonts w:hint="eastAsia" w:ascii="黑体" w:hAnsi="黑体" w:eastAsia="黑体"/>
          <w:sz w:val="32"/>
          <w:szCs w:val="32"/>
          <w:highlight w:val="none"/>
        </w:rPr>
        <w:t>第六章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附则</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第四十八条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违反本办法规定的，交易所按照《郑州商品交易所违规处理办法》有关规定处理。</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第四十九条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本办法解释权属于郑州商品交易所。</w:t>
      </w:r>
    </w:p>
    <w:p>
      <w:pPr>
        <w:spacing w:after="240"/>
        <w:ind w:firstLine="548" w:firstLineChars="196"/>
        <w:jc w:val="left"/>
        <w:rPr>
          <w:rFonts w:ascii="仿宋" w:hAnsi="仿宋" w:eastAsia="仿宋"/>
          <w:sz w:val="32"/>
          <w:szCs w:val="32"/>
          <w:highlight w:val="none"/>
        </w:rPr>
      </w:pPr>
      <w:r>
        <w:rPr>
          <w:rFonts w:hint="eastAsia" w:ascii="黑体" w:hAnsi="黑体" w:eastAsia="黑体"/>
          <w:sz w:val="28"/>
          <w:szCs w:val="28"/>
          <w:highlight w:val="none"/>
        </w:rPr>
        <w:t>第五十条</w:t>
      </w:r>
      <w:r>
        <w:rPr>
          <w:rFonts w:hint="eastAsia" w:ascii="黑体" w:hAnsi="黑体" w:eastAsia="黑体"/>
          <w:sz w:val="28"/>
          <w:szCs w:val="28"/>
          <w:highlight w:val="none"/>
          <w:lang w:val="en-US" w:eastAsia="zh-CN"/>
        </w:rPr>
        <w:t xml:space="preserve"> </w:t>
      </w:r>
      <w:r>
        <w:rPr>
          <w:rFonts w:hint="eastAsia" w:ascii="宋体" w:hAnsi="宋体"/>
          <w:sz w:val="28"/>
          <w:szCs w:val="28"/>
          <w:highlight w:val="none"/>
        </w:rPr>
        <w:t>本办法自</w:t>
      </w:r>
      <w:r>
        <w:rPr>
          <w:rFonts w:hint="default" w:ascii="宋体" w:hAnsi="宋体"/>
          <w:sz w:val="28"/>
          <w:szCs w:val="28"/>
          <w:highlight w:val="none"/>
          <w:lang w:val="en-US"/>
        </w:rPr>
        <w:t>202</w:t>
      </w:r>
      <w:r>
        <w:rPr>
          <w:rFonts w:hint="eastAsia" w:ascii="宋体" w:hAnsi="宋体"/>
          <w:sz w:val="28"/>
          <w:szCs w:val="28"/>
          <w:highlight w:val="none"/>
          <w:lang w:val="en-US" w:eastAsia="zh-CN"/>
        </w:rPr>
        <w:t>6</w:t>
      </w:r>
      <w:r>
        <w:rPr>
          <w:rFonts w:ascii="宋体" w:hAnsi="宋体"/>
          <w:sz w:val="28"/>
          <w:szCs w:val="28"/>
          <w:highlight w:val="none"/>
        </w:rPr>
        <w:t>年</w:t>
      </w:r>
      <w:r>
        <w:rPr>
          <w:rFonts w:hint="default" w:ascii="宋体" w:hAnsi="宋体"/>
          <w:sz w:val="28"/>
          <w:szCs w:val="28"/>
          <w:highlight w:val="none"/>
          <w:lang w:val="en-US" w:eastAsia="zh-CN"/>
        </w:rPr>
        <w:t>5</w:t>
      </w:r>
      <w:r>
        <w:rPr>
          <w:rFonts w:ascii="宋体" w:hAnsi="宋体"/>
          <w:sz w:val="28"/>
          <w:szCs w:val="28"/>
          <w:highlight w:val="none"/>
        </w:rPr>
        <w:t>月</w:t>
      </w:r>
      <w:r>
        <w:rPr>
          <w:rFonts w:hint="default" w:ascii="宋体" w:hAnsi="宋体"/>
          <w:sz w:val="28"/>
          <w:szCs w:val="28"/>
          <w:highlight w:val="none"/>
          <w:lang w:val="en-US" w:eastAsia="zh-CN"/>
        </w:rPr>
        <w:t>7</w:t>
      </w:r>
      <w:r>
        <w:rPr>
          <w:rFonts w:ascii="宋体" w:hAnsi="宋体"/>
          <w:sz w:val="28"/>
          <w:szCs w:val="28"/>
          <w:highlight w:val="none"/>
        </w:rPr>
        <w:t>日起施行。</w:t>
      </w:r>
    </w:p>
    <w:p>
      <w:pPr>
        <w:rPr>
          <w:highlight w:val="none"/>
        </w:rPr>
      </w:pPr>
    </w:p>
    <w:p>
      <w:pP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720" w:num="1"/>
          <w:docGrid w:type="lines" w:linePitch="312" w:charSpace="0"/>
        </w:sect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郑州商品交易所期权交易管理办法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对《郑州商品交易所期权交易管理办法》作如下修订：</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将第一章第四条修订为：“本办法适用于交易所内的期权交易活动，交易所、会员、境外特殊参与者、境外中介机构、做市商、客户、交易所指定的期货保证金存管银行及其他市场参与者应当遵守本办法。”</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将第二章第十九条修订为：“非期货公司会员、境外特殊非经纪参与者、客户进行期权交易，使用与期货交易相同的交易编码。没有交易编码的，应当按期货交易的相关规定申请。”</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将第二章第二十二条修订为：“非期货公司会员、境外特殊非经纪参与者和客户可以向做市商询价。询价合约、询价频率由交易所确定并公布，交易所可以根据市场情况进行调整。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交易所对市场的询价进行管理，当市场询价出现异常时，交易所可以采取电话提示、要求报告情况等措施，会员、境外特殊参与者、境外中介机构和客户应当予以协助和配合。期货公司会员、境外特殊经纪参与者和境外中介机构应当对客户的询价进行管理，要求其合理询价。”</w:t>
      </w:r>
    </w:p>
    <w:p>
      <w:pPr>
        <w:keepNext w:val="0"/>
        <w:keepLines w:val="0"/>
        <w:pageBreakBefore w:val="0"/>
        <w:numPr>
          <w:ilvl w:val="0"/>
          <w:numId w:val="2"/>
        </w:numPr>
        <w:kinsoku/>
        <w:wordWrap/>
        <w:overflowPunct/>
        <w:topLinePunct w:val="0"/>
        <w:autoSpaceDE/>
        <w:autoSpaceDN/>
        <w:bidi w:val="0"/>
        <w:snapToGrid/>
        <w:ind w:left="0" w:leftChars="0"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二十八条第二款修订为：“平仓是指买入或卖出与其所持期权合约数量相同、方向相反的相同期权合约以了结期权持仓的方式。相同期权是指标的物、类型、月份、到期日和行权价格相同的期权合约。”</w:t>
      </w:r>
    </w:p>
    <w:p>
      <w:pPr>
        <w:keepNext w:val="0"/>
        <w:keepLines w:val="0"/>
        <w:pageBreakBefore w:val="0"/>
        <w:numPr>
          <w:ilvl w:val="0"/>
          <w:numId w:val="2"/>
        </w:numPr>
        <w:kinsoku/>
        <w:wordWrap/>
        <w:overflowPunct/>
        <w:topLinePunct w:val="0"/>
        <w:autoSpaceDE/>
        <w:autoSpaceDN/>
        <w:bidi w:val="0"/>
        <w:snapToGrid/>
        <w:ind w:left="0" w:leftChars="0" w:firstLine="640" w:firstLineChars="200"/>
        <w:jc w:val="both"/>
        <w:textAlignment w:val="auto"/>
        <w:rPr>
          <w:rFonts w:hint="default"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二章第二十九条修订为：“非期货公司会员、境外特殊非经纪参与者和客户可以申请对其同一交易编码下的双向期权投机持仓进行对冲平仓。对冲结果从当日期权持仓量中扣除，并计入成交量。申请时间和具体方式由交易所另行公布。”</w:t>
      </w:r>
    </w:p>
    <w:p>
      <w:pPr>
        <w:keepNext w:val="0"/>
        <w:keepLines w:val="0"/>
        <w:pageBreakBefore w:val="0"/>
        <w:numPr>
          <w:ilvl w:val="0"/>
          <w:numId w:val="2"/>
        </w:numPr>
        <w:kinsoku/>
        <w:wordWrap/>
        <w:overflowPunct/>
        <w:topLinePunct w:val="0"/>
        <w:autoSpaceDE/>
        <w:autoSpaceDN/>
        <w:bidi w:val="0"/>
        <w:snapToGrid/>
        <w:ind w:left="0" w:leftChars="0" w:firstLine="640" w:firstLineChars="200"/>
        <w:jc w:val="both"/>
        <w:textAlignment w:val="auto"/>
        <w:rPr>
          <w:rFonts w:hint="default"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将第四章第三十条修订为：“客户的行权与履约应当通过会员，或通过境外特殊经纪参与者、境外中介机构委托会员，并以会员名义在交易所办理。”</w:t>
      </w:r>
    </w:p>
    <w:p>
      <w:pPr>
        <w:keepNext w:val="0"/>
        <w:keepLines w:val="0"/>
        <w:pageBreakBefore w:val="0"/>
        <w:numPr>
          <w:ilvl w:val="0"/>
          <w:numId w:val="2"/>
        </w:numPr>
        <w:kinsoku/>
        <w:wordWrap/>
        <w:overflowPunct/>
        <w:topLinePunct w:val="0"/>
        <w:autoSpaceDE/>
        <w:autoSpaceDN/>
        <w:bidi w:val="0"/>
        <w:snapToGrid/>
        <w:ind w:left="0" w:leftChars="0" w:firstLine="640" w:firstLineChars="200"/>
        <w:jc w:val="both"/>
        <w:textAlignment w:val="auto"/>
        <w:rPr>
          <w:rFonts w:hint="default"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四章第三十二条修订为：“非期货公司会员、境外特殊非经纪参与者和客户可以申请对其同一交易编码下行权及履约后的双向期货投机持仓进行对冲平仓，对冲数量不超过行权及履约获得的期货买投机持仓量与卖投机持仓量中较大者。对冲结果从当日期货持仓量中扣除，并计入成交量。申请时间和具体方式由交易所另行公布。”</w:t>
      </w:r>
    </w:p>
    <w:p>
      <w:pPr>
        <w:keepNext w:val="0"/>
        <w:keepLines w:val="0"/>
        <w:pageBreakBefore w:val="0"/>
        <w:numPr>
          <w:ilvl w:val="0"/>
          <w:numId w:val="2"/>
        </w:numPr>
        <w:kinsoku/>
        <w:wordWrap/>
        <w:overflowPunct/>
        <w:topLinePunct w:val="0"/>
        <w:autoSpaceDE/>
        <w:autoSpaceDN/>
        <w:bidi w:val="0"/>
        <w:snapToGrid/>
        <w:ind w:left="0" w:leftChars="0" w:firstLine="640" w:firstLineChars="200"/>
        <w:jc w:val="both"/>
        <w:textAlignment w:val="auto"/>
        <w:rPr>
          <w:rFonts w:hint="default"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将第四章第三十四条修订为：“期权合约到期前，期货公司会员、境外特殊经纪参与者和境外中介机构应当提醒客户妥善处理期权持仓。”</w:t>
      </w:r>
    </w:p>
    <w:p>
      <w:pPr>
        <w:keepNext w:val="0"/>
        <w:keepLines w:val="0"/>
        <w:pageBreakBefore w:val="0"/>
        <w:numPr>
          <w:ilvl w:val="0"/>
          <w:numId w:val="2"/>
        </w:numPr>
        <w:kinsoku/>
        <w:wordWrap/>
        <w:overflowPunct/>
        <w:topLinePunct w:val="0"/>
        <w:autoSpaceDE/>
        <w:autoSpaceDN/>
        <w:bidi w:val="0"/>
        <w:snapToGrid/>
        <w:ind w:left="0" w:leftChars="0" w:firstLine="640" w:firstLineChars="200"/>
        <w:jc w:val="both"/>
        <w:textAlignment w:val="auto"/>
        <w:rPr>
          <w:rFonts w:hint="default"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四章第三十六条第二款修订为：“买方会员的境外特殊参与者、境外中介机构、客户资金不足的，买方会员不得接受其行权申请。符合本办法第三十五条第（一）、（二）项条件但买方会员的境外特殊参与者、境外中介机构、客户资金不足的，买方会员应当代其向交易所提交放弃申请。”</w:t>
      </w:r>
    </w:p>
    <w:p>
      <w:pPr>
        <w:keepNext w:val="0"/>
        <w:keepLines w:val="0"/>
        <w:pageBreakBefore w:val="0"/>
        <w:numPr>
          <w:ilvl w:val="0"/>
          <w:numId w:val="2"/>
        </w:numPr>
        <w:kinsoku/>
        <w:wordWrap/>
        <w:overflowPunct/>
        <w:topLinePunct w:val="0"/>
        <w:autoSpaceDE/>
        <w:autoSpaceDN/>
        <w:bidi w:val="0"/>
        <w:snapToGrid/>
        <w:ind w:left="0" w:leftChars="0" w:firstLine="640" w:firstLineChars="200"/>
        <w:jc w:val="both"/>
        <w:textAlignment w:val="auto"/>
        <w:rPr>
          <w:rFonts w:hint="default"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将第六章第五十四条修订为：“期权交易实行限仓制度。期权限仓是指交易所规定非期货公司会员、境外特殊非经纪参与者或客户可以持有的、按单边计算的某月份期权合约投机持仓的最大数量。”</w:t>
      </w:r>
    </w:p>
    <w:p>
      <w:pPr>
        <w:keepNext w:val="0"/>
        <w:keepLines w:val="0"/>
        <w:pageBreakBefore w:val="0"/>
        <w:numPr>
          <w:ilvl w:val="0"/>
          <w:numId w:val="2"/>
        </w:numPr>
        <w:kinsoku/>
        <w:wordWrap/>
        <w:overflowPunct/>
        <w:topLinePunct w:val="0"/>
        <w:autoSpaceDE/>
        <w:autoSpaceDN/>
        <w:bidi w:val="0"/>
        <w:snapToGrid/>
        <w:ind w:left="0" w:leftChars="0"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六章第五十五条第二款、第三款修订为：“非期货公司会员、境外特殊非经纪参与者、客户的投机持仓数量不得超过交易所规定的限仓标准。期权合约的限仓标准由交易所确定并公布，交易所可以根据市场情况进行调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“非期货公司会员、境外特殊非经纪参与者和客户进行套期保值、套利交易以及从事做市商业务，其持仓限额按照交易所有关规定执行。”</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将第六章第五十七条修订为：“非期货公司会员、境外特殊非经纪参与者、客户因期权行权超出期货限仓标准的，交易所按照有关规定实行强行平仓措施。”</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将第六章第五十九条修订为：“期权交易实行强行平仓制度。出现以下情形的，交易所按照流动性和释放资金量最大原则进行强行平仓：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“（一）会员或其受托结算的任一明细账户的结算准备金余额小于零并未能在规定时间补足，且没有提供平仓名单的；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“（二）非期货公司会员、境外特殊非经纪参与者或客户持仓量超出其限仓规定的。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“其他强行平仓的情形、原则和程序等，适用《郑州商品交易所期货交易风险控制管理办法》有关规定。”</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将第七章第六十五条修订为：“每日期权交易信息在每个交易日结束后发布，主要内容有：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“（一）每日行情：交易代码、开盘价、最高价、最低价、收盘价、前结算价、结算价、涨跌、成交量、成交额、持仓量、持仓量变化、德尔塔（Delta）、隐含波动率和行权量；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“（二）最近月份及活跃月份前20名期货公司会员、境外特殊经纪参与者的成交量、买卖持仓量。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“本条第一款第（一）项所称德尔塔（Delta）是指期权价格的变动相对于其标的物价格变动的比率；行权量是指期权合约以行权为了结方式的数量。”</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b w:val="0"/>
          <w:bCs w:val="0"/>
          <w:sz w:val="32"/>
          <w:szCs w:val="32"/>
          <w:highlight w:val="none"/>
          <w:u w:val="none"/>
          <w:lang w:val="en-US" w:eastAsia="zh-CN"/>
        </w:rPr>
      </w:pPr>
      <w:r>
        <w:rPr>
          <w:rFonts w:hint="eastAsia" w:ascii="仿宋" w:hAnsi="仿宋" w:eastAsia="仿宋"/>
          <w:b w:val="0"/>
          <w:bCs w:val="0"/>
          <w:sz w:val="32"/>
          <w:szCs w:val="32"/>
          <w:highlight w:val="none"/>
          <w:u w:val="none"/>
          <w:lang w:val="en-US" w:eastAsia="zh-CN"/>
        </w:rPr>
        <w:t>将第七章第六十九条修订为：“因信息经营机构或公众媒体转发即时交易行情信息发生故障，影响会员、境外特殊参与者、境外中介机构或客户正常交易的，交易所不承担责任。”</w:t>
      </w:r>
    </w:p>
    <w:p>
      <w:pPr>
        <w:widowControl/>
        <w:suppressAutoHyphens/>
        <w:bidi w:val="0"/>
        <w:jc w:val="center"/>
        <w:rPr>
          <w:rFonts w:hint="eastAsia" w:ascii="黑体" w:hAnsi="黑体" w:eastAsia="黑体" w:cs="黑体"/>
          <w:b w:val="0"/>
          <w:bCs/>
          <w:color w:val="000000"/>
          <w:sz w:val="40"/>
          <w:szCs w:val="40"/>
          <w:highlight w:val="none"/>
          <w:lang w:eastAsia="zh-CN"/>
        </w:rPr>
      </w:pPr>
      <w:r>
        <w:rPr>
          <w:rFonts w:hint="eastAsia" w:ascii="仿宋" w:hAnsi="仿宋" w:eastAsia="仿宋"/>
          <w:b w:val="0"/>
          <w:bCs w:val="0"/>
          <w:sz w:val="32"/>
          <w:szCs w:val="32"/>
          <w:highlight w:val="none"/>
          <w:u w:val="none"/>
          <w:lang w:val="en-US" w:eastAsia="zh-CN"/>
        </w:rPr>
        <w:br w:type="page"/>
      </w:r>
      <w:r>
        <w:rPr>
          <w:rFonts w:hint="eastAsia" w:ascii="黑体" w:hAnsi="黑体" w:eastAsia="黑体" w:cs="黑体"/>
          <w:b w:val="0"/>
          <w:bCs/>
          <w:color w:val="000000"/>
          <w:sz w:val="40"/>
          <w:szCs w:val="40"/>
          <w:highlight w:val="none"/>
          <w:lang w:eastAsia="zh-CN"/>
        </w:rPr>
        <w:t>《</w:t>
      </w:r>
      <w:r>
        <w:rPr>
          <w:rFonts w:hint="eastAsia" w:ascii="黑体" w:hAnsi="黑体" w:eastAsia="黑体" w:cs="黑体"/>
          <w:b w:val="0"/>
          <w:bCs/>
          <w:color w:val="000000"/>
          <w:sz w:val="40"/>
          <w:szCs w:val="40"/>
          <w:highlight w:val="none"/>
        </w:rPr>
        <w:t>郑州商品交易所期权交易管理办法</w:t>
      </w:r>
      <w:r>
        <w:rPr>
          <w:rFonts w:hint="eastAsia" w:ascii="黑体" w:hAnsi="黑体" w:eastAsia="黑体" w:cs="黑体"/>
          <w:b w:val="0"/>
          <w:bCs/>
          <w:color w:val="000000"/>
          <w:sz w:val="40"/>
          <w:szCs w:val="40"/>
          <w:highlight w:val="none"/>
          <w:lang w:eastAsia="zh-CN"/>
        </w:rPr>
        <w:t>》</w:t>
      </w:r>
    </w:p>
    <w:p>
      <w:pPr>
        <w:widowControl/>
        <w:suppressAutoHyphens/>
        <w:bidi w:val="0"/>
        <w:jc w:val="center"/>
        <w:rPr>
          <w:rFonts w:hint="eastAsia" w:ascii="黑体" w:hAnsi="黑体" w:eastAsia="黑体" w:cs="黑体"/>
          <w:b w:val="0"/>
          <w:bCs/>
          <w:color w:val="000000"/>
          <w:sz w:val="40"/>
          <w:szCs w:val="40"/>
          <w:highlight w:val="none"/>
          <w:lang w:val="en-US" w:eastAsia="zh-CN"/>
        </w:rPr>
      </w:pPr>
      <w:r>
        <w:rPr>
          <w:rFonts w:hint="eastAsia" w:ascii="黑体" w:hAnsi="黑体" w:eastAsia="黑体" w:cs="黑体"/>
          <w:b w:val="0"/>
          <w:bCs/>
          <w:color w:val="000000"/>
          <w:sz w:val="40"/>
          <w:szCs w:val="40"/>
          <w:highlight w:val="none"/>
          <w:lang w:eastAsia="zh-CN"/>
        </w:rPr>
        <w:t>修订</w:t>
      </w:r>
      <w:r>
        <w:rPr>
          <w:rFonts w:hint="eastAsia" w:ascii="黑体" w:hAnsi="黑体" w:eastAsia="黑体" w:cs="黑体"/>
          <w:b w:val="0"/>
          <w:bCs/>
          <w:color w:val="000000"/>
          <w:sz w:val="40"/>
          <w:szCs w:val="40"/>
          <w:highlight w:val="none"/>
        </w:rPr>
        <w:t>对照表</w:t>
      </w:r>
    </w:p>
    <w:p>
      <w:pPr>
        <w:widowControl/>
        <w:spacing w:line="360" w:lineRule="auto"/>
        <w:jc w:val="center"/>
        <w:outlineLvl w:val="0"/>
        <w:rPr>
          <w:highlight w:val="none"/>
        </w:rPr>
      </w:pPr>
      <w:r>
        <w:rPr>
          <w:rFonts w:hint="eastAsia" w:ascii="仿宋" w:hAnsi="仿宋" w:eastAsia="仿宋" w:cs="Calibri"/>
          <w:sz w:val="32"/>
          <w:szCs w:val="32"/>
          <w:highlight w:val="none"/>
        </w:rPr>
        <w:t>（删除线部分为删除，下划线加粗部分为修改增加）</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4243"/>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noWrap w:val="0"/>
            <w:vAlign w:val="center"/>
          </w:tcPr>
          <w:p>
            <w:pPr>
              <w:jc w:val="center"/>
              <w:rPr>
                <w:rFonts w:ascii="仿宋" w:hAnsi="仿宋" w:eastAsia="仿宋" w:cs="Times New Roman"/>
                <w:b/>
                <w:sz w:val="24"/>
                <w:highlight w:val="none"/>
              </w:rPr>
            </w:pPr>
            <w:r>
              <w:rPr>
                <w:rFonts w:hint="eastAsia" w:ascii="仿宋" w:hAnsi="仿宋" w:eastAsia="仿宋" w:cs="Times New Roman"/>
                <w:b/>
                <w:sz w:val="24"/>
                <w:highlight w:val="none"/>
                <w:lang w:eastAsia="zh-CN"/>
              </w:rPr>
              <w:t>修订前</w:t>
            </w:r>
            <w:r>
              <w:rPr>
                <w:rFonts w:hint="eastAsia" w:ascii="仿宋" w:hAnsi="仿宋" w:eastAsia="仿宋" w:cs="Times New Roman"/>
                <w:b/>
                <w:sz w:val="24"/>
                <w:highlight w:val="none"/>
              </w:rPr>
              <w:t>条文</w:t>
            </w:r>
          </w:p>
        </w:tc>
        <w:tc>
          <w:tcPr>
            <w:tcW w:w="2498" w:type="pct"/>
            <w:gridSpan w:val="2"/>
            <w:noWrap w:val="0"/>
            <w:vAlign w:val="center"/>
          </w:tcPr>
          <w:p>
            <w:pPr>
              <w:jc w:val="center"/>
              <w:rPr>
                <w:rFonts w:ascii="仿宋" w:hAnsi="仿宋" w:eastAsia="仿宋" w:cs="Times New Roman"/>
                <w:b/>
                <w:sz w:val="24"/>
                <w:highlight w:val="none"/>
              </w:rPr>
            </w:pPr>
            <w:r>
              <w:rPr>
                <w:rFonts w:hint="eastAsia" w:ascii="仿宋" w:hAnsi="仿宋" w:eastAsia="仿宋" w:cs="Times New Roman"/>
                <w:b/>
                <w:sz w:val="24"/>
                <w:highlight w:val="none"/>
              </w:rPr>
              <w:t>修订</w:t>
            </w:r>
            <w:r>
              <w:rPr>
                <w:rFonts w:hint="eastAsia" w:ascii="仿宋" w:hAnsi="仿宋" w:eastAsia="仿宋" w:cs="Times New Roman"/>
                <w:b/>
                <w:sz w:val="24"/>
                <w:highlight w:val="none"/>
                <w:lang w:eastAsia="zh-CN"/>
              </w:rPr>
              <w:t>后</w:t>
            </w:r>
            <w:r>
              <w:rPr>
                <w:rFonts w:hint="eastAsia" w:ascii="仿宋" w:hAnsi="仿宋" w:eastAsia="仿宋" w:cs="Times New Roman"/>
                <w:b/>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center"/>
          </w:tcPr>
          <w:p>
            <w:pPr>
              <w:jc w:val="center"/>
              <w:rPr>
                <w:rFonts w:ascii="仿宋" w:hAnsi="仿宋" w:eastAsia="仿宋" w:cs="Times New Roman"/>
                <w:b/>
                <w:sz w:val="24"/>
                <w:highlight w:val="none"/>
              </w:rPr>
            </w:pPr>
            <w:r>
              <w:rPr>
                <w:rFonts w:hint="eastAsia" w:ascii="仿宋" w:hAnsi="仿宋" w:eastAsia="仿宋" w:cs="Times New Roman"/>
                <w:b/>
                <w:sz w:val="24"/>
                <w:highlight w:val="none"/>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1" w:type="pct"/>
            <w:noWrap w:val="0"/>
            <w:vAlign w:val="top"/>
          </w:tcPr>
          <w:p>
            <w:pPr>
              <w:numPr>
                <w:ilvl w:val="0"/>
                <w:numId w:val="3"/>
              </w:num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本办法适用于交易所内的期权交易活动，交易所、会员、做市商、境外经纪机构、客户、交易所指定的期货保证金存管银行及其他市场参与者应当遵守本办法。</w:t>
            </w:r>
          </w:p>
        </w:tc>
        <w:tc>
          <w:tcPr>
            <w:tcW w:w="2498" w:type="pct"/>
            <w:gridSpan w:val="2"/>
            <w:noWrap w:val="0"/>
            <w:vAlign w:val="top"/>
          </w:tcPr>
          <w:p>
            <w:pPr>
              <w:snapToGrid/>
              <w:ind w:firstLine="460" w:firstLineChars="192"/>
              <w:jc w:val="both"/>
              <w:rPr>
                <w:rFonts w:ascii="仿宋" w:hAnsi="仿宋" w:eastAsia="仿宋" w:cs="Times New Roman"/>
                <w:sz w:val="24"/>
                <w:highlight w:val="none"/>
              </w:rPr>
            </w:pPr>
            <w:r>
              <w:rPr>
                <w:rFonts w:hint="eastAsia" w:ascii="仿宋" w:hAnsi="仿宋" w:eastAsia="仿宋" w:cs="Times New Roman"/>
                <w:sz w:val="24"/>
                <w:highlight w:val="none"/>
              </w:rPr>
              <w:t>第四条 本办法适用于交易所内的期权交易活动，交易所、会员、</w:t>
            </w:r>
            <w:r>
              <w:rPr>
                <w:rFonts w:hint="eastAsia" w:ascii="仿宋" w:hAnsi="仿宋" w:eastAsia="仿宋" w:cs="Times New Roman"/>
                <w:b/>
                <w:sz w:val="24"/>
                <w:highlight w:val="none"/>
                <w:u w:val="single"/>
              </w:rPr>
              <w:t>境外特殊参与者、境外中介机构</w:t>
            </w:r>
            <w:r>
              <w:rPr>
                <w:rFonts w:hint="eastAsia" w:ascii="仿宋" w:hAnsi="仿宋" w:eastAsia="仿宋" w:cs="Times New Roman"/>
                <w:sz w:val="24"/>
                <w:highlight w:val="none"/>
                <w:u w:val="single"/>
              </w:rPr>
              <w:t>、</w:t>
            </w:r>
            <w:r>
              <w:rPr>
                <w:rFonts w:hint="eastAsia" w:ascii="仿宋" w:hAnsi="仿宋" w:eastAsia="仿宋" w:cs="Times New Roman"/>
                <w:sz w:val="24"/>
                <w:highlight w:val="none"/>
              </w:rPr>
              <w:t>做市商</w:t>
            </w:r>
            <w:r>
              <w:rPr>
                <w:rFonts w:hint="eastAsia" w:ascii="仿宋" w:hAnsi="仿宋" w:eastAsia="仿宋" w:cs="Times New Roman"/>
                <w:sz w:val="24"/>
                <w:highlight w:val="none"/>
                <w:lang w:eastAsia="zh-CN"/>
              </w:rPr>
              <w:t>、</w:t>
            </w:r>
            <w:r>
              <w:rPr>
                <w:rFonts w:hint="eastAsia" w:ascii="仿宋" w:hAnsi="仿宋" w:eastAsia="仿宋" w:cs="Times New Roman"/>
                <w:b w:val="0"/>
                <w:bCs/>
                <w:strike/>
                <w:sz w:val="24"/>
                <w:highlight w:val="none"/>
              </w:rPr>
              <w:t>境</w:t>
            </w:r>
            <w:r>
              <w:rPr>
                <w:rFonts w:hint="eastAsia" w:ascii="仿宋" w:hAnsi="仿宋" w:eastAsia="仿宋" w:cs="Times New Roman"/>
                <w:b w:val="0"/>
                <w:bCs/>
                <w:strike w:val="0"/>
                <w:dstrike/>
                <w:sz w:val="24"/>
                <w:highlight w:val="none"/>
              </w:rPr>
              <w:t>外经纪机构、</w:t>
            </w:r>
            <w:r>
              <w:rPr>
                <w:rFonts w:hint="eastAsia" w:ascii="仿宋" w:hAnsi="仿宋" w:eastAsia="仿宋" w:cs="Times New Roman"/>
                <w:sz w:val="24"/>
                <w:highlight w:val="none"/>
              </w:rPr>
              <w:t>客户、交易所指定的期货保证金存管银行及其他市场参与者应当遵守本办法。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center"/>
          </w:tcPr>
          <w:p>
            <w:pPr>
              <w:jc w:val="center"/>
              <w:rPr>
                <w:rFonts w:ascii="仿宋" w:hAnsi="仿宋" w:eastAsia="仿宋" w:cs="Times New Roman"/>
                <w:b/>
                <w:sz w:val="24"/>
                <w:highlight w:val="none"/>
              </w:rPr>
            </w:pPr>
            <w:r>
              <w:rPr>
                <w:rFonts w:hint="eastAsia" w:ascii="仿宋" w:hAnsi="仿宋" w:eastAsia="仿宋" w:cs="Times New Roman"/>
                <w:b/>
                <w:sz w:val="24"/>
                <w:highlight w:val="none"/>
              </w:rPr>
              <w:t>第三章 交易业务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2501" w:type="pct"/>
            <w:noWrap w:val="0"/>
            <w:vAlign w:val="top"/>
          </w:tcPr>
          <w:p>
            <w:pPr>
              <w:ind w:firstLine="480" w:firstLineChars="200"/>
              <w:jc w:val="both"/>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第十九条 非期货公司会员、客户进行期权交易，使用与期货交易相同的交易编码。没有交易编码的，应当按期货交易的相关规定申请。</w:t>
            </w:r>
          </w:p>
        </w:tc>
        <w:tc>
          <w:tcPr>
            <w:tcW w:w="2498" w:type="pct"/>
            <w:gridSpan w:val="2"/>
            <w:noWrap w:val="0"/>
            <w:vAlign w:val="top"/>
          </w:tcPr>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第</w:t>
            </w:r>
            <w:r>
              <w:rPr>
                <w:rFonts w:hint="eastAsia" w:ascii="仿宋" w:hAnsi="仿宋" w:eastAsia="仿宋" w:cs="Times New Roman"/>
                <w:sz w:val="24"/>
                <w:highlight w:val="none"/>
                <w:lang w:val="en-US" w:eastAsia="zh-CN"/>
              </w:rPr>
              <w:t>十九</w:t>
            </w:r>
            <w:r>
              <w:rPr>
                <w:rFonts w:hint="eastAsia" w:ascii="仿宋" w:hAnsi="仿宋" w:eastAsia="仿宋" w:cs="Times New Roman"/>
                <w:sz w:val="24"/>
                <w:highlight w:val="none"/>
              </w:rPr>
              <w:t>条</w:t>
            </w:r>
            <w:r>
              <w:rPr>
                <w:rFonts w:hint="eastAsia" w:ascii="仿宋" w:hAnsi="仿宋" w:eastAsia="仿宋" w:cs="Times New Roman"/>
                <w:sz w:val="24"/>
                <w:highlight w:val="none"/>
                <w:lang w:val="en-US" w:eastAsia="zh-CN"/>
              </w:rPr>
              <w:t xml:space="preserve"> 非期货公司会员、</w:t>
            </w:r>
            <w:r>
              <w:rPr>
                <w:rFonts w:hint="eastAsia" w:ascii="仿宋" w:hAnsi="仿宋" w:eastAsia="仿宋" w:cs="宋体"/>
                <w:b/>
                <w:color w:val="000000"/>
                <w:kern w:val="0"/>
                <w:sz w:val="24"/>
                <w:highlight w:val="none"/>
                <w:u w:val="single"/>
              </w:rPr>
              <w:t>境外特殊非经纪参与者</w:t>
            </w:r>
            <w:r>
              <w:rPr>
                <w:rFonts w:hint="eastAsia" w:ascii="仿宋" w:hAnsi="仿宋" w:eastAsia="仿宋" w:cs="宋体"/>
                <w:b/>
                <w:color w:val="000000"/>
                <w:kern w:val="0"/>
                <w:sz w:val="24"/>
                <w:highlight w:val="none"/>
                <w:u w:val="single"/>
                <w:lang w:eastAsia="zh-CN"/>
              </w:rPr>
              <w:t>、</w:t>
            </w:r>
            <w:r>
              <w:rPr>
                <w:rFonts w:hint="eastAsia" w:ascii="仿宋" w:hAnsi="仿宋" w:eastAsia="仿宋" w:cs="Times New Roman"/>
                <w:sz w:val="24"/>
                <w:highlight w:val="none"/>
                <w:lang w:val="en-US" w:eastAsia="zh-CN"/>
              </w:rPr>
              <w:t>客户进行期权交易，使用与期货交易相同的交易编码。没有交易编码的，应当按期货交易的相关规定申请。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501" w:type="pct"/>
            <w:noWrap w:val="0"/>
            <w:vAlign w:val="top"/>
          </w:tcPr>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第二十二条 非期货公司会员和客户可以向做市商询价。询价合约、询价频率由交易所确定并公布，交易所可以根据市场情况进行调整。</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交易所对市场的询价进行管理，当市场询价出现异常时，交易所可以采取电话提示、要求报告情况等措施，会员、境外经纪机构和客户应当予以协助和配合。期货公司和境外经纪机构应当对客户的询价进行管理，要求其合理询价。</w:t>
            </w:r>
          </w:p>
        </w:tc>
        <w:tc>
          <w:tcPr>
            <w:tcW w:w="2498" w:type="pct"/>
            <w:gridSpan w:val="2"/>
            <w:noWrap w:val="0"/>
            <w:vAlign w:val="top"/>
          </w:tcPr>
          <w:p>
            <w:pPr>
              <w:ind w:firstLine="480" w:firstLineChars="200"/>
              <w:jc w:val="both"/>
              <w:rPr>
                <w:rFonts w:ascii="仿宋" w:hAnsi="仿宋" w:eastAsia="仿宋" w:cs="宋体"/>
                <w:color w:val="000000"/>
                <w:kern w:val="0"/>
                <w:sz w:val="24"/>
                <w:highlight w:val="none"/>
              </w:rPr>
            </w:pPr>
            <w:r>
              <w:rPr>
                <w:rFonts w:hint="eastAsia" w:ascii="仿宋" w:hAnsi="仿宋" w:eastAsia="仿宋" w:cs="Times New Roman"/>
                <w:sz w:val="24"/>
                <w:highlight w:val="none"/>
              </w:rPr>
              <w:t xml:space="preserve">第二十二条 </w:t>
            </w:r>
            <w:r>
              <w:rPr>
                <w:rFonts w:hint="eastAsia" w:ascii="仿宋" w:hAnsi="仿宋" w:eastAsia="仿宋" w:cs="宋体"/>
                <w:color w:val="000000"/>
                <w:kern w:val="0"/>
                <w:sz w:val="24"/>
                <w:highlight w:val="none"/>
              </w:rPr>
              <w:t>非期货公司会员</w:t>
            </w:r>
            <w:r>
              <w:rPr>
                <w:rFonts w:hint="eastAsia" w:ascii="仿宋" w:hAnsi="仿宋" w:eastAsia="仿宋" w:cs="宋体"/>
                <w:b/>
                <w:color w:val="000000"/>
                <w:kern w:val="0"/>
                <w:sz w:val="24"/>
                <w:highlight w:val="none"/>
                <w:u w:val="single"/>
              </w:rPr>
              <w:t>、境外特殊非经纪参与者</w:t>
            </w:r>
            <w:r>
              <w:rPr>
                <w:rFonts w:hint="eastAsia" w:ascii="仿宋" w:hAnsi="仿宋" w:eastAsia="仿宋" w:cs="宋体"/>
                <w:color w:val="000000"/>
                <w:kern w:val="0"/>
                <w:sz w:val="24"/>
                <w:highlight w:val="none"/>
              </w:rPr>
              <w:t>和客户可以向做市商询价。询价合约、询价频率由交易所确定并公布，交易所可以根据市场情况进行调整。</w:t>
            </w:r>
          </w:p>
          <w:p>
            <w:pPr>
              <w:ind w:firstLine="480" w:firstLineChars="200"/>
              <w:jc w:val="both"/>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rPr>
              <w:t>交易所对市场的询价进行管理，当市场询价出现异常时，交易所可以采取电话提示、要求报告情况等措施，会员</w:t>
            </w:r>
            <w:r>
              <w:rPr>
                <w:rFonts w:hint="eastAsia" w:ascii="仿宋" w:hAnsi="仿宋" w:eastAsia="仿宋" w:cs="Times New Roman"/>
                <w:b/>
                <w:sz w:val="24"/>
                <w:highlight w:val="none"/>
                <w:u w:val="single"/>
              </w:rPr>
              <w:t>、境外特殊参与者、</w:t>
            </w:r>
            <w:r>
              <w:rPr>
                <w:rFonts w:hint="eastAsia" w:ascii="仿宋" w:hAnsi="仿宋" w:eastAsia="仿宋" w:cs="Times New Roman"/>
                <w:b w:val="0"/>
                <w:bCs/>
                <w:sz w:val="24"/>
                <w:highlight w:val="none"/>
                <w:u w:val="none"/>
              </w:rPr>
              <w:t>境外</w:t>
            </w:r>
            <w:r>
              <w:rPr>
                <w:rFonts w:hint="eastAsia" w:ascii="仿宋" w:hAnsi="仿宋" w:eastAsia="仿宋" w:cs="Times New Roman"/>
                <w:b/>
                <w:bCs w:val="0"/>
                <w:sz w:val="24"/>
                <w:highlight w:val="none"/>
                <w:u w:val="single"/>
              </w:rPr>
              <w:t>中介</w:t>
            </w:r>
            <w:r>
              <w:rPr>
                <w:rFonts w:hint="eastAsia" w:ascii="仿宋" w:hAnsi="仿宋" w:eastAsia="仿宋" w:cs="Times New Roman"/>
                <w:b w:val="0"/>
                <w:bCs w:val="0"/>
                <w:strike w:val="0"/>
                <w:dstrike/>
                <w:sz w:val="24"/>
                <w:highlight w:val="none"/>
                <w:lang w:eastAsia="zh-CN"/>
              </w:rPr>
              <w:t>经纪</w:t>
            </w:r>
            <w:r>
              <w:rPr>
                <w:rFonts w:hint="eastAsia" w:ascii="仿宋" w:hAnsi="仿宋" w:eastAsia="仿宋" w:cs="Times New Roman"/>
                <w:b w:val="0"/>
                <w:bCs/>
                <w:sz w:val="24"/>
                <w:highlight w:val="none"/>
                <w:u w:val="none"/>
              </w:rPr>
              <w:t>机构</w:t>
            </w:r>
            <w:r>
              <w:rPr>
                <w:rFonts w:hint="eastAsia" w:ascii="仿宋" w:hAnsi="仿宋" w:eastAsia="仿宋" w:cs="Times New Roman"/>
                <w:sz w:val="24"/>
                <w:highlight w:val="none"/>
              </w:rPr>
              <w:t>和客户应当予以协助和配合。期货公司</w:t>
            </w:r>
            <w:r>
              <w:rPr>
                <w:rFonts w:hint="eastAsia" w:ascii="仿宋" w:hAnsi="仿宋" w:eastAsia="仿宋" w:cs="Times New Roman"/>
                <w:b/>
                <w:sz w:val="24"/>
                <w:highlight w:val="none"/>
                <w:u w:val="single"/>
              </w:rPr>
              <w:t>会员、境外特殊经纪参与者</w:t>
            </w:r>
            <w:r>
              <w:rPr>
                <w:rFonts w:hint="eastAsia" w:ascii="仿宋" w:hAnsi="仿宋" w:eastAsia="仿宋" w:cs="Times New Roman"/>
                <w:b w:val="0"/>
                <w:bCs/>
                <w:sz w:val="24"/>
                <w:highlight w:val="none"/>
                <w:u w:val="none"/>
              </w:rPr>
              <w:t>和境外</w:t>
            </w:r>
            <w:r>
              <w:rPr>
                <w:rFonts w:hint="eastAsia" w:ascii="仿宋" w:hAnsi="仿宋" w:eastAsia="仿宋" w:cs="Times New Roman"/>
                <w:b/>
                <w:bCs w:val="0"/>
                <w:sz w:val="24"/>
                <w:highlight w:val="none"/>
                <w:u w:val="single"/>
              </w:rPr>
              <w:t>中介</w:t>
            </w:r>
            <w:r>
              <w:rPr>
                <w:rFonts w:hint="eastAsia" w:ascii="仿宋" w:hAnsi="仿宋" w:eastAsia="仿宋" w:cs="Times New Roman"/>
                <w:b w:val="0"/>
                <w:bCs w:val="0"/>
                <w:strike w:val="0"/>
                <w:dstrike/>
                <w:sz w:val="24"/>
                <w:highlight w:val="none"/>
                <w:lang w:eastAsia="zh-CN"/>
              </w:rPr>
              <w:t>经纪</w:t>
            </w:r>
            <w:r>
              <w:rPr>
                <w:rFonts w:hint="eastAsia" w:ascii="仿宋" w:hAnsi="仿宋" w:eastAsia="仿宋" w:cs="Times New Roman"/>
                <w:b w:val="0"/>
                <w:bCs/>
                <w:sz w:val="24"/>
                <w:highlight w:val="none"/>
                <w:u w:val="none"/>
              </w:rPr>
              <w:t>机构</w:t>
            </w:r>
            <w:r>
              <w:rPr>
                <w:rFonts w:hint="eastAsia" w:ascii="仿宋" w:hAnsi="仿宋" w:eastAsia="仿宋" w:cs="Times New Roman"/>
                <w:sz w:val="24"/>
                <w:highlight w:val="none"/>
              </w:rPr>
              <w:t>应当对客户的询价进行管理，要求其合理询价。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501" w:type="pct"/>
            <w:noWrap w:val="0"/>
            <w:vAlign w:val="top"/>
          </w:tcPr>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第二十八条</w:t>
            </w:r>
            <w:r>
              <w:rPr>
                <w:rFonts w:hint="eastAsia" w:ascii="仿宋" w:hAnsi="仿宋" w:eastAsia="仿宋" w:cs="Times New Roman"/>
                <w:sz w:val="24"/>
                <w:highlight w:val="none"/>
                <w:lang w:val="en-US" w:eastAsia="zh-CN"/>
              </w:rPr>
              <w:t xml:space="preserve"> </w:t>
            </w:r>
            <w:r>
              <w:rPr>
                <w:rFonts w:hint="eastAsia" w:ascii="仿宋" w:hAnsi="仿宋" w:eastAsia="仿宋" w:cs="Times New Roman"/>
                <w:sz w:val="24"/>
                <w:highlight w:val="none"/>
              </w:rPr>
              <w:t>期权合约了结方式包括平仓、行权和放弃。</w:t>
            </w:r>
          </w:p>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平仓是指客户买入或卖出与其所持期权合约数量相同、方向相反的相同期权合约以了结期权持仓的方式。相同期权是指标的物、类型、月份、到期日和行权价格相同的期权合约。</w:t>
            </w:r>
          </w:p>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行权是指买方按照规定行使权利，以行权价格买入或者卖出标的物，或者按照规定的结算价格进行现金差价结算以了结期权持仓的方式。</w:t>
            </w:r>
          </w:p>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放弃是指期权合约到期，买方不行使权利以了结期权持仓的方式。</w:t>
            </w:r>
          </w:p>
        </w:tc>
        <w:tc>
          <w:tcPr>
            <w:tcW w:w="2498" w:type="pct"/>
            <w:gridSpan w:val="2"/>
            <w:noWrap w:val="0"/>
            <w:vAlign w:val="top"/>
          </w:tcPr>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第二十八条</w:t>
            </w:r>
            <w:r>
              <w:rPr>
                <w:rFonts w:hint="eastAsia" w:ascii="仿宋" w:hAnsi="仿宋" w:eastAsia="仿宋" w:cs="Times New Roman"/>
                <w:sz w:val="24"/>
                <w:highlight w:val="none"/>
                <w:lang w:val="en-US" w:eastAsia="zh-CN"/>
              </w:rPr>
              <w:t xml:space="preserve"> </w:t>
            </w:r>
            <w:r>
              <w:rPr>
                <w:rFonts w:hint="eastAsia" w:ascii="仿宋" w:hAnsi="仿宋" w:eastAsia="仿宋" w:cs="Times New Roman"/>
                <w:sz w:val="24"/>
                <w:highlight w:val="none"/>
              </w:rPr>
              <w:t>期权合约了结方式包括平仓、行权和放弃。</w:t>
            </w:r>
          </w:p>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平仓是指</w:t>
            </w:r>
            <w:r>
              <w:rPr>
                <w:rFonts w:hint="eastAsia" w:ascii="仿宋" w:hAnsi="仿宋" w:eastAsia="仿宋" w:cs="Times New Roman"/>
                <w:b w:val="0"/>
                <w:bCs w:val="0"/>
                <w:strike w:val="0"/>
                <w:dstrike/>
                <w:sz w:val="24"/>
                <w:highlight w:val="none"/>
              </w:rPr>
              <w:t>客户</w:t>
            </w:r>
            <w:r>
              <w:rPr>
                <w:rFonts w:hint="eastAsia" w:ascii="仿宋" w:hAnsi="仿宋" w:eastAsia="仿宋" w:cs="Times New Roman"/>
                <w:sz w:val="24"/>
                <w:highlight w:val="none"/>
              </w:rPr>
              <w:t>买入或卖出与其所持期权合约数量相同、方向相反的相同期权合约以了结期权持仓的方式。相同期权是指标的物、类型、月份、到期日和行权价格相同的期权合约。</w:t>
            </w:r>
          </w:p>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行权是指买方按照规定行使权利，以行权价格买入或者卖出标的物，或者按照规定的结算价格进行现金差价结算以了结期权持仓的方式。</w:t>
            </w:r>
          </w:p>
          <w:p>
            <w:pPr>
              <w:ind w:firstLine="480" w:firstLineChars="200"/>
              <w:jc w:val="both"/>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rPr>
              <w:t>放弃是指期权合约到期，买方不行使权利以了结期权持仓的方式。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2501" w:type="pct"/>
            <w:noWrap w:val="0"/>
            <w:vAlign w:val="top"/>
          </w:tcPr>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第二十九条 非期货公司会员和客户可以申请对其同一交易编码下的双向期权投机持仓进行对冲平仓。对冲结果从当日期权持仓量中扣除，并计入成交量。申请时间和具体方式由交易所另行公布。</w:t>
            </w:r>
          </w:p>
        </w:tc>
        <w:tc>
          <w:tcPr>
            <w:tcW w:w="2498" w:type="pct"/>
            <w:gridSpan w:val="2"/>
            <w:noWrap w:val="0"/>
            <w:vAlign w:val="top"/>
          </w:tcPr>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第二十九条 非期货公司会员</w:t>
            </w:r>
            <w:r>
              <w:rPr>
                <w:rFonts w:hint="eastAsia" w:ascii="仿宋" w:hAnsi="仿宋" w:eastAsia="仿宋" w:cs="Times New Roman"/>
                <w:b/>
                <w:sz w:val="24"/>
                <w:highlight w:val="none"/>
                <w:u w:val="single"/>
              </w:rPr>
              <w:t>、境外特殊非经纪参与者</w:t>
            </w:r>
            <w:r>
              <w:rPr>
                <w:rFonts w:hint="eastAsia" w:ascii="仿宋" w:hAnsi="仿宋" w:eastAsia="仿宋" w:cs="Times New Roman"/>
                <w:sz w:val="24"/>
                <w:highlight w:val="none"/>
              </w:rPr>
              <w:t>和客户可以申请对其同一交易编码下的双向期权投机持仓进行对冲平仓。对冲结果从当日期权持仓量中扣除，并计入成交量。申请时间和具体方式由交易所另行公布。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center"/>
          </w:tcPr>
          <w:p>
            <w:pPr>
              <w:jc w:val="center"/>
              <w:rPr>
                <w:rFonts w:ascii="仿宋" w:hAnsi="仿宋" w:eastAsia="仿宋" w:cs="Times New Roman"/>
                <w:b/>
                <w:sz w:val="24"/>
                <w:highlight w:val="none"/>
              </w:rPr>
            </w:pPr>
            <w:r>
              <w:rPr>
                <w:rFonts w:hint="eastAsia" w:ascii="仿宋" w:hAnsi="仿宋" w:eastAsia="仿宋" w:cs="Times New Roman"/>
                <w:b/>
                <w:sz w:val="24"/>
                <w:highlight w:val="none"/>
              </w:rPr>
              <w:t>第四章</w:t>
            </w:r>
            <w:r>
              <w:rPr>
                <w:rFonts w:ascii="仿宋" w:hAnsi="仿宋" w:eastAsia="仿宋" w:cs="Times New Roman"/>
                <w:b/>
                <w:sz w:val="24"/>
                <w:highlight w:val="none"/>
              </w:rPr>
              <w:t xml:space="preserve"> </w:t>
            </w:r>
            <w:r>
              <w:rPr>
                <w:rFonts w:hint="eastAsia" w:ascii="仿宋" w:hAnsi="仿宋" w:eastAsia="仿宋" w:cs="Times New Roman"/>
                <w:b/>
                <w:sz w:val="24"/>
                <w:highlight w:val="none"/>
              </w:rPr>
              <w:t>行权与履约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1" w:type="pct"/>
            <w:noWrap w:val="0"/>
            <w:vAlign w:val="top"/>
          </w:tcPr>
          <w:p>
            <w:pPr>
              <w:ind w:firstLine="480" w:firstLineChars="200"/>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sz w:val="24"/>
                <w:highlight w:val="none"/>
                <w:lang w:eastAsia="zh-CN"/>
              </w:rPr>
              <w:t>第三十条</w:t>
            </w:r>
            <w:r>
              <w:rPr>
                <w:rFonts w:hint="eastAsia" w:ascii="仿宋" w:hAnsi="仿宋" w:eastAsia="仿宋" w:cs="Times New Roman"/>
                <w:color w:val="auto"/>
                <w:sz w:val="24"/>
                <w:highlight w:val="none"/>
                <w:lang w:val="en-US" w:eastAsia="zh-CN"/>
              </w:rPr>
              <w:t xml:space="preserve"> 客户的行权与履约应当通过会员，或通过境外经纪机构委托会员，并以会员名义在交易所办理。</w:t>
            </w:r>
          </w:p>
        </w:tc>
        <w:tc>
          <w:tcPr>
            <w:tcW w:w="2498" w:type="pct"/>
            <w:gridSpan w:val="2"/>
            <w:noWrap w:val="0"/>
            <w:vAlign w:val="top"/>
          </w:tcPr>
          <w:p>
            <w:pPr>
              <w:tabs>
                <w:tab w:val="left" w:pos="1380"/>
              </w:tabs>
              <w:ind w:firstLine="480" w:firstLineChars="200"/>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sz w:val="24"/>
                <w:highlight w:val="none"/>
                <w:lang w:eastAsia="zh-CN"/>
              </w:rPr>
              <w:t>第三十条</w:t>
            </w:r>
            <w:r>
              <w:rPr>
                <w:rFonts w:hint="eastAsia" w:ascii="仿宋" w:hAnsi="仿宋" w:eastAsia="仿宋" w:cs="Times New Roman"/>
                <w:color w:val="auto"/>
                <w:sz w:val="24"/>
                <w:highlight w:val="none"/>
                <w:lang w:val="en-US" w:eastAsia="zh-CN"/>
              </w:rPr>
              <w:t xml:space="preserve"> 客户的行权与履约应当通过会员，或通过</w:t>
            </w:r>
            <w:r>
              <w:rPr>
                <w:rFonts w:hint="eastAsia" w:ascii="仿宋" w:hAnsi="仿宋" w:eastAsia="仿宋" w:cs="Times New Roman"/>
                <w:strike w:val="0"/>
                <w:dstrike/>
                <w:color w:val="auto"/>
                <w:sz w:val="24"/>
                <w:highlight w:val="none"/>
                <w:lang w:val="en-US" w:eastAsia="zh-CN"/>
              </w:rPr>
              <w:t>境外经纪机构</w:t>
            </w:r>
            <w:r>
              <w:rPr>
                <w:rFonts w:hint="eastAsia" w:ascii="仿宋" w:hAnsi="仿宋" w:eastAsia="仿宋" w:cs="Times New Roman"/>
                <w:b/>
                <w:bCs/>
                <w:color w:val="auto"/>
                <w:sz w:val="24"/>
                <w:highlight w:val="none"/>
                <w:u w:val="single"/>
                <w:lang w:val="en-US" w:eastAsia="zh-CN"/>
              </w:rPr>
              <w:t>境外特殊经纪参与者、境外中介机构</w:t>
            </w:r>
            <w:r>
              <w:rPr>
                <w:rFonts w:hint="eastAsia" w:ascii="仿宋" w:hAnsi="仿宋" w:eastAsia="仿宋" w:cs="Times New Roman"/>
                <w:color w:val="auto"/>
                <w:sz w:val="24"/>
                <w:highlight w:val="none"/>
                <w:lang w:val="en-US" w:eastAsia="zh-CN"/>
              </w:rPr>
              <w:t>委托会员，并以会员名义在交易所办理。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1" w:type="pct"/>
            <w:noWrap w:val="0"/>
            <w:vAlign w:val="top"/>
          </w:tcPr>
          <w:p>
            <w:pPr>
              <w:ind w:firstLine="480" w:firstLineChars="200"/>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sz w:val="24"/>
                <w:highlight w:val="none"/>
              </w:rPr>
              <w:t>第三十二条</w:t>
            </w:r>
            <w:r>
              <w:rPr>
                <w:rFonts w:hint="eastAsia" w:ascii="仿宋" w:hAnsi="仿宋" w:eastAsia="仿宋" w:cs="Times New Roman"/>
                <w:sz w:val="24"/>
                <w:highlight w:val="none"/>
                <w:lang w:val="en-US" w:eastAsia="zh-CN"/>
              </w:rPr>
              <w:t xml:space="preserve"> </w:t>
            </w:r>
            <w:r>
              <w:rPr>
                <w:rFonts w:hint="eastAsia" w:ascii="仿宋" w:hAnsi="仿宋" w:eastAsia="仿宋" w:cs="Times New Roman"/>
                <w:sz w:val="24"/>
                <w:highlight w:val="none"/>
              </w:rPr>
              <w:t>非期货公司会员和客户可以申请对其同一交易编码下行权及履约后的双向期货投机持仓进行对冲平仓，对冲数量不超过行权及履约获得的期货买投机持仓量与卖投机持仓量中较大者。对冲结果从当日期货持仓量中扣除，并计入成交量。申请时间和具体方式由交易所另行公布。</w:t>
            </w:r>
          </w:p>
        </w:tc>
        <w:tc>
          <w:tcPr>
            <w:tcW w:w="2498" w:type="pct"/>
            <w:gridSpan w:val="2"/>
            <w:noWrap w:val="0"/>
            <w:vAlign w:val="top"/>
          </w:tcPr>
          <w:p>
            <w:pPr>
              <w:tabs>
                <w:tab w:val="left" w:pos="1380"/>
              </w:tabs>
              <w:ind w:firstLine="480" w:firstLineChars="200"/>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sz w:val="24"/>
                <w:highlight w:val="none"/>
              </w:rPr>
              <w:t xml:space="preserve">第三十二条 </w:t>
            </w:r>
            <w:r>
              <w:rPr>
                <w:rFonts w:ascii="仿宋" w:hAnsi="仿宋" w:eastAsia="仿宋" w:cs="Times New Roman"/>
                <w:sz w:val="24"/>
                <w:highlight w:val="none"/>
              </w:rPr>
              <w:t>非期货公司会员</w:t>
            </w:r>
            <w:r>
              <w:rPr>
                <w:rFonts w:hint="eastAsia" w:ascii="仿宋" w:hAnsi="仿宋" w:eastAsia="仿宋" w:cs="Times New Roman"/>
                <w:b/>
                <w:sz w:val="24"/>
                <w:highlight w:val="none"/>
                <w:u w:val="single"/>
              </w:rPr>
              <w:t>、</w:t>
            </w:r>
            <w:r>
              <w:rPr>
                <w:rFonts w:ascii="仿宋" w:hAnsi="仿宋" w:eastAsia="仿宋" w:cs="Times New Roman"/>
                <w:b/>
                <w:sz w:val="24"/>
                <w:highlight w:val="none"/>
                <w:u w:val="single"/>
              </w:rPr>
              <w:t>境外特殊非经纪参与者</w:t>
            </w:r>
            <w:r>
              <w:rPr>
                <w:rFonts w:ascii="仿宋" w:hAnsi="仿宋" w:eastAsia="仿宋" w:cs="Times New Roman"/>
                <w:sz w:val="24"/>
                <w:highlight w:val="none"/>
              </w:rPr>
              <w:t>和客户可以申请对其同一交易编码下行权及履约后的双向期货投机持仓进行对冲平仓，对冲数量不超过行权及履约获得的期货买投机持仓量与卖投机持仓量中较大者。对冲结果从当日期货持仓量中扣除，并计入成交量。申请时间和具体方式由交易所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501" w:type="pct"/>
            <w:noWrap w:val="0"/>
            <w:vAlign w:val="top"/>
          </w:tcPr>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第三十四条 期权合约到期前，会员、境外经纪机构应当提醒客户妥善处理期权持仓。</w:t>
            </w:r>
          </w:p>
        </w:tc>
        <w:tc>
          <w:tcPr>
            <w:tcW w:w="2498" w:type="pct"/>
            <w:gridSpan w:val="2"/>
            <w:noWrap w:val="0"/>
            <w:vAlign w:val="top"/>
          </w:tcPr>
          <w:p>
            <w:pPr>
              <w:tabs>
                <w:tab w:val="left" w:pos="1380"/>
              </w:tabs>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第三十四条 期权合约到期前，</w:t>
            </w:r>
            <w:r>
              <w:rPr>
                <w:rFonts w:hint="eastAsia" w:ascii="仿宋" w:hAnsi="仿宋" w:eastAsia="仿宋" w:cs="Times New Roman"/>
                <w:b/>
                <w:sz w:val="24"/>
                <w:highlight w:val="none"/>
                <w:u w:val="single"/>
              </w:rPr>
              <w:t>期货公司</w:t>
            </w:r>
            <w:r>
              <w:rPr>
                <w:rFonts w:hint="eastAsia" w:ascii="仿宋" w:hAnsi="仿宋" w:eastAsia="仿宋" w:cs="Times New Roman"/>
                <w:sz w:val="24"/>
                <w:highlight w:val="none"/>
              </w:rPr>
              <w:t>会员</w:t>
            </w:r>
            <w:r>
              <w:rPr>
                <w:rFonts w:hint="eastAsia" w:ascii="仿宋" w:hAnsi="仿宋" w:eastAsia="仿宋" w:cs="Times New Roman"/>
                <w:b/>
                <w:sz w:val="24"/>
                <w:highlight w:val="none"/>
                <w:u w:val="single"/>
              </w:rPr>
              <w:t>、境外特殊经纪参与者和境外中介机构</w:t>
            </w:r>
            <w:r>
              <w:rPr>
                <w:rFonts w:hint="eastAsia" w:ascii="仿宋" w:hAnsi="仿宋" w:eastAsia="仿宋" w:cs="Times New Roman"/>
                <w:strike w:val="0"/>
                <w:dstrike/>
                <w:color w:val="auto"/>
                <w:sz w:val="24"/>
                <w:highlight w:val="none"/>
                <w:lang w:val="en-US" w:eastAsia="zh-CN"/>
              </w:rPr>
              <w:t>境外经纪机构</w:t>
            </w:r>
            <w:r>
              <w:rPr>
                <w:rFonts w:hint="eastAsia" w:ascii="仿宋" w:hAnsi="仿宋" w:eastAsia="仿宋" w:cs="Times New Roman"/>
                <w:sz w:val="24"/>
                <w:highlight w:val="none"/>
              </w:rPr>
              <w:t>应当提醒客户妥善处理期权持仓。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noWrap w:val="0"/>
            <w:vAlign w:val="top"/>
          </w:tcPr>
          <w:p>
            <w:pPr>
              <w:ind w:firstLine="480" w:firstLineChars="200"/>
              <w:jc w:val="both"/>
              <w:rPr>
                <w:rFonts w:hint="eastAsia" w:ascii="仿宋" w:hAnsi="仿宋" w:eastAsia="仿宋" w:cs="Times New Roman"/>
                <w:sz w:val="24"/>
                <w:highlight w:val="none"/>
              </w:rPr>
            </w:pPr>
            <w:r>
              <w:rPr>
                <w:rFonts w:hint="eastAsia" w:ascii="仿宋" w:hAnsi="仿宋" w:eastAsia="仿宋" w:cs="Times New Roman"/>
                <w:sz w:val="24"/>
                <w:highlight w:val="none"/>
              </w:rPr>
              <w:t>第三十六条 期货期权的买方行权时，其资金余额应当满足期货交易保证金要求。</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买方客户资金不足的，会员、境外经纪机构不得接受其行权申请。符合本办法第三十五条第（一）、（二）项条件但资金不足的，会员应代买方客户，或境外经纪机构应代买方客户通过会员向交易所提交放弃申请。</w:t>
            </w:r>
          </w:p>
        </w:tc>
        <w:tc>
          <w:tcPr>
            <w:tcW w:w="2498" w:type="pct"/>
            <w:gridSpan w:val="2"/>
            <w:noWrap w:val="0"/>
            <w:vAlign w:val="top"/>
          </w:tcPr>
          <w:p>
            <w:pPr>
              <w:ind w:firstLine="480" w:firstLineChars="200"/>
              <w:jc w:val="both"/>
              <w:rPr>
                <w:rFonts w:ascii="仿宋" w:hAnsi="仿宋" w:eastAsia="仿宋" w:cs="宋体"/>
                <w:color w:val="000000"/>
                <w:kern w:val="0"/>
                <w:sz w:val="24"/>
                <w:highlight w:val="none"/>
              </w:rPr>
            </w:pPr>
            <w:r>
              <w:rPr>
                <w:rFonts w:hint="eastAsia" w:ascii="仿宋" w:hAnsi="仿宋" w:eastAsia="仿宋" w:cs="Times New Roman"/>
                <w:sz w:val="24"/>
                <w:highlight w:val="none"/>
              </w:rPr>
              <w:t xml:space="preserve">第三十六条 </w:t>
            </w:r>
            <w:r>
              <w:rPr>
                <w:rFonts w:hint="eastAsia" w:ascii="仿宋" w:hAnsi="仿宋" w:eastAsia="仿宋" w:cs="宋体"/>
                <w:color w:val="000000"/>
                <w:kern w:val="0"/>
                <w:sz w:val="24"/>
                <w:highlight w:val="none"/>
              </w:rPr>
              <w:t>期货期权的买方行权时，其资金余额应当满足期货交易保证金要求。</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买方</w:t>
            </w:r>
            <w:r>
              <w:rPr>
                <w:rFonts w:hint="eastAsia" w:ascii="仿宋" w:hAnsi="仿宋" w:eastAsia="仿宋" w:cs="Times New Roman"/>
                <w:b/>
                <w:sz w:val="24"/>
                <w:highlight w:val="none"/>
                <w:u w:val="single"/>
              </w:rPr>
              <w:t>会员的境外特殊参与者、境外中介机构、</w:t>
            </w:r>
            <w:r>
              <w:rPr>
                <w:rFonts w:hint="eastAsia" w:ascii="仿宋" w:hAnsi="仿宋" w:eastAsia="仿宋" w:cs="Times New Roman"/>
                <w:sz w:val="24"/>
                <w:highlight w:val="none"/>
              </w:rPr>
              <w:t>客户资金不足的，</w:t>
            </w:r>
            <w:r>
              <w:rPr>
                <w:rFonts w:hint="eastAsia" w:ascii="仿宋" w:hAnsi="仿宋" w:eastAsia="仿宋" w:cs="Times New Roman"/>
                <w:b/>
                <w:sz w:val="24"/>
                <w:highlight w:val="none"/>
              </w:rPr>
              <w:t>买方</w:t>
            </w:r>
            <w:r>
              <w:rPr>
                <w:rFonts w:hint="eastAsia" w:ascii="仿宋" w:hAnsi="仿宋" w:eastAsia="仿宋" w:cs="Times New Roman"/>
                <w:sz w:val="24"/>
                <w:highlight w:val="none"/>
              </w:rPr>
              <w:t>会员</w:t>
            </w:r>
            <w:r>
              <w:rPr>
                <w:rFonts w:hint="eastAsia" w:ascii="仿宋" w:hAnsi="仿宋" w:eastAsia="仿宋" w:cs="Times New Roman"/>
                <w:strike w:val="0"/>
                <w:dstrike/>
                <w:sz w:val="24"/>
                <w:highlight w:val="none"/>
              </w:rPr>
              <w:t>、境外经纪机构</w:t>
            </w:r>
            <w:r>
              <w:rPr>
                <w:rFonts w:hint="eastAsia" w:ascii="仿宋" w:hAnsi="仿宋" w:eastAsia="仿宋" w:cs="Times New Roman"/>
                <w:sz w:val="24"/>
                <w:highlight w:val="none"/>
              </w:rPr>
              <w:t>不得接受其行权申请。符合本办法第三十五条第（一）、（二）项条件但</w:t>
            </w:r>
            <w:r>
              <w:rPr>
                <w:rFonts w:hint="eastAsia" w:ascii="仿宋" w:hAnsi="仿宋" w:eastAsia="仿宋" w:cs="Times New Roman"/>
                <w:b/>
                <w:sz w:val="24"/>
                <w:highlight w:val="none"/>
                <w:u w:val="single"/>
              </w:rPr>
              <w:t>买方会员的境外特殊参与者、境外中介机构、客户</w:t>
            </w:r>
            <w:r>
              <w:rPr>
                <w:rFonts w:hint="eastAsia" w:ascii="仿宋" w:hAnsi="仿宋" w:eastAsia="仿宋" w:cs="Times New Roman"/>
                <w:sz w:val="24"/>
                <w:highlight w:val="none"/>
              </w:rPr>
              <w:t>资金不足的，</w:t>
            </w:r>
            <w:r>
              <w:rPr>
                <w:rFonts w:hint="eastAsia" w:ascii="仿宋" w:hAnsi="仿宋" w:eastAsia="仿宋" w:cs="Times New Roman"/>
                <w:b/>
                <w:sz w:val="24"/>
                <w:highlight w:val="none"/>
                <w:u w:val="single"/>
              </w:rPr>
              <w:t>买方</w:t>
            </w:r>
            <w:r>
              <w:rPr>
                <w:rFonts w:hint="eastAsia" w:ascii="仿宋" w:hAnsi="仿宋" w:eastAsia="仿宋" w:cs="Times New Roman"/>
                <w:sz w:val="24"/>
                <w:highlight w:val="none"/>
              </w:rPr>
              <w:t>会员应</w:t>
            </w:r>
            <w:r>
              <w:rPr>
                <w:rFonts w:hint="eastAsia" w:ascii="仿宋" w:hAnsi="仿宋" w:eastAsia="仿宋" w:cs="Times New Roman"/>
                <w:b/>
                <w:sz w:val="24"/>
                <w:highlight w:val="none"/>
                <w:u w:val="single"/>
              </w:rPr>
              <w:t>当</w:t>
            </w:r>
            <w:r>
              <w:rPr>
                <w:rFonts w:hint="eastAsia" w:ascii="仿宋" w:hAnsi="仿宋" w:eastAsia="仿宋" w:cs="Times New Roman"/>
                <w:sz w:val="24"/>
                <w:highlight w:val="none"/>
              </w:rPr>
              <w:t>代</w:t>
            </w:r>
            <w:r>
              <w:rPr>
                <w:rFonts w:hint="eastAsia" w:ascii="仿宋" w:hAnsi="仿宋" w:eastAsia="仿宋" w:cs="Times New Roman"/>
                <w:b/>
                <w:sz w:val="24"/>
                <w:highlight w:val="none"/>
                <w:u w:val="single"/>
              </w:rPr>
              <w:t>其</w:t>
            </w:r>
            <w:r>
              <w:rPr>
                <w:rFonts w:hint="eastAsia" w:ascii="仿宋" w:hAnsi="仿宋" w:eastAsia="仿宋" w:cs="Times New Roman"/>
                <w:dstrike/>
                <w:sz w:val="24"/>
                <w:highlight w:val="none"/>
              </w:rPr>
              <w:t>买方客户</w:t>
            </w:r>
            <w:r>
              <w:rPr>
                <w:rFonts w:hint="eastAsia" w:ascii="仿宋" w:hAnsi="仿宋" w:eastAsia="仿宋" w:cs="Times New Roman"/>
                <w:strike w:val="0"/>
                <w:dstrike/>
                <w:sz w:val="24"/>
                <w:highlight w:val="none"/>
              </w:rPr>
              <w:t>，或境外经纪机构应代买方客户通过会员</w:t>
            </w:r>
            <w:r>
              <w:rPr>
                <w:rFonts w:hint="eastAsia" w:ascii="仿宋" w:hAnsi="仿宋" w:eastAsia="仿宋" w:cs="Times New Roman"/>
                <w:sz w:val="24"/>
                <w:highlight w:val="none"/>
              </w:rPr>
              <w:t>向交易所提交放弃申请。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4991" w:type="pct"/>
            <w:gridSpan w:val="2"/>
            <w:noWrap w:val="0"/>
            <w:vAlign w:val="center"/>
          </w:tcPr>
          <w:p>
            <w:pPr>
              <w:ind w:firstLine="481" w:firstLineChars="200"/>
              <w:jc w:val="center"/>
              <w:rPr>
                <w:rFonts w:ascii="仿宋" w:hAnsi="仿宋" w:eastAsia="仿宋" w:cs="Times New Roman"/>
                <w:b/>
                <w:sz w:val="24"/>
                <w:highlight w:val="none"/>
              </w:rPr>
            </w:pPr>
            <w:r>
              <w:rPr>
                <w:rFonts w:hint="eastAsia" w:ascii="仿宋" w:hAnsi="仿宋" w:eastAsia="仿宋" w:cs="Times New Roman"/>
                <w:b/>
                <w:sz w:val="24"/>
                <w:highlight w:val="none"/>
              </w:rPr>
              <w:t>第六章 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2501" w:type="pct"/>
            <w:noWrap w:val="0"/>
            <w:vAlign w:val="top"/>
          </w:tcPr>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第五十四条 期权交易实行限仓制度。期权限仓是指交易所规定非期货公司会员或客户可以持有的、按单边计算的某月份期权合约投机持仓的最大数量。</w:t>
            </w:r>
          </w:p>
        </w:tc>
        <w:tc>
          <w:tcPr>
            <w:tcW w:w="2489" w:type="pct"/>
            <w:noWrap w:val="0"/>
            <w:vAlign w:val="top"/>
          </w:tcPr>
          <w:p>
            <w:pPr>
              <w:ind w:firstLine="480" w:firstLineChars="200"/>
              <w:jc w:val="both"/>
              <w:rPr>
                <w:rFonts w:ascii="仿宋" w:hAnsi="仿宋" w:eastAsia="仿宋" w:cs="Times New Roman"/>
                <w:b/>
                <w:sz w:val="24"/>
                <w:highlight w:val="none"/>
              </w:rPr>
            </w:pPr>
            <w:r>
              <w:rPr>
                <w:rFonts w:hint="eastAsia" w:ascii="仿宋" w:hAnsi="仿宋" w:eastAsia="仿宋" w:cs="Times New Roman"/>
                <w:sz w:val="24"/>
                <w:highlight w:val="none"/>
              </w:rPr>
              <w:t>第五十四条 期权交易实行限仓制度。期权限仓是指交易所规定非期货公司会员</w:t>
            </w:r>
            <w:r>
              <w:rPr>
                <w:rFonts w:hint="eastAsia" w:ascii="仿宋" w:hAnsi="仿宋" w:eastAsia="仿宋" w:cs="Times New Roman"/>
                <w:b/>
                <w:sz w:val="24"/>
                <w:highlight w:val="none"/>
                <w:u w:val="single"/>
              </w:rPr>
              <w:t>、境外特殊非经纪参与者</w:t>
            </w:r>
            <w:r>
              <w:rPr>
                <w:rFonts w:hint="eastAsia" w:ascii="仿宋" w:hAnsi="仿宋" w:eastAsia="仿宋" w:cs="Times New Roman"/>
                <w:sz w:val="24"/>
                <w:highlight w:val="none"/>
              </w:rPr>
              <w:t>或客户可以持有的、按单边计算的某月份期权合约投机持仓的最大数量。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2501" w:type="pct"/>
            <w:noWrap w:val="0"/>
            <w:vAlign w:val="top"/>
          </w:tcPr>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第五十五条 期权单边持仓数量按买入看涨期权与卖出看跌期权持仓量之和、买入看跌期权与卖出看涨期权持仓量之和分别计算。</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非期货公司会员、客户的投机持仓数量不得超过交易所规定的限仓标准。期权合约的限仓标准由交易所确定并公布，交易所可以根据市场情况进行调整。</w:t>
            </w:r>
          </w:p>
          <w:p>
            <w:pPr>
              <w:ind w:firstLine="480" w:firstLineChars="200"/>
              <w:jc w:val="both"/>
              <w:rPr>
                <w:rFonts w:ascii="仿宋" w:hAnsi="仿宋" w:eastAsia="仿宋" w:cs="Times New Roman"/>
                <w:b/>
                <w:sz w:val="24"/>
                <w:highlight w:val="none"/>
              </w:rPr>
            </w:pPr>
            <w:r>
              <w:rPr>
                <w:rFonts w:hint="eastAsia" w:ascii="仿宋" w:hAnsi="仿宋" w:eastAsia="仿宋" w:cs="Times New Roman"/>
                <w:sz w:val="24"/>
                <w:highlight w:val="none"/>
              </w:rPr>
              <w:t>非期货公司会员和客户进行套期保值、套利交易以及从事做市商业务，其持仓限额按照交易所有关规定执行</w:t>
            </w:r>
            <w:r>
              <w:rPr>
                <w:rFonts w:hint="eastAsia" w:ascii="仿宋" w:hAnsi="仿宋" w:eastAsia="仿宋" w:cs="Times New Roman"/>
                <w:b/>
                <w:sz w:val="24"/>
                <w:highlight w:val="none"/>
              </w:rPr>
              <w:t>。</w:t>
            </w:r>
          </w:p>
        </w:tc>
        <w:tc>
          <w:tcPr>
            <w:tcW w:w="2489" w:type="pct"/>
            <w:noWrap w:val="0"/>
            <w:vAlign w:val="top"/>
          </w:tcPr>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第五十五条 期权单边持仓数量按买入看涨期权与卖出看跌期权持仓量之和、买入看跌期权与卖出看涨期权持仓量之和分别计算。</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非期货公司会员</w:t>
            </w:r>
            <w:r>
              <w:rPr>
                <w:rFonts w:hint="eastAsia" w:ascii="仿宋" w:hAnsi="仿宋" w:eastAsia="仿宋" w:cs="Times New Roman"/>
                <w:b w:val="0"/>
                <w:bCs/>
                <w:sz w:val="24"/>
                <w:highlight w:val="none"/>
                <w:u w:val="none"/>
              </w:rPr>
              <w:t>、</w:t>
            </w:r>
            <w:r>
              <w:rPr>
                <w:rFonts w:hint="eastAsia" w:ascii="仿宋" w:hAnsi="仿宋" w:eastAsia="仿宋" w:cs="Times New Roman"/>
                <w:b/>
                <w:sz w:val="24"/>
                <w:highlight w:val="none"/>
                <w:u w:val="single"/>
              </w:rPr>
              <w:t>境外特殊非经纪参与者、</w:t>
            </w:r>
            <w:r>
              <w:rPr>
                <w:rFonts w:hint="eastAsia" w:ascii="仿宋" w:hAnsi="仿宋" w:eastAsia="仿宋" w:cs="Times New Roman"/>
                <w:sz w:val="24"/>
                <w:highlight w:val="none"/>
              </w:rPr>
              <w:t>客户的投机持仓数量不得超过交易所规定的限仓标准。期权合约的限仓标准由交易所确定并公布，交易所可以根据市场情况进行调整。</w:t>
            </w:r>
          </w:p>
          <w:p>
            <w:pPr>
              <w:ind w:firstLine="480" w:firstLineChars="200"/>
              <w:jc w:val="both"/>
              <w:rPr>
                <w:rFonts w:ascii="仿宋" w:hAnsi="仿宋" w:eastAsia="仿宋" w:cs="Times New Roman"/>
                <w:b/>
                <w:sz w:val="24"/>
                <w:highlight w:val="none"/>
              </w:rPr>
            </w:pPr>
            <w:r>
              <w:rPr>
                <w:rFonts w:hint="eastAsia" w:ascii="仿宋" w:hAnsi="仿宋" w:eastAsia="仿宋" w:cs="Times New Roman"/>
                <w:sz w:val="24"/>
                <w:highlight w:val="none"/>
              </w:rPr>
              <w:t>非期货公司会员</w:t>
            </w:r>
            <w:r>
              <w:rPr>
                <w:rFonts w:hint="eastAsia" w:ascii="仿宋" w:hAnsi="仿宋" w:eastAsia="仿宋" w:cs="Times New Roman"/>
                <w:b/>
                <w:sz w:val="24"/>
                <w:highlight w:val="none"/>
                <w:u w:val="single"/>
              </w:rPr>
              <w:t>、境外特殊非经纪参与者</w:t>
            </w:r>
            <w:r>
              <w:rPr>
                <w:rFonts w:hint="eastAsia" w:ascii="仿宋" w:hAnsi="仿宋" w:eastAsia="仿宋" w:cs="Times New Roman"/>
                <w:sz w:val="24"/>
                <w:highlight w:val="none"/>
              </w:rPr>
              <w:t>和客户进行套期保值、套利交易以及从事做市商业务，其持仓限额按照交易所有关规定执行</w:t>
            </w:r>
            <w:r>
              <w:rPr>
                <w:rFonts w:hint="eastAsia" w:ascii="仿宋" w:hAnsi="仿宋" w:eastAsia="仿宋" w:cs="Times New Roman"/>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2501" w:type="pct"/>
            <w:noWrap w:val="0"/>
            <w:vAlign w:val="top"/>
          </w:tcPr>
          <w:p>
            <w:pPr>
              <w:ind w:firstLine="480" w:firstLineChars="200"/>
              <w:jc w:val="both"/>
              <w:rPr>
                <w:rFonts w:ascii="仿宋" w:hAnsi="仿宋" w:eastAsia="仿宋" w:cs="Times New Roman"/>
                <w:b/>
                <w:sz w:val="24"/>
                <w:highlight w:val="none"/>
              </w:rPr>
            </w:pPr>
            <w:r>
              <w:rPr>
                <w:rFonts w:hint="eastAsia" w:ascii="仿宋" w:hAnsi="仿宋" w:eastAsia="仿宋" w:cs="Times New Roman"/>
                <w:sz w:val="24"/>
                <w:highlight w:val="none"/>
              </w:rPr>
              <w:t>第五十七条 非期货公司会员、客户因期权行权超出期货限仓标准的，交易所按照有关规定实行强行平仓措施。</w:t>
            </w:r>
          </w:p>
        </w:tc>
        <w:tc>
          <w:tcPr>
            <w:tcW w:w="2489" w:type="pct"/>
            <w:noWrap w:val="0"/>
            <w:vAlign w:val="top"/>
          </w:tcPr>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第五十七条 非期货公司会员</w:t>
            </w:r>
            <w:r>
              <w:rPr>
                <w:rFonts w:hint="eastAsia" w:ascii="仿宋" w:hAnsi="仿宋" w:eastAsia="仿宋" w:cs="Times New Roman"/>
                <w:b/>
                <w:sz w:val="24"/>
                <w:highlight w:val="none"/>
                <w:u w:val="single"/>
              </w:rPr>
              <w:t>、境外特殊非经纪参与者</w:t>
            </w:r>
            <w:r>
              <w:rPr>
                <w:rFonts w:hint="eastAsia" w:ascii="仿宋" w:hAnsi="仿宋" w:eastAsia="仿宋" w:cs="Times New Roman"/>
                <w:sz w:val="24"/>
                <w:highlight w:val="none"/>
              </w:rPr>
              <w:t>、客户因期权行权超出期货限仓标准的，交易所按照有关规定实行强行平仓措施。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2501" w:type="pct"/>
            <w:noWrap w:val="0"/>
            <w:vAlign w:val="top"/>
          </w:tcPr>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第五十九条 期权交易实行强行平仓制度。出现以下情形的，交易所按照流动性和释放资金量最大原则进行强行平仓：</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（一）会员结算准备金余额小于零并未能在规定时间补足，且没有提供平仓名单的；</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（二）非期货公司会员或客户持仓量超出其限仓规定的。</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其他强行平仓的情形、原则和程序等，适用《郑州商品交易所期货交易风险控制管理办法》有关规定。</w:t>
            </w:r>
          </w:p>
        </w:tc>
        <w:tc>
          <w:tcPr>
            <w:tcW w:w="2489" w:type="pct"/>
            <w:noWrap w:val="0"/>
            <w:vAlign w:val="top"/>
          </w:tcPr>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第五十九条 期权交易实行强行平仓制度。出现以下情形的，交易所按照流动性和释放资金量最大原则进行强行平仓：</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（一）会员</w:t>
            </w:r>
            <w:r>
              <w:rPr>
                <w:rFonts w:hint="eastAsia" w:ascii="仿宋" w:hAnsi="仿宋" w:eastAsia="仿宋" w:cs="Times New Roman"/>
                <w:b/>
                <w:sz w:val="24"/>
                <w:highlight w:val="none"/>
                <w:u w:val="single"/>
              </w:rPr>
              <w:t>或其受托结算的任一明细账户的</w:t>
            </w:r>
            <w:r>
              <w:rPr>
                <w:rFonts w:hint="eastAsia" w:ascii="仿宋" w:hAnsi="仿宋" w:eastAsia="仿宋" w:cs="Times New Roman"/>
                <w:sz w:val="24"/>
                <w:highlight w:val="none"/>
              </w:rPr>
              <w:t>结算准备金余额小于零并未能在规定时间补足，且没有提供平仓名单的；</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（二）非期货公司会员</w:t>
            </w:r>
            <w:r>
              <w:rPr>
                <w:rFonts w:hint="eastAsia" w:ascii="仿宋" w:hAnsi="仿宋" w:eastAsia="仿宋" w:cs="Times New Roman"/>
                <w:b/>
                <w:sz w:val="24"/>
                <w:highlight w:val="none"/>
                <w:u w:val="single"/>
              </w:rPr>
              <w:t>、境外特殊非经纪参与者</w:t>
            </w:r>
            <w:r>
              <w:rPr>
                <w:rFonts w:hint="eastAsia" w:ascii="仿宋" w:hAnsi="仿宋" w:eastAsia="仿宋" w:cs="Times New Roman"/>
                <w:sz w:val="24"/>
                <w:highlight w:val="none"/>
              </w:rPr>
              <w:t>或客户持仓量超出其限仓规定的。</w:t>
            </w:r>
          </w:p>
          <w:p>
            <w:pPr>
              <w:ind w:firstLine="480" w:firstLineChars="200"/>
              <w:jc w:val="both"/>
              <w:rPr>
                <w:rFonts w:ascii="仿宋" w:hAnsi="仿宋" w:eastAsia="仿宋" w:cs="Times New Roman"/>
                <w:sz w:val="24"/>
                <w:highlight w:val="none"/>
              </w:rPr>
            </w:pPr>
            <w:r>
              <w:rPr>
                <w:rFonts w:hint="eastAsia" w:ascii="仿宋" w:hAnsi="仿宋" w:eastAsia="仿宋" w:cs="Times New Roman"/>
                <w:sz w:val="24"/>
                <w:highlight w:val="none"/>
              </w:rPr>
              <w:t>其他强行平仓的情形、原则和程序等，适用《郑州商品交易所期货交易风险控制管理办法》有关规定。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center"/>
          </w:tcPr>
          <w:p>
            <w:pPr>
              <w:ind w:firstLine="481" w:firstLineChars="200"/>
              <w:jc w:val="center"/>
              <w:rPr>
                <w:rFonts w:ascii="仿宋" w:hAnsi="仿宋" w:eastAsia="仿宋" w:cs="Times New Roman"/>
                <w:b/>
                <w:sz w:val="24"/>
                <w:highlight w:val="none"/>
              </w:rPr>
            </w:pPr>
            <w:r>
              <w:rPr>
                <w:rFonts w:hint="eastAsia" w:ascii="仿宋" w:hAnsi="仿宋" w:eastAsia="仿宋" w:cs="Times New Roman"/>
                <w:b/>
                <w:sz w:val="24"/>
                <w:highlight w:val="none"/>
              </w:rPr>
              <w:t>第七章 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1" w:hRule="atLeast"/>
        </w:trPr>
        <w:tc>
          <w:tcPr>
            <w:tcW w:w="2501" w:type="pct"/>
            <w:noWrap w:val="0"/>
            <w:vAlign w:val="top"/>
          </w:tcPr>
          <w:p>
            <w:pPr>
              <w:ind w:firstLine="480" w:firstLineChars="200"/>
              <w:jc w:val="both"/>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第六十五条 每日期权交易信息在每个交易日结束后发布，主要内容有：</w:t>
            </w:r>
          </w:p>
          <w:p>
            <w:pPr>
              <w:ind w:firstLine="480" w:firstLineChars="200"/>
              <w:jc w:val="both"/>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（一）每日行情：交易代码、开盘价、最高价、最低价、收盘价、前结算价、结算价、涨跌、成交量、成交额、持仓量、持仓量变化、德尔塔（Delta）、隐含波动率和行权量；</w:t>
            </w:r>
          </w:p>
          <w:p>
            <w:pPr>
              <w:ind w:firstLine="480" w:firstLineChars="200"/>
              <w:jc w:val="both"/>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（二）最近月份及活跃月份前20名会员的成交量、买卖持仓量。</w:t>
            </w:r>
          </w:p>
          <w:p>
            <w:pPr>
              <w:ind w:firstLine="480" w:firstLineChars="200"/>
              <w:jc w:val="both"/>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本条第一款第（一）项所称德尔塔（Delta）是指期权价格的变动相对于其标的物价格变动的比率；行权量是指期权合约以行权为了结方式的数量。</w:t>
            </w:r>
          </w:p>
        </w:tc>
        <w:tc>
          <w:tcPr>
            <w:tcW w:w="2498" w:type="pct"/>
            <w:gridSpan w:val="2"/>
            <w:noWrap w:val="0"/>
            <w:vAlign w:val="top"/>
          </w:tcPr>
          <w:p>
            <w:pPr>
              <w:ind w:firstLine="480" w:firstLineChars="200"/>
              <w:jc w:val="both"/>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第六十五条 每日期权交易信息在每个交易日结束后发布，主要内容有：</w:t>
            </w:r>
          </w:p>
          <w:p>
            <w:pPr>
              <w:ind w:firstLine="480" w:firstLineChars="200"/>
              <w:jc w:val="both"/>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（一）每日行情：交易代码、开盘价、最高价、最低价、收盘价、前结算价、结算价、涨跌、成交量、成交额、持仓量、持仓量变化、德尔塔（Delta）、隐含波动率和行权量；</w:t>
            </w:r>
          </w:p>
          <w:p>
            <w:pPr>
              <w:ind w:firstLine="480" w:firstLineChars="200"/>
              <w:jc w:val="both"/>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（二）最近月份及活跃月份前20名</w:t>
            </w:r>
            <w:r>
              <w:rPr>
                <w:rFonts w:hint="eastAsia" w:ascii="仿宋" w:hAnsi="仿宋" w:eastAsia="仿宋" w:cs="Times New Roman"/>
                <w:b/>
                <w:bCs/>
                <w:sz w:val="24"/>
                <w:highlight w:val="none"/>
                <w:u w:val="single"/>
                <w:lang w:val="en-US" w:eastAsia="zh-CN"/>
              </w:rPr>
              <w:t>期货公司</w:t>
            </w:r>
            <w:r>
              <w:rPr>
                <w:rFonts w:hint="eastAsia" w:ascii="仿宋" w:hAnsi="仿宋" w:eastAsia="仿宋" w:cs="Times New Roman"/>
                <w:sz w:val="24"/>
                <w:highlight w:val="none"/>
                <w:lang w:val="en-US" w:eastAsia="zh-CN"/>
              </w:rPr>
              <w:t>会员</w:t>
            </w:r>
            <w:r>
              <w:rPr>
                <w:rFonts w:hint="eastAsia" w:ascii="仿宋" w:hAnsi="仿宋" w:eastAsia="仿宋" w:cs="Times New Roman"/>
                <w:b/>
                <w:bCs/>
                <w:sz w:val="24"/>
                <w:highlight w:val="none"/>
                <w:u w:val="single"/>
                <w:lang w:val="en-US" w:eastAsia="zh-CN"/>
              </w:rPr>
              <w:t>、境外特殊经纪参与者</w:t>
            </w:r>
            <w:r>
              <w:rPr>
                <w:rFonts w:hint="eastAsia" w:ascii="仿宋" w:hAnsi="仿宋" w:eastAsia="仿宋" w:cs="Times New Roman"/>
                <w:sz w:val="24"/>
                <w:highlight w:val="none"/>
                <w:lang w:val="en-US" w:eastAsia="zh-CN"/>
              </w:rPr>
              <w:t>的成交量、买卖持仓量。</w:t>
            </w:r>
          </w:p>
          <w:p>
            <w:pPr>
              <w:ind w:firstLine="480" w:firstLineChars="200"/>
              <w:jc w:val="both"/>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本条第一款第（一）项所称德尔塔（Delta）是指期权价格的变动相对于其标的物价格变动的比率；行权量是指期权合约以行权为了结方式的数量。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2501" w:type="pct"/>
            <w:noWrap w:val="0"/>
            <w:vAlign w:val="top"/>
          </w:tcPr>
          <w:p>
            <w:pPr>
              <w:ind w:firstLine="480" w:firstLineChars="200"/>
              <w:jc w:val="both"/>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第六十九条 因信息经营机构或公众媒体转发即时交易行情信息发生故障，影响会员或客户正常交易的，交易所不承担责任。</w:t>
            </w:r>
          </w:p>
        </w:tc>
        <w:tc>
          <w:tcPr>
            <w:tcW w:w="2498" w:type="pct"/>
            <w:gridSpan w:val="2"/>
            <w:noWrap w:val="0"/>
            <w:vAlign w:val="top"/>
          </w:tcPr>
          <w:p>
            <w:pPr>
              <w:ind w:firstLine="480" w:firstLineChars="200"/>
              <w:jc w:val="both"/>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第六十九条 因信息经营机构或公众媒体转发即时交易行情信息发生故障，影响会员</w:t>
            </w:r>
            <w:r>
              <w:rPr>
                <w:rFonts w:hint="eastAsia" w:ascii="仿宋" w:hAnsi="仿宋" w:eastAsia="仿宋" w:cs="Times New Roman"/>
                <w:b/>
                <w:bCs/>
                <w:sz w:val="24"/>
                <w:highlight w:val="none"/>
                <w:u w:val="single"/>
                <w:lang w:val="en-US" w:eastAsia="zh-CN"/>
              </w:rPr>
              <w:t>、境外特殊参与者、境外中介机构</w:t>
            </w:r>
            <w:r>
              <w:rPr>
                <w:rFonts w:hint="eastAsia" w:ascii="仿宋" w:hAnsi="仿宋" w:eastAsia="仿宋" w:cs="Times New Roman"/>
                <w:b w:val="0"/>
                <w:bCs w:val="0"/>
                <w:sz w:val="24"/>
                <w:highlight w:val="none"/>
                <w:u w:val="none"/>
                <w:lang w:val="en-US" w:eastAsia="zh-CN"/>
              </w:rPr>
              <w:t>或</w:t>
            </w:r>
            <w:r>
              <w:rPr>
                <w:rFonts w:hint="eastAsia" w:ascii="仿宋" w:hAnsi="仿宋" w:eastAsia="仿宋" w:cs="Times New Roman"/>
                <w:sz w:val="24"/>
                <w:highlight w:val="none"/>
                <w:lang w:val="en-US" w:eastAsia="zh-CN"/>
              </w:rPr>
              <w:t>客户正常交易的，交易所不承担责任。</w:t>
            </w:r>
          </w:p>
          <w:p>
            <w:pPr>
              <w:jc w:val="both"/>
              <w:rPr>
                <w:rFonts w:hint="default" w:ascii="仿宋" w:hAnsi="仿宋" w:eastAsia="仿宋" w:cs="Times New Roman"/>
                <w:sz w:val="24"/>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b w:val="0"/>
          <w:bCs w:val="0"/>
          <w:sz w:val="32"/>
          <w:szCs w:val="32"/>
          <w:highlight w:val="none"/>
          <w:u w:val="none"/>
          <w:lang w:val="en-US" w:eastAsia="zh-CN"/>
        </w:rPr>
      </w:pPr>
    </w:p>
    <w:p>
      <w:pPr>
        <w:rPr>
          <w:rFonts w:hint="eastAsia" w:ascii="黑体" w:hAnsi="黑体" w:eastAsia="黑体" w:cs="黑体"/>
          <w:sz w:val="32"/>
          <w:szCs w:val="32"/>
          <w:highlight w:val="none"/>
          <w:lang w:val="en-US" w:eastAsia="zh-CN"/>
        </w:rPr>
        <w:sectPr>
          <w:pgSz w:w="11906" w:h="16838"/>
          <w:pgMar w:top="1440" w:right="1800" w:bottom="1440" w:left="1800" w:header="720" w:footer="720" w:gutter="0"/>
          <w:cols w:space="720" w:num="1"/>
          <w:docGrid w:type="lines" w:linePitch="312" w:charSpace="0"/>
        </w:sectPr>
      </w:pPr>
    </w:p>
    <w:p>
      <w:pPr>
        <w:jc w:val="center"/>
        <w:outlineLvl w:val="0"/>
        <w:rPr>
          <w:rFonts w:hint="eastAsia" w:ascii="黑体" w:hAnsi="黑体" w:eastAsia="黑体" w:cs="黑体"/>
          <w:sz w:val="40"/>
          <w:szCs w:val="40"/>
          <w:highlight w:val="none"/>
        </w:rPr>
      </w:pPr>
      <w:r>
        <w:rPr>
          <w:rFonts w:hint="eastAsia" w:ascii="黑体" w:hAnsi="黑体" w:eastAsia="黑体" w:cs="黑体"/>
          <w:sz w:val="40"/>
          <w:szCs w:val="40"/>
          <w:highlight w:val="none"/>
        </w:rPr>
        <w:t>郑州商品交易所期权交易管理办法</w:t>
      </w:r>
    </w:p>
    <w:p>
      <w:pPr>
        <w:spacing w:before="240" w:after="24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numPr>
          <w:ilvl w:val="0"/>
          <w:numId w:val="4"/>
        </w:numPr>
        <w:ind w:left="0" w:firstLine="0"/>
        <w:jc w:val="center"/>
        <w:rPr>
          <w:rFonts w:ascii="黑体" w:hAnsi="黑体" w:eastAsia="黑体"/>
          <w:sz w:val="32"/>
          <w:szCs w:val="32"/>
          <w:highlight w:val="none"/>
        </w:rPr>
      </w:pPr>
      <w:r>
        <w:rPr>
          <w:rFonts w:hint="eastAsia" w:ascii="黑体" w:hAnsi="黑体" w:eastAsia="黑体"/>
          <w:sz w:val="32"/>
          <w:szCs w:val="32"/>
          <w:highlight w:val="none"/>
        </w:rPr>
        <w:t>总 则</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为规范期权交易行为，保护期权交易当事人的合法权益和社会公众利益，促进市场功能发挥，根据《期货交易管理条例》和《郑州商品交易所交易规则》，结合市场实际，制定本办法。</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期权交易，是指采用公开的集中交易方式或者中国证券监督管理委员会（以下简称中国证监会）批准的其他方式进行的以期权合约为标的的交易活动。</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郑州商品交易所（以下简称交易所）根据公开、公平、公正和诚实信用的原则组织期权交易。</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本办法适用于交易所内的期权交易活动，交易所、会员、境外特殊参与者、境外中介机构、做市商、客户、交易所指定的期货保证金存管银行及其他市场参与者应当遵守本办法。</w:t>
      </w:r>
    </w:p>
    <w:p>
      <w:pPr>
        <w:jc w:val="center"/>
        <w:rPr>
          <w:rFonts w:ascii="黑体" w:hAnsi="黑体" w:eastAsia="黑体" w:cs="Times New Roman"/>
          <w:sz w:val="32"/>
          <w:szCs w:val="32"/>
          <w:highlight w:val="none"/>
        </w:rPr>
      </w:pPr>
      <w:bookmarkStart w:id="0" w:name="_Toc413338906"/>
      <w:bookmarkStart w:id="1" w:name="_Toc402528221"/>
      <w:bookmarkStart w:id="2" w:name="_Toc418862434"/>
      <w:bookmarkStart w:id="3" w:name="_Toc401817144"/>
      <w:bookmarkStart w:id="4" w:name="_Toc402536822"/>
      <w:r>
        <w:rPr>
          <w:rFonts w:hint="eastAsia" w:ascii="黑体" w:hAnsi="黑体" w:eastAsia="黑体" w:cs="Times New Roman"/>
          <w:sz w:val="32"/>
          <w:szCs w:val="32"/>
          <w:highlight w:val="none"/>
        </w:rPr>
        <w:t>第二章 期权合约</w:t>
      </w:r>
      <w:bookmarkEnd w:id="0"/>
      <w:bookmarkEnd w:id="1"/>
      <w:bookmarkEnd w:id="2"/>
      <w:bookmarkEnd w:id="3"/>
      <w:bookmarkEnd w:id="4"/>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期权合约，是指交易所统一制定的、规定买方有权在将来某一时间以特定价格买入或者卖出约定标的物的标准化合约。</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期权合约的主要条款包括：合约标的物、合约类型、交易单位、报价单位、最小变动价位、涨跌停板幅度、合约月份、交易时间、最后交易日、到期日、行权价格、行权方式、交易代码以及上市交易所。</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期权合约标的物为期权合约买卖双方权利义务指向的对象。</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以期货合约为标的物的期权称为期货期权。</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期权合约类型包括看涨期权和看跌期权。</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看涨期权是指买方有权在将来某一时间以特定价格买入约定标的物，而卖方需要履行相应义务的期权合约。</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看跌期权是指买方有权在将来某一时间以特定价格卖出约定标的物，而卖方需要履行相应义务的期权合约。</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期权合约的交易单位为“手”，期权交易以“一手”的整数倍进行，不同品种每手合约标的物数量在该品种的期权合约中载明。</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期权合约报价单位与其标的物的报价单位相同。</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最小变动价位是指期权合约单位价格涨跌变动的最小值。</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color w:val="000000"/>
          <w:sz w:val="28"/>
          <w:szCs w:val="28"/>
          <w:highlight w:val="none"/>
        </w:rPr>
        <w:t>期货期权合约涨跌停板幅度与标的期货合约涨跌停板幅度（标的期货合约上一交易日结算价乘以相应比例）相同。</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期货期权的合约月份是指该期权合约对应的标的期货合约的交割月份。</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交易所可以根据市场情况调整挂牌期权合约的合约月份。</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最后交易日是指期权合约可以进行交易的最后一个交易日。</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到期日是指期权合约买方能够行使权利的最后一个交易日。</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行权价格是指由期权合约规定的，买方有权在将来某一时间买入或卖出合约标的物的价格。</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行权价格间距是指相邻两个行权价格之间的差。</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行权价格是行权价格间距的整数倍。</w:t>
      </w:r>
    </w:p>
    <w:p>
      <w:pPr>
        <w:tabs>
          <w:tab w:val="left" w:pos="1620"/>
          <w:tab w:val="left" w:pos="1800"/>
        </w:tabs>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交易所可以根据市场情况对期权合约行权价格的数量和间距进行调整。</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行权方式分为美式、欧式以及交易所规定的其他方式。美式期权的买方在合约到期日及其之前任一交易日均可行使权利；欧式期权的买方只能在合约到期日当天行使权利。</w:t>
      </w:r>
    </w:p>
    <w:p>
      <w:pPr>
        <w:numPr>
          <w:ilvl w:val="0"/>
          <w:numId w:val="5"/>
        </w:numPr>
        <w:tabs>
          <w:tab w:val="left" w:pos="1620"/>
          <w:tab w:val="left" w:pos="1800"/>
        </w:tabs>
        <w:spacing w:line="360" w:lineRule="auto"/>
        <w:ind w:left="0" w:firstLine="560" w:firstLineChars="200"/>
        <w:rPr>
          <w:rFonts w:hint="eastAsia" w:ascii="宋体" w:hAnsi="宋体"/>
          <w:sz w:val="28"/>
          <w:szCs w:val="28"/>
          <w:highlight w:val="none"/>
        </w:rPr>
      </w:pPr>
      <w:r>
        <w:rPr>
          <w:rFonts w:hint="eastAsia" w:ascii="宋体" w:hAnsi="宋体"/>
          <w:sz w:val="28"/>
          <w:szCs w:val="28"/>
          <w:highlight w:val="none"/>
        </w:rPr>
        <w:t>期权合约交易代码由标的物交易代码、合约月份、看涨（跌）期权代码和行权价格等组成。对于系列期权，合约交易代码中注明系列期权标识（MS）。</w:t>
      </w:r>
    </w:p>
    <w:p>
      <w:pPr>
        <w:jc w:val="center"/>
        <w:rPr>
          <w:rFonts w:ascii="黑体" w:hAnsi="黑体" w:eastAsia="黑体" w:cs="Times New Roman"/>
          <w:sz w:val="32"/>
          <w:szCs w:val="32"/>
          <w:highlight w:val="none"/>
        </w:rPr>
      </w:pPr>
      <w:bookmarkStart w:id="5" w:name="_Toc413338907"/>
      <w:bookmarkStart w:id="6" w:name="_Toc401817145"/>
      <w:bookmarkStart w:id="7" w:name="_Toc418862435"/>
      <w:bookmarkStart w:id="8" w:name="_Toc402536823"/>
      <w:bookmarkStart w:id="9" w:name="_Toc402528222"/>
      <w:r>
        <w:rPr>
          <w:rFonts w:hint="eastAsia" w:ascii="黑体" w:hAnsi="黑体" w:eastAsia="黑体" w:cs="Times New Roman"/>
          <w:sz w:val="32"/>
          <w:szCs w:val="32"/>
          <w:highlight w:val="none"/>
        </w:rPr>
        <w:t>第三章 交易业务</w:t>
      </w:r>
      <w:bookmarkEnd w:id="5"/>
      <w:bookmarkEnd w:id="6"/>
      <w:bookmarkEnd w:id="7"/>
      <w:bookmarkEnd w:id="8"/>
      <w:bookmarkEnd w:id="9"/>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非期货公司会员、境外特殊非经纪参与者、客户进行期权交易，使用与期货交易相同的交易编码。没有交易编码的，应当按期货交易的相关规定申请。</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期权交易实行投资者适当性制度。投资者适当性管理的具体办法，由交易所另行规定。</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期权交易实行做市商制度。做市商管理的具体办法，由交易所另行规定。</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非期货公司会员、境外特殊非经纪参与者和客户可以向做市商询价。询价合约、询价频率由交易所确定并公布，交易所可以根据市场情况进行调整。</w:t>
      </w:r>
    </w:p>
    <w:p>
      <w:pPr>
        <w:tabs>
          <w:tab w:val="left" w:pos="1620"/>
          <w:tab w:val="left" w:pos="1800"/>
        </w:tabs>
        <w:spacing w:line="360" w:lineRule="auto"/>
        <w:ind w:firstLine="644" w:firstLineChars="230"/>
        <w:rPr>
          <w:rFonts w:ascii="宋体" w:hAnsi="宋体"/>
          <w:sz w:val="28"/>
          <w:szCs w:val="28"/>
          <w:highlight w:val="none"/>
        </w:rPr>
      </w:pPr>
      <w:r>
        <w:rPr>
          <w:rFonts w:hint="eastAsia" w:ascii="宋体" w:hAnsi="宋体"/>
          <w:sz w:val="28"/>
          <w:szCs w:val="28"/>
          <w:highlight w:val="none"/>
        </w:rPr>
        <w:t>交易所对市场的询价进行管理，当市场询价出现异常时，交易所可以采取电话提示、要求报告情况等措施，会员</w:t>
      </w:r>
      <w:r>
        <w:rPr>
          <w:rFonts w:hint="eastAsia" w:ascii="宋体" w:hAnsi="宋体"/>
          <w:sz w:val="28"/>
          <w:szCs w:val="28"/>
          <w:highlight w:val="none"/>
          <w:lang w:eastAsia="zh-CN"/>
        </w:rPr>
        <w:t>、境外特殊参与者、境外中介机构</w:t>
      </w:r>
      <w:r>
        <w:rPr>
          <w:rFonts w:hint="eastAsia" w:ascii="宋体" w:hAnsi="宋体"/>
          <w:sz w:val="28"/>
          <w:szCs w:val="28"/>
          <w:highlight w:val="none"/>
        </w:rPr>
        <w:t>和客户应当予以协助和配合。期货公司会员、境外特殊经纪参与者和境外中介机构应当对客户的询价进行管理，要求其合理询价。</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期权合约价格是指期权合约每报价单位的权利金。</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权利金是指期权买方为获得权利所支付的资金。</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期权的开盘价、收盘价、最高价、最低价、最新价、涨跌、最高买价、最低卖价、申买量、申卖量、成交量、持仓量、集合竞价以及成交撮合适用期货交易有关规定。</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 xml:space="preserve">期权交易限价指令、市价指令和套利指令的每次最小下单量、每次最大下单量与期货有关规定相同，交易所可以根据市场情况进行调整。 </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期权套利指令须附加指令属性。指令属性包括立即成交剩余指令自动撤销、立即全部成交否则自动撤销等。</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期权套利指令包括：</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（一）买入跨式套利，是指同时买入相同数量的同一标的物、同到期日、同行权价格的看涨期权和看跌期权；</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（二）卖出跨式套利，是指同时卖出相同数量的同一标的物、同到期日、同行权价格的看涨期权和看跌期权；</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（三）买入宽跨式套利，是指同时买入相同数量的同一标的物、同到期日、较高行权价格看涨期权和较低行权价格看跌期权；</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（四）卖出宽跨式套利，是指同时卖出相同数量的同一标的物、同到期日、较高行权价格看涨期权和较低行权价格看跌期权。</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集合竞价期间，交易所不接受套利指令。</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期权合约挂牌遵循以下原则：</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（一）新月份期权合约的挂牌时间在合约中载明；</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（二）新挂牌期权合约包括一个平值、若干个实值和虚值期权合约；</w:t>
      </w:r>
    </w:p>
    <w:p>
      <w:pPr>
        <w:spacing w:line="360" w:lineRule="auto"/>
        <w:ind w:firstLine="560" w:firstLineChars="200"/>
        <w:rPr>
          <w:rFonts w:ascii="宋体" w:hAnsi="宋体" w:eastAsia="宋体" w:cs="Times New Roman"/>
          <w:sz w:val="28"/>
          <w:szCs w:val="28"/>
          <w:highlight w:val="none"/>
          <w:u w:val="single"/>
        </w:rPr>
      </w:pPr>
      <w:r>
        <w:rPr>
          <w:rFonts w:hint="eastAsia" w:ascii="宋体" w:hAnsi="宋体" w:eastAsia="宋体" w:cs="Times New Roman"/>
          <w:sz w:val="28"/>
          <w:szCs w:val="28"/>
          <w:highlight w:val="none"/>
        </w:rPr>
        <w:t>（三）期权合约上市交易后，交易所在每个交易日闭市后，根据其标的期货合约的结算价格和涨跌停板幅度，按照期权合约的规定，挂牌新行权价格的期权合约，到期日前一交易日闭市后不再挂牌新行权价格的期权合约；</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（四）期权合约挂牌基准价由交易所确定并公布。</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本条第一款第（二）项中，平值期权是指行权价格等于（或者接近于）标的物上一交易日结算价格的期权合约。当两个相邻行权价格均值等于标的物结算价格时，取价格较高的作为平值期权行权价格；实值期权是指行权价格低于（高于）平值期权行权价格的看涨期权（看跌期权）；虚值期权是指行权价格高于（低于）平值期权行权价格的看涨期权（看跌期权）。</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期权合约了结方式包括平仓、行权和放弃。</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平仓是指买入或卖出与其所持期权合约数量相同、方向相反的相同期权合约以了结期权持仓的方式。相同期权是指标的物、类型、月份、到期日和行权价格相同的期权合约。</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行权是指买方按照规定行使权利，以行权价格买入或者卖出标的物，或者按照规定的结算价格进行现金差价结算以了结期权持仓的方式。</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放弃是指期权合约到期，买方不行使权利以了结期权持仓的方式。</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非期货公司会员、境外特殊非经纪参与者和客户可以申请对其同一交易编码下的双向期权投机持仓进行对冲平仓。对冲结果从当日期权持仓量中扣除，并计入成交量。申请时间和具体方式由交易所另行公布。</w:t>
      </w:r>
    </w:p>
    <w:p>
      <w:pPr>
        <w:jc w:val="center"/>
        <w:rPr>
          <w:rFonts w:ascii="黑体" w:hAnsi="黑体" w:eastAsia="黑体" w:cs="Times New Roman"/>
          <w:sz w:val="32"/>
          <w:szCs w:val="32"/>
          <w:highlight w:val="none"/>
        </w:rPr>
      </w:pPr>
      <w:r>
        <w:rPr>
          <w:rFonts w:hint="eastAsia" w:ascii="黑体" w:hAnsi="黑体" w:eastAsia="黑体" w:cs="Times New Roman"/>
          <w:sz w:val="32"/>
          <w:szCs w:val="32"/>
          <w:highlight w:val="none"/>
        </w:rPr>
        <w:t>第四章 行权与履约</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客户的行权与履约应当通过会员，</w:t>
      </w:r>
      <w:r>
        <w:rPr>
          <w:rFonts w:hint="eastAsia" w:ascii="宋体" w:hAnsi="宋体"/>
          <w:sz w:val="28"/>
          <w:szCs w:val="28"/>
          <w:highlight w:val="none"/>
          <w:lang w:eastAsia="zh-CN"/>
        </w:rPr>
        <w:t>或通过</w:t>
      </w:r>
      <w:r>
        <w:rPr>
          <w:rFonts w:hint="eastAsia" w:ascii="宋体" w:hAnsi="宋体" w:eastAsia="宋体" w:cs="Times New Roman"/>
          <w:b w:val="0"/>
          <w:bCs w:val="0"/>
          <w:color w:val="auto"/>
          <w:sz w:val="28"/>
          <w:szCs w:val="28"/>
          <w:highlight w:val="none"/>
          <w:u w:val="none"/>
          <w:lang w:val="en-US" w:eastAsia="zh-CN"/>
        </w:rPr>
        <w:t>境外特殊经纪参与者、境外中介机构</w:t>
      </w:r>
      <w:r>
        <w:rPr>
          <w:rFonts w:hint="eastAsia" w:ascii="宋体" w:hAnsi="宋体"/>
          <w:sz w:val="28"/>
          <w:szCs w:val="28"/>
          <w:highlight w:val="none"/>
          <w:lang w:eastAsia="zh-CN"/>
        </w:rPr>
        <w:t>委托会员，</w:t>
      </w:r>
      <w:r>
        <w:rPr>
          <w:rFonts w:hint="eastAsia" w:ascii="宋体" w:hAnsi="宋体"/>
          <w:sz w:val="28"/>
          <w:szCs w:val="28"/>
          <w:highlight w:val="none"/>
        </w:rPr>
        <w:t>并以会员名义在交易所办理。</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在交易所规定时间内，期权买方有权提出行权或放弃申请。</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期权卖方有履约义务。履约是指当期权买方提出行权时，期权卖方按合约规定的行权价格买入或卖出一定数量的标的物，或者按照规定的结算价格进行现金差价结算。</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期权买方提出行权申请的，交易所按照投机、套利、套保的顺序选择卖方持仓配对。同一持仓属性，按持仓时间最长原则选择。</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交易所可以对到期日行权申请和放弃申请的时间进行调整。</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非期货公司会员、境外特殊非经纪参与者和客户可以申请对其同一交易编码下行权及履约后的双向期货投机持仓进行对冲平仓，对冲数量不超过行权及履约获得的期货买投机持仓量与卖投机持仓量中较大者。对冲结果从当日期货持仓量中扣除，并计入成交量。申请时间和具体方式由交易所另行公布。</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货期权的看涨期权行权与履约后，买方按行权价格获得标的期货买持仓，卖方按同一行权价格获得标的期货卖持仓；期货期权的看跌期权行权与履约后，买方按行权价格获得标的期货卖持仓，卖方按同一行权价格获得标的期货买持仓。</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期权合约到期前，期货公司会员</w:t>
      </w:r>
      <w:r>
        <w:rPr>
          <w:rFonts w:hint="eastAsia" w:ascii="宋体" w:hAnsi="宋体"/>
          <w:sz w:val="28"/>
          <w:szCs w:val="28"/>
          <w:highlight w:val="none"/>
          <w:lang w:eastAsia="zh-CN"/>
        </w:rPr>
        <w:t>、境外特殊经纪参与者和境外中介机构</w:t>
      </w:r>
      <w:r>
        <w:rPr>
          <w:rFonts w:hint="eastAsia" w:ascii="宋体" w:hAnsi="宋体"/>
          <w:sz w:val="28"/>
          <w:szCs w:val="28"/>
          <w:highlight w:val="none"/>
        </w:rPr>
        <w:t>应当提醒客户妥善处理期权持仓。</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到期日结算时，对未在规定时间内提交行权或放弃申请的期权持仓，交易所进行如下处理：</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（一）行权价格小于当日标的物结算价的看涨期权持仓自动行权；</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（二）行权价格大于当日标的物结算价的看跌期权持仓自动行权；</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（三）其他期权持仓自动放弃。</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期货期权的买方行权时，其资金余额应当满足期货交易保证金要求。</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买方会员的境外特殊参与者、境外中介机构、客户资金不足的，买方会员不得接受其行权申请。符合本办法第三十五条第（一）、（二）项条件但买方会员的境外特殊参与者、境外中介机构、客户资金不足的，买方会员应</w:t>
      </w:r>
      <w:r>
        <w:rPr>
          <w:rFonts w:hint="eastAsia" w:ascii="宋体" w:hAnsi="宋体" w:cs="Times New Roman"/>
          <w:sz w:val="28"/>
          <w:szCs w:val="28"/>
          <w:highlight w:val="none"/>
          <w:lang w:eastAsia="zh-CN"/>
        </w:rPr>
        <w:t>当</w:t>
      </w:r>
      <w:r>
        <w:rPr>
          <w:rFonts w:hint="eastAsia" w:ascii="宋体" w:hAnsi="宋体" w:eastAsia="宋体" w:cs="Times New Roman"/>
          <w:sz w:val="28"/>
          <w:szCs w:val="28"/>
          <w:highlight w:val="none"/>
        </w:rPr>
        <w:t>代</w:t>
      </w:r>
      <w:r>
        <w:rPr>
          <w:rFonts w:hint="eastAsia" w:ascii="宋体" w:hAnsi="宋体" w:cs="Times New Roman"/>
          <w:sz w:val="28"/>
          <w:szCs w:val="28"/>
          <w:highlight w:val="none"/>
          <w:lang w:eastAsia="zh-CN"/>
        </w:rPr>
        <w:t>其</w:t>
      </w:r>
      <w:r>
        <w:rPr>
          <w:rFonts w:hint="eastAsia" w:ascii="宋体" w:hAnsi="宋体" w:eastAsia="宋体" w:cs="Times New Roman"/>
          <w:sz w:val="28"/>
          <w:szCs w:val="28"/>
          <w:highlight w:val="none"/>
        </w:rPr>
        <w:t>向交易所提交放弃申请。</w:t>
      </w:r>
    </w:p>
    <w:p>
      <w:pPr>
        <w:jc w:val="center"/>
        <w:rPr>
          <w:rFonts w:ascii="黑体" w:hAnsi="黑体" w:eastAsia="黑体" w:cs="Times New Roman"/>
          <w:sz w:val="32"/>
          <w:szCs w:val="32"/>
          <w:highlight w:val="none"/>
        </w:rPr>
      </w:pPr>
      <w:bookmarkStart w:id="10" w:name="_Toc402528223"/>
      <w:bookmarkStart w:id="11" w:name="_Toc402536824"/>
      <w:bookmarkStart w:id="12" w:name="_Toc413338908"/>
      <w:bookmarkStart w:id="13" w:name="_Toc418862436"/>
      <w:bookmarkStart w:id="14" w:name="_Toc401817146"/>
      <w:r>
        <w:rPr>
          <w:rFonts w:hint="eastAsia" w:ascii="黑体" w:hAnsi="黑体" w:eastAsia="黑体" w:cs="Times New Roman"/>
          <w:sz w:val="32"/>
          <w:szCs w:val="32"/>
          <w:highlight w:val="none"/>
        </w:rPr>
        <w:t>第五章 结算业务</w:t>
      </w:r>
      <w:bookmarkEnd w:id="10"/>
      <w:bookmarkEnd w:id="11"/>
      <w:bookmarkEnd w:id="12"/>
      <w:bookmarkEnd w:id="13"/>
      <w:bookmarkEnd w:id="14"/>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会员期权交易使用与期货交易相同的专用结算账户和专用资金账户。</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期权交易的买方支付权利金，不交纳交易保证金；期权交易的卖方收取权利金，交纳交易保证金。</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期权买方开仓时，按照成交价支付权利金；期权买方平仓时，按照成交价收取权利金。</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期权卖方开仓时，按照成交价收取权利金；期权卖方平仓时，按照成交价支付权利金。</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交易所根据权利金收付情况调整会员结算准备金余额。</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期权卖方开仓时，交易所按照上一交易日结算时该期权合约保证金标准收取期权卖方交易保证金；期权卖方平仓时，交易所释放期权卖方所平期权合约的交易保证金。</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每日结算时，交易所按当日结算价计收期权卖方的交易保证金，根据成交量和行权量（履约量）计收买卖双方交易手续费和行权（履约）手续费，并对应收应付的款项同时划转，相应增加或减少会员的结算准备金。</w:t>
      </w:r>
    </w:p>
    <w:p>
      <w:pPr>
        <w:ind w:firstLine="506" w:firstLineChars="181"/>
        <w:rPr>
          <w:rFonts w:ascii="宋体" w:hAnsi="宋体" w:eastAsia="宋体" w:cs="Times New Roman"/>
          <w:sz w:val="28"/>
          <w:szCs w:val="28"/>
          <w:highlight w:val="none"/>
        </w:rPr>
      </w:pPr>
      <w:r>
        <w:rPr>
          <w:rFonts w:hint="eastAsia" w:ascii="宋体" w:hAnsi="宋体" w:eastAsia="宋体" w:cs="Times New Roman"/>
          <w:sz w:val="28"/>
          <w:szCs w:val="28"/>
          <w:highlight w:val="none"/>
        </w:rPr>
        <w:t>手续费标准由交易所确定，交易所可以根据市场情况对手续费标准进行调整。</w:t>
      </w:r>
    </w:p>
    <w:p>
      <w:pPr>
        <w:numPr>
          <w:ilvl w:val="0"/>
          <w:numId w:val="5"/>
        </w:numPr>
        <w:tabs>
          <w:tab w:val="left" w:pos="1440"/>
          <w:tab w:val="left" w:pos="1620"/>
          <w:tab w:val="left" w:pos="1800"/>
          <w:tab w:val="left" w:pos="2221"/>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每日结算时，交易所将符合条件的期权和期货持仓自动确认为备兑期权套利持仓，包括备兑看涨期权套利和备兑看跌期权套利。确认备兑期权套利持仓时，交易所优先将常规期权持仓和期货持仓进行组合确认。</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备兑看涨期权套利是指持有看涨期权卖持仓，同时持有相同数量的标的期货买持仓；备兑看跌期权套利是指持有看跌期权卖持仓，同时持有相同数量的标的期货卖持仓。</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期权合约结算价的确定方法为：</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（一）除最后交易日外，交易所根据隐含波动率确定各期权合约的理论价，作为当日结算价；</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（二）最后交易日，期权合约结算价计算公式为：</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看涨期权结算价=Max（标的物结算价–行权价格，0）；</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看跌期权结算价=Max（行权价格–标的物结算价，0）；</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（三）期权价格明显不合理时，交易所可以调整期权合约结算价。</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本条第一款第（一）项所称隐含波动率是指根据期权市场价格，利用期权定价模型计算的标的物价格波动率。</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对于行权或放弃的买卖双方，交易所于结算时减少各自相应的期权合约持仓，同时释放期权卖方交易保证金。</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由期权行权转化的期货持仓不参与当日期货结算价计算。</w:t>
      </w:r>
    </w:p>
    <w:p>
      <w:pPr>
        <w:spacing w:before="156" w:after="156"/>
        <w:jc w:val="center"/>
        <w:rPr>
          <w:rFonts w:ascii="黑体" w:hAnsi="黑体" w:eastAsia="黑体" w:cs="Times New Roman"/>
          <w:sz w:val="32"/>
          <w:szCs w:val="32"/>
          <w:highlight w:val="none"/>
        </w:rPr>
      </w:pPr>
      <w:bookmarkStart w:id="15" w:name="_Toc402536826"/>
      <w:bookmarkStart w:id="16" w:name="_Toc413338910"/>
      <w:bookmarkStart w:id="17" w:name="_Toc402528225"/>
      <w:bookmarkStart w:id="18" w:name="_Toc418862438"/>
      <w:bookmarkStart w:id="19" w:name="_Toc401817148"/>
      <w:r>
        <w:rPr>
          <w:rFonts w:hint="eastAsia" w:ascii="黑体" w:hAnsi="黑体" w:eastAsia="黑体" w:cs="Times New Roman"/>
          <w:sz w:val="32"/>
          <w:szCs w:val="32"/>
          <w:highlight w:val="none"/>
        </w:rPr>
        <w:t>第六章</w:t>
      </w:r>
      <w:r>
        <w:rPr>
          <w:rFonts w:ascii="黑体" w:hAnsi="黑体" w:eastAsia="黑体" w:cs="Times New Roman"/>
          <w:sz w:val="32"/>
          <w:szCs w:val="32"/>
          <w:highlight w:val="none"/>
        </w:rPr>
        <w:t xml:space="preserve"> </w:t>
      </w:r>
      <w:r>
        <w:rPr>
          <w:rFonts w:hint="eastAsia" w:ascii="黑体" w:hAnsi="黑体" w:eastAsia="黑体" w:cs="Times New Roman"/>
          <w:sz w:val="32"/>
          <w:szCs w:val="32"/>
          <w:highlight w:val="none"/>
        </w:rPr>
        <w:t>风险管理</w:t>
      </w:r>
      <w:bookmarkEnd w:id="15"/>
      <w:bookmarkEnd w:id="16"/>
      <w:bookmarkEnd w:id="17"/>
      <w:bookmarkEnd w:id="18"/>
      <w:bookmarkEnd w:id="19"/>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期权交易风险管理实行保证金制度、涨跌停板制度、限仓制度、交易限额制度、大户报告制度、强行平仓制度和风险警示制度。</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bookmarkStart w:id="20" w:name="_Ref375310637"/>
      <w:r>
        <w:rPr>
          <w:rFonts w:hint="eastAsia" w:ascii="宋体" w:hAnsi="宋体"/>
          <w:sz w:val="28"/>
          <w:szCs w:val="28"/>
          <w:highlight w:val="none"/>
        </w:rPr>
        <w:t>期权交易实行保证金制度。期货期权卖方交易保证金的收取标准为下列两者中较大者：</w:t>
      </w:r>
      <w:bookmarkEnd w:id="20"/>
    </w:p>
    <w:p>
      <w:pPr>
        <w:tabs>
          <w:tab w:val="left" w:pos="1701"/>
        </w:tabs>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（一）期权合约结算价×标的期货合约交易单位＋标的期货合约交易保证金－期权合约虚值额的一半；</w:t>
      </w:r>
    </w:p>
    <w:p>
      <w:pPr>
        <w:tabs>
          <w:tab w:val="left" w:pos="1701"/>
        </w:tabs>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（二）期权合约结算价×标的期货合约交易单位＋标的期货合约交易保证金的一半。</w:t>
      </w:r>
    </w:p>
    <w:p>
      <w:pPr>
        <w:tabs>
          <w:tab w:val="left" w:pos="1701"/>
        </w:tabs>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其中：</w:t>
      </w:r>
    </w:p>
    <w:p>
      <w:pPr>
        <w:tabs>
          <w:tab w:val="left" w:pos="1701"/>
        </w:tabs>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看涨期权合约虚值额=Max（行权价格－标的期货合约结算价，0）×标的期货合约交易单位；</w:t>
      </w:r>
    </w:p>
    <w:p>
      <w:pPr>
        <w:tabs>
          <w:tab w:val="left" w:pos="1701"/>
        </w:tabs>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看跌期权合约虚值额=Max（标的期货合约结算价－行权价格，0）×标的期货合约交易单位。</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卖出跨式或宽跨式套利，交易保证金收取标准为卖出看涨期权与卖出看跌期权交易保证金较大者加上另一部位权利金。</w:t>
      </w:r>
    </w:p>
    <w:p>
      <w:pPr>
        <w:numPr>
          <w:ilvl w:val="0"/>
          <w:numId w:val="5"/>
        </w:numPr>
        <w:tabs>
          <w:tab w:val="left" w:pos="1620"/>
          <w:tab w:val="left" w:pos="1701"/>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备兑期权套利交易保证金的收取标准为权利金与标的期货交易保证金之和。</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期权交易实行涨跌停板制度。期货期权的涨跌停板价格计算公式如下：</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（一）涨停板价格 = 期权合约上一交易日结算价＋标的期货合约上一交易日结算价×标的期货合约涨停板的比例；</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（二）跌停板价格 = Max（期权合约上一交易日结算价－标的期货合约上一交易日结算价×标的期货合约跌停板的比例，期权合约最小变动价位）。</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当某期权合约在某一交易日收盘前5分钟内出现只有涨（跌）停板价位的买入（卖出）申报、没有涨（跌）停板价位的卖出（买入）申报，或者有卖出（买入）申报立即成交、但未打开涨（跌）停板价位的情况，称为涨（跌）停板单方无报价（以下简称单边市）。</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如果某期权合约上一交易日结算价小于等于当日涨跌停板幅度，且当日收盘前5分钟内出现只有最低报价的卖出申报、没有最低报价的买入申报，或者一有买入申报就成交、但未打开最低报价的情况，交易所不将其按照单边市处理。</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当期权合约连续三个交易日出现同方向单边市时，交易所不实行强制减仓措施。</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标的期货合约暂停交易时，相应期权合约暂停交易。最后交易日期权合约全天暂停交易的，期权最后交易日、到期日顺延至下一交易日。</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当标的期货合约调整交易保证金标准和涨跌停板幅度时，期权合约交易保证金标准和涨跌停板幅度随之相应变化。</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期权交易实行限仓制度。期权限仓是指交易所规定非期货公司会员、境外特殊非经纪参与者或客户可以持有的、按单边计算的某月份期权合约投机持仓的最大数量。</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期权单边持仓数量按买入看涨期权与卖出看跌期权持仓量之和、买入看跌期权与卖出看涨期权持仓量之和分别计算。</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非期货公司会员、境外特殊非经纪参与者、客户的投机持仓数量不得超过交易所规定的限仓标准。期权合约的限仓标准由交易所确定并公布，交易所可以根据市场情况进行调整。</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非期货公司会员、境外特殊非经纪参与者和客户进行套期保值、套利交易以及从事做市商业务，其持仓限额按照交易所有关规定执行。</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交易所可以对期权合约实行交易限额制度，具体按照《郑州商品交易所期货交易风险控制管理办法》相关规定执行。</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非期货公司会员、境外特殊非经纪参与者、客户因期权行权超出期货限仓标准的，交易所按照有关规定实行强行平仓措施。</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期权交易实行大户报告制度。大户报告的条件、应提供材料等，适用《郑州商品交易所期货交易风险控制管理办法》有关规定。</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期权交易实行强行平仓制度。出现以下情形的，交易所按照流动性和释放资金量最大原则进行强行平仓：</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（一）会员或其受托结算的任一明细账户的结算准备金余额小于零并未能在规定时间补足，且没有提供平仓名单的；</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（二）非期货公司会员、境外特殊非经纪参与者或客户持仓量超出其限仓规定的。</w:t>
      </w:r>
    </w:p>
    <w:p>
      <w:pPr>
        <w:tabs>
          <w:tab w:val="left" w:pos="1620"/>
          <w:tab w:val="left" w:pos="1800"/>
        </w:tabs>
        <w:spacing w:line="360" w:lineRule="auto"/>
        <w:ind w:firstLine="560" w:firstLineChars="200"/>
        <w:rPr>
          <w:rFonts w:ascii="宋体" w:hAnsi="宋体"/>
          <w:sz w:val="28"/>
          <w:szCs w:val="28"/>
          <w:highlight w:val="none"/>
        </w:rPr>
      </w:pPr>
      <w:r>
        <w:rPr>
          <w:rFonts w:hint="eastAsia" w:ascii="宋体" w:hAnsi="宋体"/>
          <w:sz w:val="28"/>
          <w:szCs w:val="28"/>
          <w:highlight w:val="none"/>
        </w:rPr>
        <w:t>其他强行平仓的情形、原则和程序等，适用《郑州商品交易所期货交易风险控制管理办法》有关规定。</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期权交易实行风险警示制度。风险警示的情形、方式等，适用《郑州商品交易所期货交易风险控制管理办法》有关规定。</w:t>
      </w:r>
    </w:p>
    <w:p>
      <w:pPr>
        <w:spacing w:before="156" w:after="156"/>
        <w:jc w:val="center"/>
        <w:rPr>
          <w:rFonts w:ascii="黑体" w:hAnsi="黑体" w:eastAsia="黑体" w:cs="Times New Roman"/>
          <w:sz w:val="32"/>
          <w:szCs w:val="32"/>
          <w:highlight w:val="none"/>
        </w:rPr>
      </w:pPr>
      <w:bookmarkStart w:id="21" w:name="_Toc418862439"/>
      <w:bookmarkStart w:id="22" w:name="_Toc413338911"/>
      <w:bookmarkStart w:id="23" w:name="_Toc402536827"/>
      <w:bookmarkStart w:id="24" w:name="_Toc402528226"/>
      <w:bookmarkStart w:id="25" w:name="_Toc401817149"/>
      <w:r>
        <w:rPr>
          <w:rFonts w:hint="eastAsia" w:ascii="黑体" w:hAnsi="黑体" w:eastAsia="黑体" w:cs="Times New Roman"/>
          <w:sz w:val="32"/>
          <w:szCs w:val="32"/>
          <w:highlight w:val="none"/>
        </w:rPr>
        <w:t>第七章</w:t>
      </w:r>
      <w:r>
        <w:rPr>
          <w:rFonts w:ascii="黑体" w:hAnsi="黑体" w:eastAsia="黑体" w:cs="Times New Roman"/>
          <w:sz w:val="32"/>
          <w:szCs w:val="32"/>
          <w:highlight w:val="none"/>
        </w:rPr>
        <w:t xml:space="preserve"> </w:t>
      </w:r>
      <w:r>
        <w:rPr>
          <w:rFonts w:hint="eastAsia" w:ascii="黑体" w:hAnsi="黑体" w:eastAsia="黑体" w:cs="Times New Roman"/>
          <w:sz w:val="32"/>
          <w:szCs w:val="32"/>
          <w:highlight w:val="none"/>
        </w:rPr>
        <w:t>信息管理</w:t>
      </w:r>
      <w:bookmarkEnd w:id="21"/>
      <w:bookmarkEnd w:id="22"/>
      <w:bookmarkEnd w:id="23"/>
      <w:bookmarkEnd w:id="24"/>
      <w:bookmarkEnd w:id="25"/>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期权交易信息是指在交易所期权交易活动中所产生的期权交易行情、交易数据统计资料、交易所发布的各种公告信息以及中国证监会指定披露的其他相关信息。</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期权交易信息所有权属于交易所。期权交易信息由交易所统一管理和发布,交易所可以独立、与第三方合作或委托第三方对期权交易信息进行经营管理。未经交易所许可，任何单位和个人不得擅自发布，不得将之用于商业用途。</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交易所发布即时、延时、每日、每周、每月期权交易行情信息，每日、每月、每年期权交易统计信息，以及法律法规要求披露的其他交易信息。</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即时行情信息是指在交易时间内，与交易活动同步发布的交易行情信息；延时行情信息是指即时行情信息延迟一定时间后发布的交易行情信息。主要内容有：交易代码、最新价、涨跌、成交量、持仓量、持仓量变化、申买价、申卖价、申买量、申卖量、结算价、开盘价、收盘价、最高价、最低价和前结算价等。</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每日期权交易信息在每个交易日结束后发布，主要内容有：</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（一）每日行情：交易代码、开盘价、最高价、最低价、收盘价、前结算价、结算价、涨跌、成交量、成交额、持仓量、持仓量变化、德尔塔（Delta）、隐含波动率和行权量；</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（二）最近月份及活跃月份前20名期货公司会员、境外特殊经纪参与者的成交量、买卖持仓量。</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本条第一款第（一）项所称德尔塔（Delta）是指期权价格的变动相对于其标的物价格变动的比率；行权量是指期权合约以行权为了结方式的数量。</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每周期权交易信息在每周的最后一个交易日结束后发布，主要内容有：交易代码、周开盘价、最高价、最低价、周收盘价、涨跌（本周末收盘价与上周末结算价之差）、周末结算价、成交量、成交额、持仓量、持仓量变化（本周末持仓量与上周末持仓量之差）和行权量。</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每月期权交易信息在每月最后一个交易日结束后发布，主要内容有：交易代码、月开盘价、最高价、最低价、月末收盘价、涨跌（本月末收盘价与上月末结算价之差）、月末结算价、成交量、成交额、持仓量、持仓量变化（本月末持仓量与上月末持仓量之差）和行权量。</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每年期权交易信息在每年最后一个交易日结束后发布，主要内容有：</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（一）所有品种期权总成交量和总成交额、分品种成交量和成交额；</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（二）总行权量和分品种行权量。</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因信息经营机构或公众媒体转发即时交易行情信息发生故障，影响会员、境外特殊参与者、境外中介机构或客户正常交易的，交易所不承担责任。</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lang w:eastAsia="zh-CN"/>
        </w:rPr>
        <w:t>任何单位或者</w:t>
      </w:r>
      <w:r>
        <w:rPr>
          <w:rFonts w:hint="eastAsia" w:ascii="宋体" w:hAnsi="宋体"/>
          <w:sz w:val="28"/>
          <w:szCs w:val="28"/>
          <w:highlight w:val="none"/>
        </w:rPr>
        <w:t>个人不得发布虚假或带有误导性质的信息。</w:t>
      </w:r>
    </w:p>
    <w:p>
      <w:pPr>
        <w:spacing w:before="156" w:after="156"/>
        <w:jc w:val="center"/>
        <w:rPr>
          <w:rFonts w:ascii="黑体" w:hAnsi="黑体" w:eastAsia="黑体" w:cs="Times New Roman"/>
          <w:sz w:val="32"/>
          <w:szCs w:val="32"/>
          <w:highlight w:val="none"/>
        </w:rPr>
      </w:pPr>
      <w:bookmarkStart w:id="26" w:name="_Toc370132641"/>
      <w:bookmarkStart w:id="27" w:name="_Toc402536828"/>
      <w:bookmarkStart w:id="28" w:name="_Toc402528227"/>
      <w:bookmarkStart w:id="29" w:name="_Toc413338912"/>
      <w:bookmarkStart w:id="30" w:name="_Toc401817150"/>
      <w:bookmarkStart w:id="31" w:name="_Toc418862440"/>
      <w:r>
        <w:rPr>
          <w:rFonts w:hint="eastAsia" w:ascii="黑体" w:hAnsi="黑体" w:eastAsia="黑体" w:cs="Times New Roman"/>
          <w:sz w:val="32"/>
          <w:szCs w:val="32"/>
          <w:highlight w:val="none"/>
        </w:rPr>
        <w:t>第八章</w:t>
      </w:r>
      <w:r>
        <w:rPr>
          <w:rFonts w:ascii="黑体" w:hAnsi="黑体" w:eastAsia="黑体" w:cs="Times New Roman"/>
          <w:sz w:val="32"/>
          <w:szCs w:val="32"/>
          <w:highlight w:val="none"/>
        </w:rPr>
        <w:t xml:space="preserve"> </w:t>
      </w:r>
      <w:r>
        <w:rPr>
          <w:rFonts w:hint="eastAsia" w:ascii="黑体" w:hAnsi="黑体" w:eastAsia="黑体" w:cs="Times New Roman"/>
          <w:sz w:val="32"/>
          <w:szCs w:val="32"/>
          <w:highlight w:val="none"/>
        </w:rPr>
        <w:t>附</w:t>
      </w:r>
      <w:r>
        <w:rPr>
          <w:rFonts w:ascii="黑体" w:hAnsi="黑体" w:eastAsia="黑体" w:cs="Times New Roman"/>
          <w:sz w:val="32"/>
          <w:szCs w:val="32"/>
          <w:highlight w:val="none"/>
        </w:rPr>
        <w:t xml:space="preserve"> </w:t>
      </w:r>
      <w:r>
        <w:rPr>
          <w:rFonts w:hint="eastAsia" w:ascii="黑体" w:hAnsi="黑体" w:eastAsia="黑体" w:cs="Times New Roman"/>
          <w:sz w:val="32"/>
          <w:szCs w:val="32"/>
          <w:highlight w:val="none"/>
        </w:rPr>
        <w:t>则</w:t>
      </w:r>
      <w:bookmarkEnd w:id="26"/>
      <w:bookmarkEnd w:id="27"/>
      <w:bookmarkEnd w:id="28"/>
      <w:bookmarkEnd w:id="29"/>
      <w:bookmarkEnd w:id="30"/>
      <w:bookmarkEnd w:id="31"/>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本办法未明确规定的，按照交易所其他业务规则有关规定执行。</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交易所其他业务规则规定与本办法不一致的，在期权相关业务中，适用本办法。</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违反本办法规定的，按照《郑州商品交易所违规处理办法》有关规定处理。</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本办法解释权属于郑州商品交易所。</w:t>
      </w:r>
    </w:p>
    <w:p>
      <w:pPr>
        <w:numPr>
          <w:ilvl w:val="0"/>
          <w:numId w:val="5"/>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本办法自202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default" w:ascii="宋体" w:hAnsi="宋体"/>
          <w:sz w:val="28"/>
          <w:szCs w:val="28"/>
          <w:highlight w:val="none"/>
          <w:lang w:val="en-US" w:eastAsia="zh-CN"/>
        </w:rPr>
        <w:t>5</w:t>
      </w:r>
      <w:r>
        <w:rPr>
          <w:rFonts w:hint="eastAsia" w:ascii="宋体" w:hAnsi="宋体"/>
          <w:sz w:val="28"/>
          <w:szCs w:val="28"/>
          <w:highlight w:val="none"/>
        </w:rPr>
        <w:t>月</w:t>
      </w:r>
      <w:r>
        <w:rPr>
          <w:rFonts w:hint="default" w:ascii="宋体" w:hAnsi="宋体"/>
          <w:sz w:val="28"/>
          <w:szCs w:val="28"/>
          <w:highlight w:val="none"/>
          <w:lang w:val="en-US" w:eastAsia="zh-CN"/>
        </w:rPr>
        <w:t>7</w:t>
      </w:r>
      <w:r>
        <w:rPr>
          <w:rFonts w:hint="eastAsia" w:ascii="宋体" w:hAnsi="宋体"/>
          <w:sz w:val="28"/>
          <w:szCs w:val="28"/>
          <w:highlight w:val="none"/>
        </w:rPr>
        <w:t>日起施行。</w:t>
      </w:r>
    </w:p>
    <w:p>
      <w:pPr>
        <w:rPr>
          <w:rFonts w:hint="default" w:ascii="黑体" w:hAnsi="黑体" w:eastAsia="黑体" w:cs="黑体"/>
          <w:sz w:val="32"/>
          <w:szCs w:val="32"/>
          <w:highlight w:val="none"/>
          <w:lang w:val="en-US" w:eastAsia="zh-CN"/>
        </w:rPr>
        <w:sectPr>
          <w:pgSz w:w="11906" w:h="16838"/>
          <w:pgMar w:top="1440" w:right="1800" w:bottom="1440" w:left="1800" w:header="851" w:footer="992" w:gutter="0"/>
          <w:cols w:space="720" w:num="1"/>
          <w:docGrid w:type="lines" w:linePitch="312" w:charSpace="0"/>
        </w:sect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郑州商品交易所期货交易者适当性管理办法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对《郑州商品交易所期货交易者适当性管理办法》作如下修订：</w:t>
      </w:r>
    </w:p>
    <w:p>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四条第一款修订为：“期货公司会员、境外特殊经纪参与者和境外中介机构（以下统称开户机构）应当根据本办法要求，评估客户对期货交易的认知水平和风险承受能力，将适当的产品提供给适合的客户。”</w:t>
      </w:r>
    </w:p>
    <w:p>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将第三章第十九条修订为：“期货公司会员、境外特殊经纪参与者与境外中介机构之间存在委托协议的，应当建立业务对接规则，落实交易者适当性制度的相关要求。”</w:t>
      </w:r>
    </w:p>
    <w:p>
      <w:pPr>
        <w:widowControl/>
        <w:jc w:val="center"/>
        <w:rPr>
          <w:rFonts w:hint="eastAsia" w:ascii="宋体" w:hAnsi="宋体" w:eastAsia="方正小标宋简体" w:cs="仿宋"/>
          <w:b/>
          <w:color w:val="000000"/>
          <w:kern w:val="0"/>
          <w:sz w:val="40"/>
          <w:szCs w:val="40"/>
          <w:highlight w:val="none"/>
          <w:lang w:eastAsia="zh-CN"/>
        </w:rPr>
      </w:pPr>
      <w:r>
        <w:rPr>
          <w:rFonts w:hint="eastAsia" w:ascii="仿宋" w:hAnsi="仿宋" w:eastAsia="仿宋" w:cs="仿宋"/>
          <w:sz w:val="32"/>
          <w:szCs w:val="32"/>
          <w:highlight w:val="none"/>
          <w:lang w:val="en-US" w:eastAsia="zh-CN"/>
        </w:rPr>
        <w:br w:type="page"/>
      </w:r>
      <w:r>
        <w:rPr>
          <w:rFonts w:hint="eastAsia" w:ascii="黑体" w:hAnsi="黑体" w:eastAsia="黑体" w:cs="黑体"/>
          <w:b w:val="0"/>
          <w:bCs/>
          <w:sz w:val="40"/>
          <w:szCs w:val="40"/>
          <w:highlight w:val="none"/>
        </w:rPr>
        <w:t>《郑州商品交易所期货交易者适当性管理办法》修订对照表</w:t>
      </w:r>
    </w:p>
    <w:p>
      <w:pPr>
        <w:widowControl/>
        <w:spacing w:line="360" w:lineRule="auto"/>
        <w:jc w:val="center"/>
        <w:outlineLvl w:val="0"/>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lang w:eastAsia="zh-CN"/>
              </w:rPr>
              <w:t>修订前</w:t>
            </w:r>
            <w:r>
              <w:rPr>
                <w:rFonts w:hint="eastAsia" w:ascii="仿宋" w:hAnsi="仿宋" w:eastAsia="仿宋"/>
                <w:b/>
                <w:bCs/>
                <w:sz w:val="24"/>
                <w:highlight w:val="none"/>
              </w:rPr>
              <w:t>条文</w:t>
            </w:r>
          </w:p>
        </w:tc>
        <w:tc>
          <w:tcPr>
            <w:tcW w:w="2500" w:type="pct"/>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rPr>
              <w:t>修订</w:t>
            </w:r>
            <w:r>
              <w:rPr>
                <w:rFonts w:hint="eastAsia" w:ascii="仿宋" w:hAnsi="仿宋" w:eastAsia="仿宋"/>
                <w:b/>
                <w:bCs/>
                <w:sz w:val="24"/>
                <w:highlight w:val="none"/>
                <w:lang w:eastAsia="zh-CN"/>
              </w:rPr>
              <w:t>后</w:t>
            </w:r>
            <w:r>
              <w:rPr>
                <w:rFonts w:hint="eastAsia" w:ascii="仿宋" w:hAnsi="仿宋" w:eastAsia="仿宋"/>
                <w:b/>
                <w:bCs/>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center"/>
          </w:tcPr>
          <w:p>
            <w:pPr>
              <w:ind w:firstLine="441" w:firstLineChars="200"/>
              <w:rPr>
                <w:rFonts w:ascii="仿宋" w:hAnsi="仿宋" w:eastAsia="仿宋"/>
                <w:sz w:val="22"/>
                <w:highlight w:val="none"/>
              </w:rPr>
            </w:pPr>
            <w:r>
              <w:rPr>
                <w:rFonts w:hint="eastAsia" w:ascii="仿宋" w:hAnsi="仿宋" w:eastAsia="仿宋"/>
                <w:b/>
                <w:sz w:val="22"/>
                <w:highlight w:val="none"/>
              </w:rPr>
              <w:t>第四条</w:t>
            </w:r>
            <w:r>
              <w:rPr>
                <w:rFonts w:hint="eastAsia" w:ascii="仿宋" w:hAnsi="仿宋" w:eastAsia="仿宋"/>
                <w:sz w:val="22"/>
                <w:highlight w:val="none"/>
              </w:rPr>
              <w:t xml:space="preserve"> 期货公司会员和境外经纪机构（以下统称开户机构）应当根据本办法要求，评估客户对期货交易的认知水平和风险承受能力，将适当的产品提供给适合的客户。 </w:t>
            </w:r>
          </w:p>
          <w:p>
            <w:pPr>
              <w:ind w:firstLine="440" w:firstLineChars="200"/>
              <w:rPr>
                <w:rFonts w:ascii="仿宋" w:hAnsi="仿宋" w:eastAsia="仿宋"/>
                <w:sz w:val="22"/>
                <w:highlight w:val="none"/>
              </w:rPr>
            </w:pPr>
            <w:r>
              <w:rPr>
                <w:rFonts w:hint="eastAsia" w:ascii="仿宋" w:hAnsi="仿宋" w:eastAsia="仿宋"/>
                <w:sz w:val="22"/>
                <w:highlight w:val="none"/>
              </w:rPr>
              <w:t>……</w:t>
            </w:r>
          </w:p>
        </w:tc>
        <w:tc>
          <w:tcPr>
            <w:tcW w:w="2500" w:type="pct"/>
            <w:noWrap w:val="0"/>
            <w:vAlign w:val="center"/>
          </w:tcPr>
          <w:p>
            <w:pPr>
              <w:ind w:firstLine="441" w:firstLineChars="200"/>
              <w:rPr>
                <w:rFonts w:ascii="仿宋" w:hAnsi="仿宋" w:eastAsia="仿宋"/>
                <w:sz w:val="22"/>
                <w:highlight w:val="none"/>
              </w:rPr>
            </w:pPr>
            <w:r>
              <w:rPr>
                <w:rFonts w:hint="eastAsia" w:ascii="仿宋" w:hAnsi="仿宋" w:eastAsia="仿宋"/>
                <w:b/>
                <w:sz w:val="22"/>
                <w:highlight w:val="none"/>
              </w:rPr>
              <w:t xml:space="preserve">第四条 </w:t>
            </w:r>
            <w:r>
              <w:rPr>
                <w:rFonts w:hint="eastAsia" w:ascii="仿宋" w:hAnsi="仿宋" w:eastAsia="仿宋"/>
                <w:sz w:val="22"/>
                <w:highlight w:val="none"/>
              </w:rPr>
              <w:t>期货公司会员</w:t>
            </w:r>
            <w:r>
              <w:rPr>
                <w:rFonts w:hint="eastAsia" w:ascii="仿宋" w:hAnsi="仿宋" w:eastAsia="仿宋"/>
                <w:b/>
                <w:sz w:val="22"/>
                <w:highlight w:val="none"/>
                <w:u w:val="single"/>
              </w:rPr>
              <w:t>、境外特殊经纪参与者</w:t>
            </w:r>
            <w:r>
              <w:rPr>
                <w:rFonts w:hint="eastAsia" w:ascii="仿宋" w:hAnsi="仿宋" w:eastAsia="仿宋"/>
                <w:sz w:val="22"/>
                <w:highlight w:val="none"/>
              </w:rPr>
              <w:t>和境外</w:t>
            </w:r>
            <w:r>
              <w:rPr>
                <w:rFonts w:hint="eastAsia" w:ascii="仿宋" w:hAnsi="仿宋" w:eastAsia="仿宋"/>
                <w:dstrike/>
                <w:sz w:val="22"/>
                <w:highlight w:val="none"/>
              </w:rPr>
              <w:t>经纪</w:t>
            </w:r>
            <w:r>
              <w:rPr>
                <w:rFonts w:hint="eastAsia" w:ascii="仿宋" w:hAnsi="仿宋" w:eastAsia="仿宋"/>
                <w:b/>
                <w:sz w:val="22"/>
                <w:highlight w:val="none"/>
                <w:u w:val="single"/>
              </w:rPr>
              <w:t>中介</w:t>
            </w:r>
            <w:r>
              <w:rPr>
                <w:rFonts w:hint="eastAsia" w:ascii="仿宋" w:hAnsi="仿宋" w:eastAsia="仿宋"/>
                <w:sz w:val="22"/>
                <w:highlight w:val="none"/>
              </w:rPr>
              <w:t xml:space="preserve">机构（以下统称开户机构）应当根据本办法要求，评估客户对期货交易的认知水平和风险承受能力，将适当的产品提供给适合的客户。 </w:t>
            </w:r>
          </w:p>
          <w:p>
            <w:pPr>
              <w:ind w:firstLine="440" w:firstLineChars="200"/>
              <w:rPr>
                <w:rFonts w:ascii="仿宋" w:hAnsi="仿宋" w:eastAsia="仿宋"/>
                <w:sz w:val="22"/>
                <w:highlight w:val="none"/>
              </w:rPr>
            </w:pPr>
            <w:r>
              <w:rPr>
                <w:rFonts w:hint="eastAsia" w:ascii="仿宋" w:hAnsi="仿宋" w:eastAsia="仿宋"/>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center"/>
          </w:tcPr>
          <w:p>
            <w:pPr>
              <w:ind w:firstLine="441" w:firstLineChars="200"/>
              <w:rPr>
                <w:rFonts w:ascii="仿宋" w:hAnsi="仿宋" w:eastAsia="仿宋"/>
                <w:sz w:val="22"/>
                <w:highlight w:val="none"/>
              </w:rPr>
            </w:pPr>
            <w:r>
              <w:rPr>
                <w:rFonts w:hint="eastAsia" w:ascii="仿宋" w:hAnsi="仿宋" w:eastAsia="仿宋"/>
                <w:b/>
                <w:sz w:val="22"/>
                <w:highlight w:val="none"/>
              </w:rPr>
              <w:t xml:space="preserve">第十九条 </w:t>
            </w:r>
            <w:r>
              <w:rPr>
                <w:rFonts w:hint="eastAsia" w:ascii="仿宋" w:hAnsi="仿宋" w:eastAsia="仿宋"/>
                <w:sz w:val="22"/>
                <w:highlight w:val="none"/>
              </w:rPr>
              <w:t>期货公司会员与境外经纪机构之间存在委托协议的，应当建立业务对接规则，落实交易者适当性制度的相关要求。</w:t>
            </w:r>
          </w:p>
        </w:tc>
        <w:tc>
          <w:tcPr>
            <w:tcW w:w="2500" w:type="pct"/>
            <w:noWrap w:val="0"/>
            <w:vAlign w:val="center"/>
          </w:tcPr>
          <w:p>
            <w:pPr>
              <w:ind w:firstLine="441" w:firstLineChars="200"/>
              <w:rPr>
                <w:rFonts w:ascii="仿宋" w:hAnsi="仿宋" w:eastAsia="仿宋"/>
                <w:sz w:val="22"/>
                <w:highlight w:val="none"/>
              </w:rPr>
            </w:pPr>
            <w:r>
              <w:rPr>
                <w:rFonts w:hint="eastAsia" w:ascii="仿宋" w:hAnsi="仿宋" w:eastAsia="仿宋"/>
                <w:b/>
                <w:sz w:val="22"/>
                <w:highlight w:val="none"/>
              </w:rPr>
              <w:t xml:space="preserve">第十九条 </w:t>
            </w:r>
            <w:r>
              <w:rPr>
                <w:rFonts w:hint="eastAsia" w:ascii="仿宋" w:hAnsi="仿宋" w:eastAsia="仿宋"/>
                <w:sz w:val="22"/>
                <w:highlight w:val="none"/>
              </w:rPr>
              <w:t>期货公司会员</w:t>
            </w:r>
            <w:r>
              <w:rPr>
                <w:rFonts w:hint="eastAsia" w:ascii="仿宋" w:hAnsi="仿宋" w:eastAsia="仿宋"/>
                <w:b/>
                <w:sz w:val="22"/>
                <w:highlight w:val="none"/>
                <w:u w:val="single"/>
              </w:rPr>
              <w:t>、境外特殊经纪参与者</w:t>
            </w:r>
            <w:r>
              <w:rPr>
                <w:rFonts w:hint="eastAsia" w:ascii="仿宋" w:hAnsi="仿宋" w:eastAsia="仿宋"/>
                <w:sz w:val="22"/>
                <w:highlight w:val="none"/>
              </w:rPr>
              <w:t>与境外</w:t>
            </w:r>
            <w:r>
              <w:rPr>
                <w:rFonts w:hint="eastAsia" w:ascii="仿宋" w:hAnsi="仿宋" w:eastAsia="仿宋"/>
                <w:dstrike/>
                <w:sz w:val="22"/>
                <w:highlight w:val="none"/>
              </w:rPr>
              <w:t>经纪</w:t>
            </w:r>
            <w:r>
              <w:rPr>
                <w:rFonts w:hint="eastAsia" w:ascii="仿宋" w:hAnsi="仿宋" w:eastAsia="仿宋"/>
                <w:b/>
                <w:sz w:val="22"/>
                <w:highlight w:val="none"/>
                <w:u w:val="single"/>
              </w:rPr>
              <w:t>中介</w:t>
            </w:r>
            <w:r>
              <w:rPr>
                <w:rFonts w:hint="eastAsia" w:ascii="仿宋" w:hAnsi="仿宋" w:eastAsia="仿宋"/>
                <w:sz w:val="22"/>
                <w:highlight w:val="none"/>
              </w:rPr>
              <w:t>机构之间存在委托协议的，应当建立业务对接规则，落实交易者适当性制度的相关要求。</w:t>
            </w:r>
          </w:p>
        </w:tc>
      </w:tr>
    </w:tbl>
    <w:p>
      <w:pPr>
        <w:rPr>
          <w:rFonts w:hint="eastAsia" w:ascii="黑体" w:hAnsi="黑体" w:eastAsia="黑体" w:cs="黑体"/>
          <w:sz w:val="32"/>
          <w:szCs w:val="32"/>
          <w:highlight w:val="none"/>
          <w:lang w:val="en-US" w:eastAsia="zh-CN"/>
        </w:rPr>
        <w:sectPr>
          <w:pgSz w:w="11906" w:h="16838"/>
          <w:pgMar w:top="1440" w:right="1800" w:bottom="1440" w:left="1800" w:header="720" w:footer="720" w:gutter="0"/>
          <w:cols w:space="720" w:num="1"/>
          <w:docGrid w:type="lines" w:linePitch="312" w:charSpace="0"/>
        </w:sectPr>
      </w:pPr>
    </w:p>
    <w:p>
      <w:pPr>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kern w:val="0"/>
          <w:sz w:val="40"/>
          <w:szCs w:val="40"/>
          <w:highlight w:val="none"/>
        </w:rPr>
      </w:pPr>
      <w:r>
        <w:rPr>
          <w:rFonts w:hint="eastAsia" w:ascii="黑体" w:hAnsi="黑体" w:eastAsia="黑体" w:cs="黑体"/>
          <w:b w:val="0"/>
          <w:bCs/>
          <w:kern w:val="0"/>
          <w:sz w:val="40"/>
          <w:szCs w:val="40"/>
          <w:highlight w:val="none"/>
        </w:rPr>
        <w:t>郑州商品交易所期货交易者适当性管理办法</w:t>
      </w:r>
    </w:p>
    <w:p>
      <w:pPr>
        <w:pageBreakBefore w:val="0"/>
        <w:widowControl w:val="0"/>
        <w:kinsoku/>
        <w:wordWrap/>
        <w:overflowPunct/>
        <w:topLinePunct w:val="0"/>
        <w:autoSpaceDE/>
        <w:autoSpaceDN/>
        <w:bidi w:val="0"/>
        <w:adjustRightInd/>
        <w:snapToGrid/>
        <w:spacing w:before="240" w:after="240"/>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keepNext/>
        <w:keepLines/>
        <w:pageBreakBefore w:val="0"/>
        <w:widowControl w:val="0"/>
        <w:kinsoku/>
        <w:wordWrap/>
        <w:overflowPunct/>
        <w:topLinePunct w:val="0"/>
        <w:autoSpaceDE/>
        <w:autoSpaceDN/>
        <w:bidi w:val="0"/>
        <w:adjustRightInd/>
        <w:snapToGrid/>
        <w:spacing w:line="360" w:lineRule="auto"/>
        <w:ind w:firstLine="640" w:firstLineChars="200"/>
        <w:contextualSpacing/>
        <w:jc w:val="center"/>
        <w:textAlignment w:val="auto"/>
        <w:outlineLvl w:val="1"/>
        <w:rPr>
          <w:rFonts w:ascii="黑体" w:hAnsi="黑体" w:eastAsia="黑体"/>
          <w:bCs/>
          <w:sz w:val="32"/>
          <w:szCs w:val="32"/>
          <w:highlight w:val="none"/>
        </w:rPr>
      </w:pPr>
      <w:r>
        <w:rPr>
          <w:rFonts w:ascii="黑体" w:hAnsi="黑体" w:eastAsia="黑体"/>
          <w:bCs/>
          <w:sz w:val="32"/>
          <w:szCs w:val="32"/>
          <w:highlight w:val="none"/>
        </w:rPr>
        <w:t xml:space="preserve">第一章 </w:t>
      </w:r>
      <w:r>
        <w:rPr>
          <w:rFonts w:hint="eastAsia" w:ascii="黑体" w:hAnsi="黑体" w:eastAsia="黑体"/>
          <w:bCs/>
          <w:sz w:val="32"/>
          <w:szCs w:val="32"/>
          <w:highlight w:val="none"/>
        </w:rPr>
        <w:t>总</w:t>
      </w:r>
      <w:r>
        <w:rPr>
          <w:rFonts w:ascii="黑体" w:hAnsi="黑体" w:eastAsia="黑体"/>
          <w:bCs/>
          <w:sz w:val="32"/>
          <w:szCs w:val="32"/>
          <w:highlight w:val="none"/>
        </w:rPr>
        <w:t>则</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 xml:space="preserve">第一条 </w:t>
      </w:r>
      <w:r>
        <w:rPr>
          <w:rFonts w:hint="eastAsia" w:ascii="宋体" w:hAnsi="宋体" w:eastAsia="宋体" w:cs="宋体"/>
          <w:kern w:val="0"/>
          <w:sz w:val="28"/>
          <w:szCs w:val="28"/>
          <w:highlight w:val="none"/>
        </w:rPr>
        <w:t>为了引导交易者理性参与期货交易，维护交易者合法权益，保障期货市场平稳、规范、健康发展，根据《期货交易管理条例》《境外交易者和境外经纪机构从事境内特定品种期货交易管理暂行办法》《证券期货投资者适当性管理办法》等法律法规及郑州商品交易所（以下简称交易所）业务规则，制定本办法。</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第二条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交易所期权合约和特定品种期货合约交易实行适当性制度。</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strike/>
          <w:kern w:val="0"/>
          <w:sz w:val="28"/>
          <w:szCs w:val="28"/>
          <w:highlight w:val="none"/>
        </w:rPr>
      </w:pPr>
      <w:r>
        <w:rPr>
          <w:rFonts w:hint="eastAsia" w:ascii="黑体" w:hAnsi="黑体" w:eastAsia="黑体" w:cs="黑体"/>
          <w:b w:val="0"/>
          <w:bCs w:val="0"/>
          <w:kern w:val="0"/>
          <w:sz w:val="28"/>
          <w:szCs w:val="28"/>
          <w:highlight w:val="none"/>
        </w:rPr>
        <w:t xml:space="preserve">第三条 </w:t>
      </w:r>
      <w:r>
        <w:rPr>
          <w:rFonts w:hint="eastAsia" w:ascii="宋体" w:hAnsi="宋体" w:eastAsia="宋体" w:cs="宋体"/>
          <w:kern w:val="0"/>
          <w:sz w:val="28"/>
          <w:szCs w:val="28"/>
          <w:highlight w:val="none"/>
        </w:rPr>
        <w:t>本办法所称的交易者是指从事期货交易并承担交易结果的自然人、法人和非法人组织。</w:t>
      </w:r>
      <w:r>
        <w:rPr>
          <w:rFonts w:hint="eastAsia" w:ascii="宋体" w:hAnsi="宋体" w:eastAsia="宋体" w:cs="宋体"/>
          <w:kern w:val="0"/>
          <w:sz w:val="28"/>
          <w:szCs w:val="28"/>
          <w:highlight w:val="none"/>
        </w:rPr>
        <w:br w:type="textWrapping"/>
      </w:r>
      <w:r>
        <w:rPr>
          <w:rFonts w:hint="eastAsia" w:ascii="宋体" w:hAnsi="宋体" w:eastAsia="宋体" w:cs="宋体"/>
          <w:kern w:val="0"/>
          <w:sz w:val="28"/>
          <w:szCs w:val="28"/>
          <w:highlight w:val="none"/>
        </w:rPr>
        <w:t xml:space="preserve">    交易者应当根据适当性制度的要求，全面评估自身市场及产品认知能力、风险控制与承受能力和经济实力，审慎决定是否参与期货交易。</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第四条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期货公司会员、境外特殊经纪参与者和境外</w:t>
      </w:r>
      <w:r>
        <w:rPr>
          <w:rFonts w:hint="eastAsia" w:ascii="宋体" w:hAnsi="宋体" w:eastAsia="宋体" w:cs="宋体"/>
          <w:kern w:val="0"/>
          <w:sz w:val="28"/>
          <w:szCs w:val="28"/>
          <w:highlight w:val="none"/>
          <w:lang w:eastAsia="zh-CN"/>
        </w:rPr>
        <w:t>中介</w:t>
      </w:r>
      <w:r>
        <w:rPr>
          <w:rFonts w:hint="eastAsia" w:ascii="宋体" w:hAnsi="宋体" w:eastAsia="宋体" w:cs="宋体"/>
          <w:kern w:val="0"/>
          <w:sz w:val="28"/>
          <w:szCs w:val="28"/>
          <w:highlight w:val="none"/>
        </w:rPr>
        <w:t>机构（以下统称开户机构）应当根据本办法要求，评估客户对期货交易的认知水平和风险承受能力，将适当的产品提供给适合的客户。</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交易编码实行权限管理。开户机构在为客户开立交易编码后，应当选择开通相应的上市品种交易权限。</w:t>
      </w:r>
    </w:p>
    <w:p>
      <w:pPr>
        <w:keepNext/>
        <w:keepLines/>
        <w:pageBreakBefore w:val="0"/>
        <w:widowControl w:val="0"/>
        <w:kinsoku/>
        <w:wordWrap/>
        <w:overflowPunct/>
        <w:topLinePunct w:val="0"/>
        <w:autoSpaceDE/>
        <w:autoSpaceDN/>
        <w:bidi w:val="0"/>
        <w:adjustRightInd/>
        <w:snapToGrid/>
        <w:spacing w:line="360" w:lineRule="auto"/>
        <w:ind w:firstLine="640" w:firstLineChars="200"/>
        <w:contextualSpacing/>
        <w:jc w:val="center"/>
        <w:textAlignment w:val="auto"/>
        <w:outlineLvl w:val="1"/>
        <w:rPr>
          <w:rFonts w:ascii="Cambria" w:hAnsi="Cambria" w:eastAsia="黑体"/>
          <w:bCs/>
          <w:sz w:val="32"/>
          <w:szCs w:val="32"/>
          <w:highlight w:val="none"/>
        </w:rPr>
      </w:pPr>
      <w:bookmarkStart w:id="32" w:name="_Toc380322203"/>
      <w:r>
        <w:rPr>
          <w:rFonts w:hint="eastAsia" w:ascii="Cambria" w:hAnsi="Cambria" w:eastAsia="黑体"/>
          <w:sz w:val="32"/>
          <w:szCs w:val="32"/>
          <w:highlight w:val="none"/>
        </w:rPr>
        <w:t>第二章 适当性管理的标准</w:t>
      </w:r>
      <w:bookmarkEnd w:id="32"/>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第五条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开户机构为单位客户参与实行适当性制度的上市品种申请开立交易编码或者开通交易权限时，单位客户应当符合以下标准：</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（一）相关业务人员具备期货交易基础知识，了解相关业务规则；</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二）具有累计不少于10个交易日且20笔及以上的境内交易场所的期货合约或者期权合约仿真交易成交记录；或者近三年内具有10笔及以上的境内交易场所的期货合约、期权合约或者集中清算的其他衍生品交易成交记录；或者近三年内具有10笔及以上的在与中国证券监督管理委员会（以下简称中国证监会）签署监管合作谅解备忘录的国家（地区）期货监管机构监管的境外交易场所的期货合约、期权合约或者集中清算的其他衍生品交易成交记录（以下简称认可境外成交记录）；</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（三）申请开立交易编码或者开通交易权限前连续5个交易日保证金账户可用资金余额均不低于人民币10万元或者等值外币；</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（四）具有健全的内部控制、风险管理等期货交易管理相关制度；</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（五）不存在严重不良诚信记录、被有权监管机关宣布为期货市场禁止进入者和法律、法规、规章、交易所业务规则禁止或者限制从事期货交易的情形；</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（六）交易所要求的其他条件。</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第六条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开户机构为个人客户参与实行适当性制度的上市品种申请开立交易编码或者开通交易权限时，个人客户应当符合以下标准：</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（一）具备完全民事行为能力；</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（二）具备期货交易基础知识，了解相关业务规则；</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三）具有累计不少于10个交易日且20笔及以上的境内交易场所的期货合约或者期权合约仿真交易成交记录；或者近三年内具有10笔及以上的境内交易场所的期货合约、期权合约或者集中清算的其他衍生品交易成交记录；或者近三年内具有10笔及以上的认可境外成交记录；</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（四）申请开立交易编码或者开通交易权限前连续5个交易日保证金账户可用资金余额均不低于人民币10万元或者等值外币；</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（五）不存在严重不良诚信记录、被有权监管机关宣布为期货市场禁止进入者和法律、法规、规章、交易所业务规则禁止或者限制从事期货交易的情形；</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（六）交易所要求的其他条件。</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 xml:space="preserve">第七条 </w:t>
      </w:r>
      <w:r>
        <w:rPr>
          <w:rFonts w:hint="eastAsia" w:ascii="宋体" w:hAnsi="宋体" w:eastAsia="宋体" w:cs="宋体"/>
          <w:kern w:val="0"/>
          <w:sz w:val="28"/>
          <w:szCs w:val="28"/>
          <w:highlight w:val="none"/>
        </w:rPr>
        <w:t>具有境内交易场所实行适当性制度的其他上市品种交易权限的客户，申请开立交易所交易编码或者开通交易权限的，开户机构可以不对其进行本办法第五条第一项和第二项、第六条第二项和第三项评估；前述品种的资金要求不低于本办法第五条第三项、第六条第四项规定的，开户机构可以不再对其进行资金评估。</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开户机构应当充分使用已了解信息和已有评估结果，已通过适当性评估获得交易所某上市品种交易权限的客户，在同一开户机构可以自动获得交易所其他上市品种交易权限，可以不对本办法第五条、第六条进行重复评估。</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第八条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除法律、法规、规章以及中国证监会另有规定外，开户机构为以下客户参与实行适当性制度的上市品种申请开立交易编码或者开通交易权限的，可以不适用本办法第五条第一项至第三项、第六条第二项至第四项规定：</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（一）符合《证券期货投资者适当性管理办法》规定的专业投资者；</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（二）已开通实行适当性制度的某一品种交易权限，再通过其他开户机构开通该品种交易权限的客户；</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（三）近一年内具有累计不少于50个交易日境内交易场所的期货合约、期权合约或者集中清算的其他衍生品交易成交记录或者认可境外成交记录的客户；</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（四）做市商、特殊单位客户等交易所认可的其他交易者。</w:t>
      </w:r>
    </w:p>
    <w:p>
      <w:pPr>
        <w:keepNext w:val="0"/>
        <w:keepLines w:val="0"/>
        <w:pageBreakBefore w:val="0"/>
        <w:widowControl w:val="0"/>
        <w:tabs>
          <w:tab w:val="left" w:pos="1417"/>
        </w:tabs>
        <w:kinsoku/>
        <w:wordWrap/>
        <w:overflowPunct/>
        <w:topLinePunct w:val="0"/>
        <w:autoSpaceDE/>
        <w:autoSpaceDN/>
        <w:bidi w:val="0"/>
        <w:adjustRightInd/>
        <w:snapToGrid/>
        <w:spacing w:after="157" w:afterLines="50"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第九条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交易所可以根据市场情况调整交易者适当性标准。</w:t>
      </w:r>
      <w:bookmarkStart w:id="33" w:name="_Toc380322204"/>
    </w:p>
    <w:p>
      <w:pPr>
        <w:pageBreakBefore w:val="0"/>
        <w:widowControl w:val="0"/>
        <w:tabs>
          <w:tab w:val="left" w:pos="1417"/>
        </w:tabs>
        <w:kinsoku/>
        <w:wordWrap/>
        <w:overflowPunct/>
        <w:topLinePunct w:val="0"/>
        <w:autoSpaceDE/>
        <w:autoSpaceDN/>
        <w:bidi w:val="0"/>
        <w:adjustRightInd/>
        <w:snapToGrid/>
        <w:spacing w:line="360" w:lineRule="auto"/>
        <w:contextualSpacing/>
        <w:jc w:val="center"/>
        <w:textAlignment w:val="auto"/>
        <w:rPr>
          <w:rFonts w:ascii="Cambria" w:hAnsi="Cambria" w:eastAsia="黑体"/>
          <w:bCs/>
          <w:sz w:val="32"/>
          <w:szCs w:val="32"/>
          <w:highlight w:val="none"/>
        </w:rPr>
      </w:pPr>
      <w:r>
        <w:rPr>
          <w:rFonts w:hint="eastAsia" w:ascii="Cambria" w:hAnsi="Cambria" w:eastAsia="黑体"/>
          <w:sz w:val="32"/>
          <w:szCs w:val="32"/>
          <w:highlight w:val="none"/>
        </w:rPr>
        <w:t>第三章 适当性</w:t>
      </w:r>
      <w:r>
        <w:rPr>
          <w:rFonts w:hint="eastAsia" w:ascii="Cambria" w:hAnsi="Cambria" w:eastAsia="黑体" w:cs="宋体"/>
          <w:kern w:val="0"/>
          <w:sz w:val="32"/>
          <w:szCs w:val="32"/>
          <w:highlight w:val="none"/>
        </w:rPr>
        <w:t>制度</w:t>
      </w:r>
      <w:r>
        <w:rPr>
          <w:rFonts w:hint="eastAsia" w:ascii="Cambria" w:hAnsi="Cambria" w:eastAsia="黑体"/>
          <w:sz w:val="32"/>
          <w:szCs w:val="32"/>
          <w:highlight w:val="none"/>
        </w:rPr>
        <w:t>的实施</w:t>
      </w:r>
      <w:bookmarkEnd w:id="33"/>
    </w:p>
    <w:p>
      <w:pPr>
        <w:keepNext w:val="0"/>
        <w:keepLines w:val="0"/>
        <w:pageBreakBefore w:val="0"/>
        <w:widowControl w:val="0"/>
        <w:tabs>
          <w:tab w:val="left" w:pos="1417"/>
        </w:tabs>
        <w:kinsoku/>
        <w:wordWrap/>
        <w:overflowPunct/>
        <w:topLinePunct w:val="0"/>
        <w:autoSpaceDE/>
        <w:autoSpaceDN/>
        <w:bidi w:val="0"/>
        <w:adjustRightInd/>
        <w:snapToGrid/>
        <w:spacing w:before="157" w:beforeLines="50" w:line="360" w:lineRule="auto"/>
        <w:ind w:firstLine="560" w:firstLineChars="200"/>
        <w:contextualSpacing/>
        <w:textAlignment w:val="auto"/>
        <w:rPr>
          <w:rFonts w:hint="eastAsia" w:ascii="宋体" w:hAnsi="宋体" w:eastAsia="宋体" w:cs="宋体"/>
          <w:dstrike/>
          <w:kern w:val="0"/>
          <w:sz w:val="28"/>
          <w:szCs w:val="28"/>
          <w:highlight w:val="none"/>
        </w:rPr>
      </w:pPr>
      <w:r>
        <w:rPr>
          <w:rFonts w:hint="eastAsia" w:ascii="黑体" w:hAnsi="黑体" w:eastAsia="黑体" w:cs="黑体"/>
          <w:b w:val="0"/>
          <w:bCs w:val="0"/>
          <w:kern w:val="0"/>
          <w:sz w:val="28"/>
          <w:szCs w:val="28"/>
          <w:highlight w:val="none"/>
        </w:rPr>
        <w:t xml:space="preserve">第十条 </w:t>
      </w:r>
      <w:r>
        <w:rPr>
          <w:rFonts w:hint="eastAsia" w:ascii="宋体" w:hAnsi="宋体" w:eastAsia="宋体" w:cs="宋体"/>
          <w:kern w:val="0"/>
          <w:sz w:val="28"/>
          <w:szCs w:val="28"/>
          <w:highlight w:val="none"/>
        </w:rPr>
        <w:t>开户机构应当根据中国证监会有关规定和本办法要求，建立健全客户适当性制度的具体实施方案，完善内部分工和业务流程，对客户基本情况、相关投资经历、财务状况和诚信状况等进行综合评估，并在交易权限开通或者关闭后3个交易日内向交易所报备相应交易编码及其变更情况。</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第十一条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开户机构应当建立并有效执行客户开发责任追究制度，明确相关岗位工作人员的责任。</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第十二条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开户机构应当向客户充分揭示期货交易风险，客观介绍期货交易法律法规、交易所业务规则及有关规定和决定、产品特征，了解客户的期货交易基础知识水平，严格验证客户资金、交易经历和仿真交易经历，审慎评估客户的诚信状况和风险承受能力，审核客户交易编码或者交易权限申请材料等开户资料。</w:t>
      </w:r>
    </w:p>
    <w:p>
      <w:pPr>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dstrike/>
          <w:kern w:val="0"/>
          <w:sz w:val="28"/>
          <w:szCs w:val="28"/>
          <w:highlight w:val="none"/>
        </w:rPr>
      </w:pPr>
      <w:r>
        <w:rPr>
          <w:rFonts w:hint="eastAsia" w:ascii="黑体" w:hAnsi="黑体" w:eastAsia="黑体" w:cs="黑体"/>
          <w:b w:val="0"/>
          <w:bCs w:val="0"/>
          <w:kern w:val="0"/>
          <w:sz w:val="28"/>
          <w:szCs w:val="28"/>
          <w:highlight w:val="none"/>
        </w:rPr>
        <w:t xml:space="preserve">第十三条 </w:t>
      </w:r>
      <w:r>
        <w:rPr>
          <w:rFonts w:hint="eastAsia" w:ascii="宋体" w:hAnsi="宋体" w:eastAsia="宋体" w:cs="宋体"/>
          <w:kern w:val="0"/>
          <w:sz w:val="28"/>
          <w:szCs w:val="28"/>
          <w:highlight w:val="none"/>
        </w:rPr>
        <w:t>开户机构应当对客户进行辅导，督促客户遵守期货交易相关法律、法规、规章、交易所业务规则及有关规定和决定，持续开展客户风险教育，加强客户交易行为的合法与合规性管理。</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 xml:space="preserve">第十四条 </w:t>
      </w:r>
      <w:r>
        <w:rPr>
          <w:rFonts w:hint="eastAsia" w:ascii="宋体" w:hAnsi="宋体" w:eastAsia="宋体" w:cs="宋体"/>
          <w:kern w:val="0"/>
          <w:sz w:val="28"/>
          <w:szCs w:val="28"/>
          <w:highlight w:val="none"/>
        </w:rPr>
        <w:t>开户机构应当建立并妥善保管客户资料档案，严格为客户保密。</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 xml:space="preserve">第十五条 </w:t>
      </w:r>
      <w:r>
        <w:rPr>
          <w:rFonts w:hint="eastAsia" w:ascii="宋体" w:hAnsi="宋体" w:eastAsia="宋体" w:cs="宋体"/>
          <w:kern w:val="0"/>
          <w:sz w:val="28"/>
          <w:szCs w:val="28"/>
          <w:highlight w:val="none"/>
        </w:rPr>
        <w:t>开户机构应当为客户提供合理的投诉渠道，告知投诉的方法和程序，妥善处理纠纷，督促客户依法维护自身权益。</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 xml:space="preserve">第十六条 </w:t>
      </w:r>
      <w:r>
        <w:rPr>
          <w:rFonts w:hint="eastAsia" w:ascii="宋体" w:hAnsi="宋体" w:eastAsia="宋体" w:cs="宋体"/>
          <w:kern w:val="0"/>
          <w:sz w:val="28"/>
          <w:szCs w:val="28"/>
          <w:highlight w:val="none"/>
        </w:rPr>
        <w:t>交易者应当如实提交交易编码或者交易权限申请材料等开户资料，不得采取虚假申报等手段规避交易者适当性制度要求。</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 xml:space="preserve">第十七条 </w:t>
      </w:r>
      <w:r>
        <w:rPr>
          <w:rFonts w:hint="eastAsia" w:ascii="宋体" w:hAnsi="宋体" w:eastAsia="宋体" w:cs="宋体"/>
          <w:kern w:val="0"/>
          <w:sz w:val="28"/>
          <w:szCs w:val="28"/>
          <w:highlight w:val="none"/>
        </w:rPr>
        <w:t>交易者应当遵守买卖自负的原则，承担期货交易的履约责任，不得以不符合交易者适当性标准为由拒绝承担期货交易履约责任。</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 xml:space="preserve">第十八条 </w:t>
      </w:r>
      <w:r>
        <w:rPr>
          <w:rFonts w:hint="eastAsia" w:ascii="宋体" w:hAnsi="宋体" w:eastAsia="宋体" w:cs="宋体"/>
          <w:kern w:val="0"/>
          <w:sz w:val="28"/>
          <w:szCs w:val="28"/>
          <w:highlight w:val="none"/>
        </w:rPr>
        <w:t>交易者应当依照法律法规的相关规定，通过正当途径维护自身合法权益，不得侵害国家、社会、集体利益和他人合法权益，不得扰乱社会公共秩序、交易所及相关单位的工作秩序。</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第十九条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期货公司会员、境外特殊经纪参与者与境外</w:t>
      </w:r>
      <w:r>
        <w:rPr>
          <w:rFonts w:hint="eastAsia" w:ascii="宋体" w:hAnsi="宋体" w:eastAsia="宋体" w:cs="宋体"/>
          <w:kern w:val="0"/>
          <w:sz w:val="28"/>
          <w:szCs w:val="28"/>
          <w:highlight w:val="none"/>
          <w:lang w:eastAsia="zh-CN"/>
        </w:rPr>
        <w:t>中介</w:t>
      </w:r>
      <w:r>
        <w:rPr>
          <w:rFonts w:hint="eastAsia" w:ascii="宋体" w:hAnsi="宋体" w:eastAsia="宋体" w:cs="宋体"/>
          <w:kern w:val="0"/>
          <w:sz w:val="28"/>
          <w:szCs w:val="28"/>
          <w:highlight w:val="none"/>
        </w:rPr>
        <w:t>机构之间存在委托协议的，应当建立业务对接规则，落实交易者适当性制度的相关要求。</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 xml:space="preserve">第二十条 </w:t>
      </w:r>
      <w:r>
        <w:rPr>
          <w:rFonts w:hint="eastAsia" w:ascii="宋体" w:hAnsi="宋体" w:eastAsia="宋体" w:cs="宋体"/>
          <w:kern w:val="0"/>
          <w:sz w:val="28"/>
          <w:szCs w:val="28"/>
          <w:highlight w:val="none"/>
        </w:rPr>
        <w:t>期货公司会员委托具有中间业务介绍资格的公司协助办理交易编码或者交易权限申请手续的，应当与该公司建立业务对接规则，落实交易者适当性制度的相关要求，并对该公司的相关业务进行复核。</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第二十一条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交易所对开户机构落实交易者适当性制度情况进行检查。</w:t>
      </w:r>
    </w:p>
    <w:p>
      <w:pPr>
        <w:keepNext w:val="0"/>
        <w:keepLines w:val="0"/>
        <w:pageBreakBefore w:val="0"/>
        <w:widowControl w:val="0"/>
        <w:tabs>
          <w:tab w:val="left" w:pos="1417"/>
        </w:tabs>
        <w:kinsoku/>
        <w:wordWrap/>
        <w:overflowPunct/>
        <w:topLinePunct w:val="0"/>
        <w:autoSpaceDE/>
        <w:autoSpaceDN/>
        <w:bidi w:val="0"/>
        <w:adjustRightInd/>
        <w:snapToGrid/>
        <w:spacing w:after="313" w:afterLines="100"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开户机构应当配合检查，如实提供客户交易编码或者交易权限申请材料等开户资料、资金账户情况等资料，不得隐瞒、阻碍和拒绝。</w:t>
      </w:r>
    </w:p>
    <w:p>
      <w:pPr>
        <w:keepNext/>
        <w:keepLines/>
        <w:pageBreakBefore w:val="0"/>
        <w:widowControl w:val="0"/>
        <w:kinsoku/>
        <w:wordWrap/>
        <w:overflowPunct/>
        <w:topLinePunct w:val="0"/>
        <w:autoSpaceDE/>
        <w:autoSpaceDN/>
        <w:bidi w:val="0"/>
        <w:adjustRightInd/>
        <w:snapToGrid/>
        <w:spacing w:before="313" w:beforeLines="100" w:after="313" w:afterLines="100" w:line="360" w:lineRule="auto"/>
        <w:contextualSpacing/>
        <w:jc w:val="center"/>
        <w:textAlignment w:val="auto"/>
        <w:outlineLvl w:val="1"/>
        <w:rPr>
          <w:rFonts w:ascii="Cambria" w:hAnsi="Cambria" w:eastAsia="黑体"/>
          <w:bCs/>
          <w:sz w:val="32"/>
          <w:szCs w:val="32"/>
          <w:highlight w:val="none"/>
        </w:rPr>
      </w:pPr>
      <w:bookmarkStart w:id="34" w:name="_Toc380322205"/>
      <w:r>
        <w:rPr>
          <w:rFonts w:hint="eastAsia" w:ascii="Cambria" w:hAnsi="Cambria" w:eastAsia="黑体"/>
          <w:sz w:val="32"/>
          <w:szCs w:val="32"/>
          <w:highlight w:val="none"/>
        </w:rPr>
        <w:t>第四章</w:t>
      </w:r>
      <w:bookmarkEnd w:id="34"/>
      <w:r>
        <w:rPr>
          <w:rFonts w:hint="eastAsia" w:ascii="Cambria" w:hAnsi="Cambria" w:eastAsia="黑体"/>
          <w:sz w:val="32"/>
          <w:szCs w:val="32"/>
          <w:highlight w:val="none"/>
        </w:rPr>
        <w:t xml:space="preserve"> 附 则</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dstrike/>
          <w:kern w:val="0"/>
          <w:sz w:val="28"/>
          <w:szCs w:val="28"/>
          <w:highlight w:val="none"/>
        </w:rPr>
      </w:pPr>
      <w:r>
        <w:rPr>
          <w:rFonts w:hint="eastAsia" w:ascii="黑体" w:hAnsi="黑体" w:eastAsia="黑体" w:cs="黑体"/>
          <w:b w:val="0"/>
          <w:bCs w:val="0"/>
          <w:kern w:val="0"/>
          <w:sz w:val="28"/>
          <w:szCs w:val="28"/>
          <w:highlight w:val="none"/>
        </w:rPr>
        <w:t xml:space="preserve">第二十二条 </w:t>
      </w:r>
      <w:r>
        <w:rPr>
          <w:rFonts w:hint="eastAsia" w:ascii="宋体" w:hAnsi="宋体" w:eastAsia="宋体" w:cs="宋体"/>
          <w:kern w:val="0"/>
          <w:sz w:val="28"/>
          <w:szCs w:val="28"/>
          <w:highlight w:val="none"/>
        </w:rPr>
        <w:t>违反本办法规定的，交易所按照《郑州商品交易所违规处理办法》的有关规定处理。</w:t>
      </w:r>
    </w:p>
    <w:p>
      <w:pPr>
        <w:pageBreakBefore w:val="0"/>
        <w:widowControl w:val="0"/>
        <w:tabs>
          <w:tab w:val="left" w:pos="1417"/>
        </w:tabs>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kern w:val="0"/>
          <w:sz w:val="28"/>
          <w:szCs w:val="28"/>
          <w:highlight w:val="none"/>
        </w:rPr>
      </w:pPr>
      <w:r>
        <w:rPr>
          <w:rFonts w:hint="eastAsia" w:ascii="黑体" w:hAnsi="黑体" w:eastAsia="黑体" w:cs="黑体"/>
          <w:b w:val="0"/>
          <w:bCs w:val="0"/>
          <w:kern w:val="0"/>
          <w:sz w:val="28"/>
          <w:szCs w:val="28"/>
          <w:highlight w:val="none"/>
        </w:rPr>
        <w:t>第二十三条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本办法解释权属于交易所。</w:t>
      </w:r>
    </w:p>
    <w:p>
      <w:pPr>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kern w:val="0"/>
          <w:sz w:val="28"/>
          <w:szCs w:val="28"/>
          <w:highlight w:val="none"/>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val="0"/>
          <w:bCs w:val="0"/>
          <w:kern w:val="0"/>
          <w:sz w:val="28"/>
          <w:szCs w:val="28"/>
          <w:highlight w:val="none"/>
        </w:rPr>
        <w:t>第二十四条</w:t>
      </w:r>
      <w:r>
        <w:rPr>
          <w:rFonts w:hint="eastAsia" w:ascii="宋体" w:hAnsi="宋体" w:eastAsia="宋体" w:cs="宋体"/>
          <w:b/>
          <w:bCs/>
          <w:kern w:val="0"/>
          <w:sz w:val="28"/>
          <w:szCs w:val="28"/>
          <w:highlight w:val="none"/>
        </w:rPr>
        <w:t xml:space="preserve"> </w:t>
      </w:r>
      <w:r>
        <w:rPr>
          <w:rFonts w:hint="eastAsia" w:ascii="宋体" w:hAnsi="宋体" w:eastAsia="宋体" w:cs="宋体"/>
          <w:kern w:val="0"/>
          <w:sz w:val="28"/>
          <w:szCs w:val="28"/>
          <w:highlight w:val="none"/>
        </w:rPr>
        <w:t>本办法自20</w:t>
      </w:r>
      <w:r>
        <w:rPr>
          <w:rFonts w:hint="eastAsia" w:ascii="宋体" w:hAnsi="宋体" w:eastAsia="宋体" w:cs="宋体"/>
          <w:kern w:val="0"/>
          <w:sz w:val="28"/>
          <w:szCs w:val="28"/>
          <w:highlight w:val="none"/>
          <w:lang w:val="en-US" w:eastAsia="zh-CN"/>
        </w:rPr>
        <w:t>26</w:t>
      </w:r>
      <w:r>
        <w:rPr>
          <w:rFonts w:hint="eastAsia" w:ascii="宋体" w:hAnsi="宋体" w:eastAsia="宋体" w:cs="宋体"/>
          <w:kern w:val="0"/>
          <w:sz w:val="28"/>
          <w:szCs w:val="28"/>
          <w:highlight w:val="none"/>
        </w:rPr>
        <w:t>年</w:t>
      </w:r>
      <w:r>
        <w:rPr>
          <w:rFonts w:hint="default" w:ascii="宋体" w:hAnsi="宋体" w:cs="宋体"/>
          <w:kern w:val="0"/>
          <w:sz w:val="28"/>
          <w:szCs w:val="28"/>
          <w:highlight w:val="none"/>
          <w:lang w:val="en-US" w:eastAsia="zh-CN"/>
        </w:rPr>
        <w:t>5</w:t>
      </w:r>
      <w:r>
        <w:rPr>
          <w:rFonts w:hint="eastAsia" w:ascii="宋体" w:hAnsi="宋体" w:eastAsia="宋体" w:cs="宋体"/>
          <w:kern w:val="0"/>
          <w:sz w:val="28"/>
          <w:szCs w:val="28"/>
          <w:highlight w:val="none"/>
        </w:rPr>
        <w:t>月</w:t>
      </w:r>
      <w:r>
        <w:rPr>
          <w:rFonts w:hint="default" w:ascii="宋体" w:hAnsi="宋体" w:cs="宋体"/>
          <w:kern w:val="0"/>
          <w:sz w:val="28"/>
          <w:szCs w:val="28"/>
          <w:highlight w:val="none"/>
          <w:lang w:val="en-US" w:eastAsia="zh-CN"/>
        </w:rPr>
        <w:t>7</w:t>
      </w:r>
      <w:r>
        <w:rPr>
          <w:rFonts w:hint="eastAsia" w:ascii="宋体" w:hAnsi="宋体" w:eastAsia="宋体" w:cs="宋体"/>
          <w:kern w:val="0"/>
          <w:sz w:val="28"/>
          <w:szCs w:val="28"/>
          <w:highlight w:val="none"/>
        </w:rPr>
        <w:t>日起实施。</w:t>
      </w:r>
    </w:p>
    <w:p>
      <w:pPr>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eastAsia="zh-CN"/>
        </w:rPr>
        <w:t>附件</w:t>
      </w:r>
      <w:r>
        <w:rPr>
          <w:rFonts w:hint="eastAsia" w:ascii="黑体" w:hAnsi="黑体" w:eastAsia="黑体" w:cs="黑体"/>
          <w:kern w:val="0"/>
          <w:sz w:val="32"/>
          <w:szCs w:val="32"/>
          <w:highlight w:val="none"/>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郑州商品交易所期货结算管理办法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对《郑州商品交易所期货结算管理办法》作如下修订：</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四条修订为：“交易所实行全员结算制度。交易所对会员进行结算，期货公司会员对其客户、委托其结算的境外特殊参与者、委托其交易结算的境外中介机构（前述客户、境外特殊参与者、境外中介机构统称为结算交割委托人）进行结算，境外特殊经纪参与者、境外中介机构对其客户进行结算。”</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将第一章第五条修订为：“交易所的期货结算业务按本办法进行。交易所、会员、境外特殊参与者、境外中介机构、客户和期货保证金指定存管银行（以下简称存管银行）及相关工作人员应当遵守本办法。”</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九条修订为：“交易所依据业务规则对会员、境外特殊参与者、境外中介机构和客户涉及期货交易的相关资料，包括交易记录、结算资料、财务报表及相关的凭证和账册等进行检查时，会员、境外特殊参与者、境外中介机构和客户应当予以配合。”</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将第二章第十条第一款修订为：“会员应当设立结算部门。期货公司会员结算部门负责会员与交易所、会员与结算交割委托人之间的结算工作；非期货公司会员结算部门负责会员与交易所之间的结算工作。”</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将第三章第十六条修订为：“交易所对会员存入交易所专用结算账户的保证金实行分账管理，为每一会员设立内部明细账户，按日序时登记核算每一会员出入金、盈亏、保证金、手续费等。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“会员每接受一家境外特殊参与者委托结算的，交易所为会员提供另行设立受托结算内部明细账户的服务，按日序时登记核算每一境外特殊参与者出入金、盈亏、保证金、手续费等。”</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七条修订为：“期货公司会员应当对其客户、境外特殊参与者、境外中介机构的保证金实行分账管理，为每一客户、境外特殊参与者、境外中介机构设立明细账户，按日序时登记核算每一客户、境外特殊参与者、境外中介机构出入金、盈亏、保证金、手续费等。期货公司会员通过保证金专用账户与客户、境外特殊参与者、境外中介机构进行期货业务资金往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可以以境外特殊经纪参与者、境外中介机构的名义在内部开设综合资金账户，允许其将一个及以上境外客户的资金合并在综合资金账户中。期货公司会员对境外特殊经纪参与者、境外中介机构通过综合资金账户进行统一结算和风险控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“境外特殊经纪参与者、境外中介机构应当对其每个境外客户所交付的保证金实行分账管理，为每一境外客户设立明细账户，按日序时登记核算每一境外客户出入金、盈亏、保证金、手续费等。”</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将第三章第二十一条修订为：“结算准备金是指会员为了交易结算在交易所专用结算账户中预先准备的资金，是未被合约占用的保证金。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“期货公司会员的结算准备金的最低余额为200万元；非期货公司会员的结算准备金最低余额为50万元。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“会员接受境外特殊参与者委托结算、接受境外中介机构委托交易结算的，会员相应的受托结算内部明细账户的结算准备金最低余额由交易所另行通知。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“会员结算准备金最低余额应当以人民币自有资金缴纳。”</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二十三条修订为：“交易保证金是指会员在交易所专用结算账户中确保合约履行的资金，是已被合约占用的保证金。买卖双方成交后，交易所按持仓合约价值的规定比率或交易所规定的其他方式收取交易保证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“在下列情况下，交易所可以单边收取交易保证金：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“（一）同一客户在同一会员、境外特殊经纪参与者处的同一合约月份双向持仓，按照保证金金额较大的一边收取；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“（二）非期货公司会员、境外特殊非经纪参与者同一合约月份的双向持仓，按照保证金金额较大的一边收取；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“（三）交易所认为必要的其他情况。”</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将第三章第二十四条修订为：“各品种期货合约的交易保证金比例及不同阶段的交易保证金比例按交易所有关规定执行。”</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第三章第二十四条后新增第二十五条：“持有标准仓单的卖方会员向交易所提交折抵头寸申请并征得同意后，与其标准仓单所示数量相同的卖持仓（不含按照本办法规定已经取得交易保证金优惠的持仓）交易保证金在结算时不再收取。会员向交易所提交申请之前须取得结算交割委托人授权。最后交易日闭市前，需要配对交割的仓单处于折抵状态的，卖方会员应当根据结算交割委托人的交割意向解除其相应的仓单折抵，并向交易所提交拟集中交割的仓单数量，方可释放卖方保证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“夜盘交易小节，交易所不受理标准仓单折抵等业务。”</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将原第三章第二十六条修订为：“期货公司会员向结算交割委托人收取的保证金属于结算交割委托人所有，禁止挪作他用。”</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将原第三章第二十七条修订为：“期货公司会员向结算交割委托人收取的交易保证金不得低于交易所向会员收取的交易保证金。”</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将原第四章第三十一条修订为：“……资产作为保证金的实际可用金额的具体计算方法见本办法第七章的有关规定。”</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将原第四章第三十二条修订为：“当日结算完毕后，交易所通过会员服务系统向会员发送结算结果。会员任一内部明细账户的结算准备金低于最低余额时，该结算结果即视为交易所向会员发出的追加保证金通知。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“交易所发出追加保证金的通知后，可以通过存管银行从会员的专用资金账户中扣划人民币或用外汇资金强制换汇方式补足。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“会员必须在下一个交易日开市前补足至结算准备金最低余额。未补足的，结按照下列方法处理：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“（一）会员在交易所的任一内部明细账户的结算准备金余额大于或等于零且低于结算准备金最低余额的，该账户对应的会员或者境外特殊参与者不得开新仓；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“（二）会员在交易所的任一内部明细账户的结算准备金余额小于零的，交易所将按有关规定对该会员强行平仓。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可根据市场风险和保证金变动情况，在交易期间发出追加保证金通知，会员须在通知规定的时间内补足保证金。会员在交易所的任一内部明细账户的结算准备金未按时补足且余额小于零的，交易所有权对该会员强行平仓。”</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将原第四章第三十五条第二款修订为：“实有货币资金指实有人民币资金和外汇资金价值按照折扣比率折算后的人民币金额之和，外汇资金的折算方法见本办法第七章有关规定。”</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三十六条修订为：“会员、境外特殊参与者、境外中介机构或者客户有下列情况之一的，交易所可以限制会员出金，要求会员限制其客户、境外特殊参与者、境外中介机构出金，以及要求境外特殊经纪参与者、境外中介机构配合限制客户出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“（一）涉嫌重大违规，经交易所立案调查的；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“（二）因投诉、举报、交易纠纷等被司法部门、交易所或者其他有关部门正式立案调查，且正处在调查期间的；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“（三）交易所认为市场出现重大风险的；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“（四）会员未在规定的时间内补足人民币至结算准备金最低余额或不配合交易所为其客户、境外特殊经纪参与者、境外中介机构进行结购汇的；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“（五）交易所认为必要的其他情况。”</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三十七条修订为：“当日交易结束后，交易所对每一会员的盈亏、交易手续费、保证金等款项进行结算。交易所采用发放纸质结算单据或电子结算单据等方式向会员提供当日结算数据。结算数据是会员核对当日有关交易并对结算交割委托人结算的依据。因特殊情况不能按时提供结算数据的，交易所另行通知提供结算数据的时间。”</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将原第四章第四十一条修订为：“会员发生下列情形之一的，可以申请移仓：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“（一）因故不能从事期货业务，或者发生经监管部门批准的合并、分立、破产的；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“（二）违反《郑州商品交易所期货交易风险控制管理办法》，引发交易、交割违规、违约风险的；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“（三）变更委托结算关系的；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“（四）交易所认可的其他情形。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“在会员出现破产等重大经营危机但未申请移仓的特殊情形下，为保护客户权益，交易所可以启动移仓。”</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四十二条第一款修订为：“交易所办理本办法第四十二条规定的移仓的，可以要求提供移入和移出会员同意移仓的声明书、客户同意移仓的声明书、变更委托结算关系声明书、相关持仓的详细清单等一项或者多项移仓申请材料。”</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将原第四章第四十三条修订为：“客户发生下列情形之一的，可以申请移仓：</w:t>
      </w:r>
    </w:p>
    <w:p>
      <w:pPr>
        <w:keepNext w:val="0"/>
        <w:keepLines w:val="0"/>
        <w:pageBreakBefore w:val="0"/>
        <w:kinsoku/>
        <w:wordWrap/>
        <w:overflowPunct/>
        <w:topLinePunct w:val="0"/>
        <w:autoSpaceDE/>
        <w:autoSpaceDN/>
        <w:bidi w:val="0"/>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“（一）同一客户通过不同期货公司会员从事期货交易的；</w:t>
      </w:r>
    </w:p>
    <w:p>
      <w:pPr>
        <w:keepNext w:val="0"/>
        <w:keepLines w:val="0"/>
        <w:pageBreakBefore w:val="0"/>
        <w:kinsoku/>
        <w:wordWrap/>
        <w:overflowPunct/>
        <w:topLinePunct w:val="0"/>
        <w:autoSpaceDE/>
        <w:autoSpaceDN/>
        <w:bidi w:val="0"/>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“（二）同一客户通过不同境外特殊经纪参与者从事期货交易的；</w:t>
      </w:r>
    </w:p>
    <w:p>
      <w:pPr>
        <w:keepNext w:val="0"/>
        <w:keepLines w:val="0"/>
        <w:pageBreakBefore w:val="0"/>
        <w:kinsoku/>
        <w:wordWrap/>
        <w:overflowPunct/>
        <w:topLinePunct w:val="0"/>
        <w:autoSpaceDE/>
        <w:autoSpaceDN/>
        <w:bidi w:val="0"/>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“（三）同一客户分别通过期货公司会员和境外特殊经纪参与者从事期货交易的；</w:t>
      </w:r>
    </w:p>
    <w:p>
      <w:pPr>
        <w:keepNext w:val="0"/>
        <w:keepLines w:val="0"/>
        <w:pageBreakBefore w:val="0"/>
        <w:kinsoku/>
        <w:wordWrap/>
        <w:overflowPunct/>
        <w:topLinePunct w:val="0"/>
        <w:autoSpaceDE/>
        <w:autoSpaceDN/>
        <w:bidi w:val="0"/>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“（四）交易所认可的其他情形。</w:t>
      </w:r>
    </w:p>
    <w:p>
      <w:pPr>
        <w:keepNext w:val="0"/>
        <w:keepLines w:val="0"/>
        <w:pageBreakBefore w:val="0"/>
        <w:kinsoku/>
        <w:wordWrap/>
        <w:overflowPunct/>
        <w:topLinePunct w:val="0"/>
        <w:autoSpaceDE/>
        <w:autoSpaceDN/>
        <w:bidi w:val="0"/>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“非期货公司会员或者境外特殊非经纪参与者移仓可以参照本条办理。”</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将原第四章第四十四条修订为：“本办法第四十四条规定的移仓由客户、境外特殊非经纪参与者通过移出会员提出申请或者由非期货公司会员自行提出申请，经移入会员确认后提交至交易所。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“交易所在申请的当日内予以审批，并在当日下午闭市后办理移仓。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“移仓内容包括客户、非期货公司会员或者境外特殊非经纪参与者某一合约的持仓和需要转移的保证金。转移的保证金应当为人民币或者外汇资金。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“交易所从移入会员的结算准备金中扣划移仓手续费。移仓手续费标准由交易所另行公布。”</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在原第五章第四十八条后增加“第六章 委托结算”，新增第五十条至第五十六条：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“第五十条 境外中介机构委托境外特殊经纪参与者进行交易结算，或者境外特殊参与者委托期货公司会员进行结算的，应当与其签订委托协议，并应当在办理业务前向交易所备案。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“第五十一条 境外特殊参与者应当且只能委托一家会员进行结算。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“第五十二条 会员与委托其结算的境外特殊参与者应当签署包括下列内容的委托结算的协议：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“（一）结算准备金最低余额和交易保证金收取标准；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“（二）办理作为保证金使用的资产及其费用标准；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“（三）风险管理措施、条件及程序；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“（四）账户类型及管理模式、结算流程，包括结算数据收取、查询和确认的时间和方式；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“（五）手续费标准；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“（六）通知事项、方式及时限；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“（七）不可归责于协议双方当事人所造成损失的情形及其处理方式；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“（八）协议变更和解除；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“（九）违约责任；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“（十）争议处理方式；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“（十一）其他事项。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“第五十三条 具有下列情形之一的，交易所可以为会员和委托其结算的境外特殊参与者办理委托结算关系变更手续：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“（一）委托结算的协议期满后不再续约的；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“（二）委托结算的协议提前解除的；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“（三）会员因故不能为境外特殊参与者进行结算的；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“（四）交易所认定的其他情形。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“第五十四条 具有第五十三条第（一）项情形的，境外特殊参与者、移入和移出委托结算的会员应当在协议期满前10个交易日内，向交易所提交下列材料办理委托结算关系变更手续：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“（一）变更委托结算关系申请书；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“（二）境外特殊参与者和移入受托结算的会员签订的委托结算的协议；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“（三）交易所规定的其他材料。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“交易所收到完整材料后，在10个交易日内对申请材料进行审核。审核通过的，交易所通知变更委托结算关系的约定结算日。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“第五十五条 具有第五十三条第（二）、（三）项情形的，境外特殊参与者、移入和移出委托结算的会员除提交第五十四条规定的材料外，还应当提交解除原委托结算关系的协议。交易所收到完整材料后，在10个交易日内对申请材料进行审核。审核通过的，交易所通知变更委托结算关系的约定结算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“第五十六条 交易所在约定结算日结算后办理委托结算关系变更，对持仓、相应明细账户中的保证金等其他款项进行移转，并提供移转清单。移入和移出受托的会员应当对移转清单核对确认，境外特殊参与者应当委托移入和移出的会员进行确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“在约定结算日结算后，市场出现重大风险或者交易所认定的其他情形的，交易所可以暂停办理委托结算关系变更手续。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“境外特殊参与者、移入和移出委托结算的会员应当配合办理委托结算关系变更手续。在委托结算关系变更完成之前，移出委托结算的会员对其代为结算的持仓负有履约义务。”</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将原第六章第四十九条修订为：“客户、境外特殊参与者、境外中介机构以资产作为保证金的，视为同意期货公司会员将其资产提交交易所作为保证金。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“客户、境外特殊参与者、境外中介机构、会员以资产作为保证金的，视为授权交易所对相应资产进行划转或者作质押处理。”</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将原第六章第五十一条修订为：“有价证券作为保证金按以下手续办理：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“（一）申请：客户、境外特殊参与者、境外中介机构应当通过会员办理有价证券作为保证金业务。会员办理有价证券作为保证金业务时，应当向交易所提出申请。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“会员以客户、境外特殊非经纪参与者的标准仓单办理作为保证金业务时，应同时提交经客户、境外特殊非经纪参与者签章的《郑州商品交易所资产所有人专项授权书》，并与交易所签订相关协议。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“（二）验证交存：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“1.会员将标准仓单通过电子仓单系统提交交易所办理交存手续，获交易所批准后，完成标准仓单作为保证金交存业务。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以国债作为保证金的，客户、境外特殊非经纪参与者、非期货公司会员应当确保托管账户中存有数量足够的、无其他权利瑕疵的国债。交易所按照会员的申请委托托管机构进行国债划转或者质押登记，托管机构对国债进行划转或者质押登记后视为办理完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“3.其他有价证券的验证交存应当符合交易所的规定。”</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将原第六章第五十五条第一款修订为：“交易所按照会员在交易所任一内部明细账户中的实有货币资金的4倍（配比乘数）确定会员有价证券作为保证金的最大配比金额。”</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删除原第六章第五十七条。</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在原第六章第五十八条后增加第六十六条：“交易所有权根据市场状况调整资产作为保证金的基准价、折扣比率、配比乘数，并由交易所另行通知。”</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将原第六章第六十一条修订为：“出现下列情况之一的，交易所可以取消有关会员资产作为保证金的额度：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“（一）使用资产作为保证金的会员、境外特殊参与者、境外中介机构运用资金出现较大风险并有可能危及交易所合法权益的。……”</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将原第六章第六十四条修订为：“会员办理资产提取或者解除质押的，应当弥补相应的保证金。”</w:t>
      </w:r>
    </w:p>
    <w:p>
      <w:pPr>
        <w:keepNext w:val="0"/>
        <w:keepLines w:val="0"/>
        <w:pageBreakBefore w:val="0"/>
        <w:numPr>
          <w:ilvl w:val="0"/>
          <w:numId w:val="7"/>
        </w:numPr>
        <w:kinsoku/>
        <w:wordWrap/>
        <w:overflowPunct/>
        <w:topLinePunct w:val="0"/>
        <w:autoSpaceDE/>
        <w:autoSpaceDN/>
        <w:bidi w:val="0"/>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将原第七章第六十八条修订为：“期货交易风险防范实行分级负责制度。交易所防范会员风险，会员防范其结算交割委托人的风险，境外特殊经纪参与者、境外中介机构防范其客户的风险。”</w:t>
      </w:r>
    </w:p>
    <w:p>
      <w:pPr>
        <w:spacing w:line="276" w:lineRule="auto"/>
        <w:jc w:val="center"/>
        <w:rPr>
          <w:rFonts w:hint="eastAsia" w:ascii="黑体" w:hAnsi="黑体" w:eastAsia="黑体" w:cs="黑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黑体" w:hAnsi="黑体" w:eastAsia="黑体" w:cs="黑体"/>
          <w:b w:val="0"/>
          <w:bCs/>
          <w:sz w:val="40"/>
          <w:szCs w:val="40"/>
          <w:highlight w:val="none"/>
        </w:rPr>
        <w:t>《郑州商品交易所期货结算</w:t>
      </w:r>
      <w:r>
        <w:rPr>
          <w:rFonts w:hint="eastAsia" w:ascii="黑体" w:hAnsi="黑体" w:eastAsia="黑体" w:cs="黑体"/>
          <w:b w:val="0"/>
          <w:bCs/>
          <w:sz w:val="40"/>
          <w:szCs w:val="40"/>
          <w:highlight w:val="none"/>
          <w:lang w:val="en-US" w:eastAsia="zh-CN"/>
        </w:rPr>
        <w:t>管理办法</w:t>
      </w:r>
      <w:r>
        <w:rPr>
          <w:rFonts w:hint="eastAsia" w:ascii="黑体" w:hAnsi="黑体" w:eastAsia="黑体" w:cs="黑体"/>
          <w:b w:val="0"/>
          <w:bCs/>
          <w:sz w:val="40"/>
          <w:szCs w:val="40"/>
          <w:highlight w:val="none"/>
        </w:rPr>
        <w:t>》</w:t>
      </w:r>
    </w:p>
    <w:p>
      <w:pPr>
        <w:spacing w:line="276" w:lineRule="auto"/>
        <w:jc w:val="center"/>
        <w:rPr>
          <w:rFonts w:hint="eastAsia" w:ascii="黑体" w:hAnsi="黑体" w:eastAsia="黑体" w:cs="黑体"/>
          <w:b w:val="0"/>
          <w:bCs/>
          <w:sz w:val="40"/>
          <w:szCs w:val="40"/>
          <w:highlight w:val="none"/>
          <w:lang w:val="en-US" w:eastAsia="zh-CN"/>
        </w:rPr>
      </w:pPr>
      <w:r>
        <w:rPr>
          <w:rFonts w:hint="eastAsia" w:ascii="黑体" w:hAnsi="黑体" w:eastAsia="黑体" w:cs="黑体"/>
          <w:b w:val="0"/>
          <w:bCs/>
          <w:sz w:val="40"/>
          <w:szCs w:val="40"/>
          <w:highlight w:val="none"/>
        </w:rPr>
        <w:t>修订对照表</w:t>
      </w:r>
    </w:p>
    <w:p>
      <w:pPr>
        <w:widowControl/>
        <w:spacing w:line="276" w:lineRule="auto"/>
        <w:jc w:val="center"/>
        <w:outlineLvl w:val="0"/>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96"/>
        <w:gridCol w:w="4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lang w:eastAsia="zh-CN"/>
              </w:rPr>
              <w:t>修订前</w:t>
            </w:r>
            <w:r>
              <w:rPr>
                <w:rFonts w:hint="eastAsia" w:ascii="仿宋" w:hAnsi="仿宋" w:eastAsia="仿宋"/>
                <w:b/>
                <w:bCs/>
                <w:sz w:val="24"/>
                <w:highlight w:val="none"/>
              </w:rPr>
              <w:t>条文</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rPr>
              <w:t>修订</w:t>
            </w:r>
            <w:r>
              <w:rPr>
                <w:rFonts w:hint="eastAsia" w:ascii="仿宋" w:hAnsi="仿宋" w:eastAsia="仿宋"/>
                <w:b/>
                <w:bCs/>
                <w:sz w:val="24"/>
                <w:highlight w:val="none"/>
                <w:lang w:eastAsia="zh-CN"/>
              </w:rPr>
              <w:t>后</w:t>
            </w:r>
            <w:r>
              <w:rPr>
                <w:rFonts w:hint="eastAsia" w:ascii="仿宋" w:hAnsi="仿宋" w:eastAsia="仿宋"/>
                <w:b/>
                <w:bCs/>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sz w:val="24"/>
                <w:highlight w:val="none"/>
              </w:rPr>
              <w:t>第一章</w:t>
            </w:r>
            <w:r>
              <w:rPr>
                <w:rFonts w:hint="eastAsia" w:eastAsia="仿宋"/>
                <w:sz w:val="24"/>
                <w:highlight w:val="none"/>
              </w:rPr>
              <w:t xml:space="preserve"> </w:t>
            </w:r>
            <w:r>
              <w:rPr>
                <w:rFonts w:hint="eastAsia" w:ascii="仿宋" w:hAnsi="仿宋" w:eastAsia="仿宋"/>
                <w:b/>
                <w:sz w:val="24"/>
                <w:highlight w:val="none"/>
              </w:rPr>
              <w:t>总</w:t>
            </w:r>
            <w:r>
              <w:rPr>
                <w:rFonts w:hint="eastAsia" w:ascii="仿宋" w:hAnsi="仿宋" w:eastAsia="仿宋"/>
                <w:b/>
                <w:sz w:val="24"/>
                <w:highlight w:val="none"/>
                <w:lang w:val="en-US" w:eastAsia="zh-CN"/>
              </w:rPr>
              <w:t xml:space="preserve"> </w:t>
            </w:r>
            <w:r>
              <w:rPr>
                <w:rFonts w:hint="eastAsia" w:ascii="仿宋" w:hAnsi="仿宋" w:eastAsia="仿宋"/>
                <w:b/>
                <w:sz w:val="24"/>
                <w:highlight w:val="none"/>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第四条</w:t>
            </w:r>
            <w:r>
              <w:rPr>
                <w:rFonts w:hint="eastAsia" w:eastAsia="仿宋"/>
                <w:sz w:val="24"/>
                <w:highlight w:val="none"/>
              </w:rPr>
              <w:t xml:space="preserve"> </w:t>
            </w:r>
            <w:r>
              <w:rPr>
                <w:rFonts w:hint="eastAsia" w:ascii="仿宋" w:hAnsi="仿宋" w:eastAsia="仿宋"/>
                <w:sz w:val="24"/>
                <w:highlight w:val="none"/>
              </w:rPr>
              <w:t>交易所实行全员结算制度。交易所对会员进行结算，期货公司会员对其客户、境外经纪机构进行结算，境外经纪机构对其客户进行结算。</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第四条</w:t>
            </w:r>
            <w:r>
              <w:rPr>
                <w:rFonts w:hint="eastAsia" w:eastAsia="仿宋"/>
                <w:sz w:val="24"/>
                <w:highlight w:val="none"/>
              </w:rPr>
              <w:t> </w:t>
            </w:r>
            <w:r>
              <w:rPr>
                <w:rFonts w:hint="eastAsia" w:ascii="仿宋" w:hAnsi="仿宋" w:eastAsia="仿宋"/>
                <w:sz w:val="24"/>
                <w:highlight w:val="none"/>
              </w:rPr>
              <w:t>交易所实行全员结算制度。交易所对会员进行结算，期货公司会员对其客户、</w:t>
            </w:r>
            <w:r>
              <w:rPr>
                <w:rFonts w:hint="eastAsia" w:ascii="仿宋" w:hAnsi="仿宋" w:eastAsia="仿宋"/>
                <w:dstrike/>
                <w:sz w:val="24"/>
                <w:highlight w:val="none"/>
              </w:rPr>
              <w:t>境外经纪机构</w:t>
            </w:r>
            <w:r>
              <w:rPr>
                <w:rFonts w:hint="eastAsia" w:ascii="仿宋" w:hAnsi="仿宋" w:eastAsia="仿宋"/>
                <w:b/>
                <w:sz w:val="24"/>
                <w:highlight w:val="none"/>
                <w:u w:val="single"/>
              </w:rPr>
              <w:t>委托其结算的境外特殊参与者、委托其交易结算的境外中介机构（前述客户、境外特殊参与者、境外中介机构统称为结算交割委托人）</w:t>
            </w:r>
            <w:r>
              <w:rPr>
                <w:rFonts w:hint="eastAsia" w:ascii="仿宋" w:hAnsi="仿宋" w:eastAsia="仿宋"/>
                <w:sz w:val="24"/>
                <w:highlight w:val="none"/>
              </w:rPr>
              <w:t>进行结算，</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机构对其客户进行结算。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第五条</w:t>
            </w:r>
            <w:r>
              <w:rPr>
                <w:rFonts w:hint="eastAsia" w:ascii="仿宋" w:hAnsi="仿宋" w:eastAsia="仿宋"/>
                <w:sz w:val="24"/>
                <w:highlight w:val="none"/>
              </w:rPr>
              <w:t xml:space="preserve"> 交易所的期货结算业务按本</w:t>
            </w:r>
            <w:r>
              <w:rPr>
                <w:rFonts w:hint="eastAsia" w:ascii="仿宋" w:hAnsi="仿宋" w:eastAsia="仿宋"/>
                <w:sz w:val="24"/>
                <w:highlight w:val="none"/>
                <w:lang w:val="en-US" w:eastAsia="zh-CN"/>
              </w:rPr>
              <w:t>办法</w:t>
            </w:r>
            <w:r>
              <w:rPr>
                <w:rFonts w:hint="eastAsia" w:ascii="仿宋" w:hAnsi="仿宋" w:eastAsia="仿宋"/>
                <w:sz w:val="24"/>
                <w:highlight w:val="none"/>
              </w:rPr>
              <w:t>进行。交易所及其工作人员、会员及其工作人员、境外经纪机构及其工作人员、客户和期货保证金指定存管银行（以下简称存管银行）及其工作人员必须遵守本</w:t>
            </w:r>
            <w:r>
              <w:rPr>
                <w:rFonts w:hint="eastAsia" w:ascii="仿宋" w:hAnsi="仿宋" w:eastAsia="仿宋"/>
                <w:sz w:val="24"/>
                <w:highlight w:val="none"/>
                <w:lang w:val="en-US" w:eastAsia="zh-CN"/>
              </w:rPr>
              <w:t>办法</w:t>
            </w:r>
            <w:r>
              <w:rPr>
                <w:rFonts w:hint="eastAsia" w:ascii="仿宋" w:hAnsi="仿宋" w:eastAsia="仿宋"/>
                <w:sz w:val="24"/>
                <w:highlight w:val="none"/>
              </w:rPr>
              <w:t>。</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第五条</w:t>
            </w:r>
            <w:r>
              <w:rPr>
                <w:rFonts w:hint="eastAsia" w:ascii="仿宋" w:hAnsi="仿宋" w:eastAsia="仿宋"/>
                <w:sz w:val="24"/>
                <w:highlight w:val="none"/>
              </w:rPr>
              <w:t xml:space="preserve"> 交易所的期货结算业务按本</w:t>
            </w:r>
            <w:r>
              <w:rPr>
                <w:rFonts w:hint="eastAsia" w:ascii="仿宋" w:hAnsi="仿宋" w:eastAsia="仿宋"/>
                <w:sz w:val="24"/>
                <w:highlight w:val="none"/>
                <w:lang w:val="en-US" w:eastAsia="zh-CN"/>
              </w:rPr>
              <w:t>办法</w:t>
            </w:r>
            <w:r>
              <w:rPr>
                <w:rFonts w:hint="eastAsia" w:ascii="仿宋" w:hAnsi="仿宋" w:eastAsia="仿宋"/>
                <w:sz w:val="24"/>
                <w:highlight w:val="none"/>
              </w:rPr>
              <w:t>进行。交易所</w:t>
            </w:r>
            <w:r>
              <w:rPr>
                <w:rFonts w:hint="eastAsia" w:ascii="仿宋" w:hAnsi="仿宋" w:eastAsia="仿宋"/>
                <w:dstrike/>
                <w:sz w:val="24"/>
                <w:highlight w:val="none"/>
              </w:rPr>
              <w:t>及其工作人员</w:t>
            </w:r>
            <w:r>
              <w:rPr>
                <w:rFonts w:hint="eastAsia" w:ascii="仿宋" w:hAnsi="仿宋" w:eastAsia="仿宋"/>
                <w:sz w:val="24"/>
                <w:highlight w:val="none"/>
              </w:rPr>
              <w:t>、会员</w:t>
            </w:r>
            <w:r>
              <w:rPr>
                <w:rFonts w:hint="eastAsia" w:ascii="仿宋" w:hAnsi="仿宋" w:eastAsia="仿宋"/>
                <w:dstrike/>
                <w:sz w:val="24"/>
                <w:highlight w:val="none"/>
              </w:rPr>
              <w:t>及其工作人员</w:t>
            </w:r>
            <w:r>
              <w:rPr>
                <w:rFonts w:hint="eastAsia" w:ascii="仿宋" w:hAnsi="仿宋" w:eastAsia="仿宋"/>
                <w:sz w:val="24"/>
                <w:highlight w:val="none"/>
              </w:rPr>
              <w:t>、</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w:t>
            </w:r>
            <w:r>
              <w:rPr>
                <w:rFonts w:hint="eastAsia" w:ascii="仿宋" w:hAnsi="仿宋" w:eastAsia="仿宋"/>
                <w:dstrike/>
                <w:sz w:val="24"/>
                <w:highlight w:val="none"/>
              </w:rPr>
              <w:t>及其工作人员</w:t>
            </w:r>
            <w:r>
              <w:rPr>
                <w:rFonts w:hint="eastAsia" w:ascii="仿宋" w:hAnsi="仿宋" w:eastAsia="仿宋"/>
                <w:sz w:val="24"/>
                <w:highlight w:val="none"/>
              </w:rPr>
              <w:t>、客户和期货保证金指定存管银行（以下简称存管银行）及</w:t>
            </w:r>
            <w:r>
              <w:rPr>
                <w:rFonts w:hint="eastAsia" w:ascii="仿宋" w:hAnsi="仿宋" w:eastAsia="仿宋"/>
                <w:strike/>
                <w:dstrike w:val="0"/>
                <w:sz w:val="24"/>
                <w:highlight w:val="none"/>
              </w:rPr>
              <w:t>其</w:t>
            </w:r>
            <w:r>
              <w:rPr>
                <w:rFonts w:hint="eastAsia" w:ascii="仿宋" w:hAnsi="仿宋" w:eastAsia="仿宋"/>
                <w:b/>
                <w:sz w:val="24"/>
                <w:highlight w:val="none"/>
                <w:u w:val="single"/>
              </w:rPr>
              <w:t>相关</w:t>
            </w:r>
            <w:r>
              <w:rPr>
                <w:rFonts w:hint="eastAsia" w:ascii="仿宋" w:hAnsi="仿宋" w:eastAsia="仿宋"/>
                <w:sz w:val="24"/>
                <w:highlight w:val="none"/>
              </w:rPr>
              <w:t>工作人员</w:t>
            </w:r>
            <w:r>
              <w:rPr>
                <w:rFonts w:hint="eastAsia" w:ascii="仿宋" w:hAnsi="仿宋" w:eastAsia="仿宋"/>
                <w:dstrike/>
                <w:sz w:val="24"/>
                <w:highlight w:val="none"/>
              </w:rPr>
              <w:t>必须</w:t>
            </w:r>
            <w:r>
              <w:rPr>
                <w:rFonts w:hint="eastAsia" w:ascii="仿宋" w:hAnsi="仿宋" w:eastAsia="仿宋"/>
                <w:b/>
                <w:sz w:val="24"/>
                <w:highlight w:val="none"/>
                <w:u w:val="single"/>
              </w:rPr>
              <w:t>应当</w:t>
            </w:r>
            <w:r>
              <w:rPr>
                <w:rFonts w:hint="eastAsia" w:ascii="仿宋" w:hAnsi="仿宋" w:eastAsia="仿宋"/>
                <w:sz w:val="24"/>
                <w:highlight w:val="none"/>
              </w:rPr>
              <w:t>遵守本</w:t>
            </w:r>
            <w:r>
              <w:rPr>
                <w:rFonts w:hint="eastAsia" w:ascii="仿宋" w:hAnsi="仿宋" w:eastAsia="仿宋"/>
                <w:sz w:val="24"/>
                <w:highlight w:val="none"/>
                <w:lang w:val="en-US" w:eastAsia="zh-CN"/>
              </w:rPr>
              <w:t>办法</w:t>
            </w:r>
            <w:r>
              <w:rPr>
                <w:rFonts w:hint="eastAsia"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Arial"/>
                <w:sz w:val="24"/>
                <w:highlight w:val="none"/>
              </w:rPr>
            </w:pPr>
            <w:r>
              <w:rPr>
                <w:rFonts w:hint="eastAsia" w:ascii="仿宋" w:hAnsi="仿宋" w:eastAsia="仿宋"/>
                <w:b/>
                <w:sz w:val="24"/>
                <w:highlight w:val="none"/>
              </w:rPr>
              <w:t>第二章</w:t>
            </w:r>
            <w:r>
              <w:rPr>
                <w:rFonts w:ascii="Calibri" w:hAnsi="Calibri" w:eastAsia="仿宋" w:cs="Calibri"/>
                <w:b/>
                <w:sz w:val="24"/>
                <w:highlight w:val="none"/>
              </w:rPr>
              <w:t xml:space="preserve"> </w:t>
            </w:r>
            <w:r>
              <w:rPr>
                <w:rFonts w:hint="eastAsia" w:ascii="Calibri" w:hAnsi="Calibri" w:eastAsia="仿宋" w:cs="Calibri"/>
                <w:b/>
                <w:sz w:val="24"/>
                <w:highlight w:val="none"/>
              </w:rPr>
              <w:t>结算机构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交易所依据业务规则对会员、境外经纪机构和客户涉及期货交易的相关资料，包括交易记录、结算资料、财务报表及相关的凭证和账册等进行检查时，会员、境外经纪机构和客户应当予以配合。</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交易所依据业务规则对会员、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机构和客户涉及期货交易的相关资料，包括交易记录、结算资料、财务报表及相关的凭证和账册等进行检查时，会员、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机构和客户应当予以配合。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会员应当设立结算部门。期货公司会员结算部门负责会员与交易所、会员与客户、会员与境外经纪机构之间的结算工作；非期货公司会员结算部门负责会员与交易所之间的结算工作。</w:t>
            </w:r>
          </w:p>
          <w:p>
            <w:pPr>
              <w:ind w:firstLine="440" w:firstLineChars="200"/>
              <w:rPr>
                <w:rFonts w:hint="default" w:ascii="仿宋" w:hAnsi="仿宋" w:eastAsia="仿宋"/>
                <w:sz w:val="24"/>
                <w:highlight w:val="none"/>
                <w:lang w:val="en-US" w:eastAsia="zh-CN"/>
              </w:rPr>
            </w:pPr>
            <w:r>
              <w:rPr>
                <w:rFonts w:hint="eastAsia" w:ascii="仿宋" w:hAnsi="仿宋" w:eastAsia="仿宋"/>
                <w:sz w:val="22"/>
                <w:highlight w:val="none"/>
              </w:rPr>
              <w:t>……</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会员应当设立结算部门。期货公司会员结算部门负责会员与交易所、会员与</w:t>
            </w:r>
            <w:r>
              <w:rPr>
                <w:rFonts w:hint="eastAsia" w:ascii="仿宋" w:hAnsi="仿宋" w:eastAsia="仿宋"/>
                <w:dstrike/>
                <w:sz w:val="24"/>
                <w:highlight w:val="none"/>
              </w:rPr>
              <w:t>客户、会员与境外经纪机构</w:t>
            </w:r>
            <w:r>
              <w:rPr>
                <w:rFonts w:hint="eastAsia" w:ascii="仿宋" w:hAnsi="仿宋" w:eastAsia="仿宋"/>
                <w:b/>
                <w:sz w:val="24"/>
                <w:highlight w:val="none"/>
                <w:u w:val="single"/>
              </w:rPr>
              <w:t>结算交割委托人</w:t>
            </w:r>
            <w:r>
              <w:rPr>
                <w:rFonts w:hint="eastAsia" w:ascii="仿宋" w:hAnsi="仿宋" w:eastAsia="仿宋"/>
                <w:sz w:val="24"/>
                <w:highlight w:val="none"/>
              </w:rPr>
              <w:t>之间的结算工作；非期货公司会员结算部门负责会员与交易所之间的结算工作。</w:t>
            </w:r>
          </w:p>
          <w:p>
            <w:pPr>
              <w:ind w:firstLine="440" w:firstLineChars="200"/>
              <w:rPr>
                <w:rFonts w:ascii="仿宋" w:hAnsi="仿宋" w:eastAsia="仿宋"/>
                <w:sz w:val="24"/>
                <w:highlight w:val="none"/>
              </w:rPr>
            </w:pPr>
            <w:r>
              <w:rPr>
                <w:rFonts w:hint="eastAsia" w:ascii="仿宋" w:hAnsi="仿宋" w:eastAsia="仿宋"/>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Arial"/>
                <w:sz w:val="24"/>
                <w:highlight w:val="none"/>
              </w:rPr>
            </w:pPr>
            <w:r>
              <w:rPr>
                <w:rFonts w:hint="eastAsia" w:ascii="仿宋" w:hAnsi="仿宋" w:eastAsia="仿宋"/>
                <w:b/>
                <w:sz w:val="24"/>
                <w:highlight w:val="none"/>
              </w:rPr>
              <w:t>第三章</w:t>
            </w:r>
            <w:r>
              <w:rPr>
                <w:rFonts w:ascii="Calibri" w:hAnsi="Calibri" w:eastAsia="仿宋" w:cs="Calibri"/>
                <w:b/>
                <w:sz w:val="24"/>
                <w:highlight w:val="none"/>
              </w:rPr>
              <w:t> </w:t>
            </w:r>
            <w:r>
              <w:rPr>
                <w:rFonts w:hint="eastAsia" w:ascii="仿宋" w:hAnsi="仿宋" w:eastAsia="仿宋"/>
                <w:b/>
                <w:sz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第十六条</w:t>
            </w:r>
            <w:r>
              <w:rPr>
                <w:rFonts w:hint="eastAsia" w:ascii="仿宋" w:hAnsi="仿宋" w:eastAsia="仿宋"/>
                <w:sz w:val="24"/>
                <w:highlight w:val="none"/>
              </w:rPr>
              <w:t xml:space="preserve"> 交易所对会员存入交易所专用结算账户的保证金实行分账管理，为每一会员设立明细账户，按日序时登记核算每一会员出入金、盈亏、保证金、手续费等。</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第十六条</w:t>
            </w:r>
            <w:r>
              <w:rPr>
                <w:rFonts w:hint="eastAsia" w:ascii="仿宋" w:hAnsi="仿宋" w:eastAsia="仿宋"/>
                <w:sz w:val="24"/>
                <w:highlight w:val="none"/>
              </w:rPr>
              <w:t xml:space="preserve"> 交易所对会员存入交易所专用结算账户的保证金实行分账管理，为每一会员设立</w:t>
            </w:r>
            <w:r>
              <w:rPr>
                <w:rFonts w:hint="eastAsia" w:ascii="仿宋" w:hAnsi="仿宋" w:eastAsia="仿宋"/>
                <w:b/>
                <w:sz w:val="24"/>
                <w:highlight w:val="none"/>
                <w:u w:val="single"/>
              </w:rPr>
              <w:t>内部</w:t>
            </w:r>
            <w:r>
              <w:rPr>
                <w:rFonts w:hint="eastAsia" w:ascii="仿宋" w:hAnsi="仿宋" w:eastAsia="仿宋"/>
                <w:sz w:val="24"/>
                <w:highlight w:val="none"/>
              </w:rPr>
              <w:t>明细账户，按日序时登记核算每一会员出入金、盈亏、保证金、手续费等。</w:t>
            </w:r>
          </w:p>
          <w:p>
            <w:pPr>
              <w:ind w:firstLine="481" w:firstLineChars="200"/>
              <w:rPr>
                <w:rFonts w:ascii="仿宋" w:hAnsi="仿宋" w:eastAsia="仿宋"/>
                <w:sz w:val="24"/>
                <w:highlight w:val="none"/>
              </w:rPr>
            </w:pPr>
            <w:r>
              <w:rPr>
                <w:rFonts w:hint="eastAsia" w:ascii="仿宋" w:hAnsi="仿宋" w:eastAsia="仿宋"/>
                <w:b/>
                <w:sz w:val="24"/>
                <w:highlight w:val="none"/>
                <w:u w:val="single"/>
              </w:rPr>
              <w:t>会员每接受一家境外特殊参与者委托结算的，交易所为会员提供另行设立受托结算内部明细账户的服务，按日序时登记核算每一境外特殊参与者出入金、盈亏、保证金、手续费等。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第十七条</w:t>
            </w:r>
            <w:r>
              <w:rPr>
                <w:rFonts w:hint="eastAsia" w:ascii="仿宋" w:hAnsi="仿宋" w:eastAsia="仿宋"/>
                <w:sz w:val="24"/>
                <w:highlight w:val="none"/>
              </w:rPr>
              <w:t xml:space="preserve"> 期货公司会员应当对其客户、境外经纪机构的保证金实行分账管理，为每一客户、境外经纪机构设立明细账户，按日序时登记核算每一客户、境外经纪机构出入金、盈亏、保证金、手续费等。期货公司会员通过保证金专用账户与客户、境外经纪机构进行期货业务资金往来。</w:t>
            </w:r>
          </w:p>
          <w:p>
            <w:pPr>
              <w:ind w:firstLine="480" w:firstLineChars="200"/>
              <w:rPr>
                <w:rFonts w:ascii="仿宋" w:hAnsi="仿宋" w:eastAsia="仿宋"/>
                <w:sz w:val="24"/>
                <w:highlight w:val="none"/>
              </w:rPr>
            </w:pPr>
            <w:r>
              <w:rPr>
                <w:rFonts w:hint="eastAsia" w:ascii="仿宋" w:hAnsi="仿宋" w:eastAsia="仿宋"/>
                <w:sz w:val="24"/>
                <w:highlight w:val="none"/>
              </w:rPr>
              <w:t>期货公司会员可以以境外经纪机构的名义在内部开设综合资金账户，允许其将一个及以上境外客户的资金合并在综合资金账户中。期货公司会员对境外经纪机构通过综合资金账户进行统一结算和风险控制。</w:t>
            </w:r>
          </w:p>
          <w:p>
            <w:pPr>
              <w:ind w:firstLine="480" w:firstLineChars="200"/>
              <w:rPr>
                <w:rFonts w:ascii="仿宋" w:hAnsi="仿宋" w:eastAsia="仿宋"/>
                <w:sz w:val="24"/>
                <w:highlight w:val="none"/>
              </w:rPr>
            </w:pPr>
            <w:r>
              <w:rPr>
                <w:rFonts w:hint="eastAsia" w:ascii="仿宋" w:hAnsi="仿宋" w:eastAsia="仿宋"/>
                <w:sz w:val="24"/>
                <w:highlight w:val="none"/>
              </w:rPr>
              <w:t>境外经纪机构应当对其每个境外客户所交付的保证金实行分账管理，为每一境外客户设立明细账户，按日序时登记核算每一境外客户出入金、盈亏、保证金、手续费等。</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第十七条</w:t>
            </w:r>
            <w:r>
              <w:rPr>
                <w:rFonts w:hint="eastAsia" w:ascii="仿宋" w:hAnsi="仿宋" w:eastAsia="仿宋"/>
                <w:sz w:val="24"/>
                <w:highlight w:val="none"/>
              </w:rPr>
              <w:t xml:space="preserve"> 期货公司会员应当对其客户、</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机构的保证金实行分账管理，为每一客户、</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机构设立明细账户，按日序时登记核算每一客户、</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机构出入金、盈亏、保证金、手续费等。期货公司会员通过保证金专用账户与客户、</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机构进行期货业务资金往来。</w:t>
            </w:r>
          </w:p>
          <w:p>
            <w:pPr>
              <w:ind w:firstLine="480" w:firstLineChars="200"/>
              <w:rPr>
                <w:rFonts w:ascii="仿宋" w:hAnsi="仿宋" w:eastAsia="仿宋"/>
                <w:sz w:val="24"/>
                <w:highlight w:val="none"/>
              </w:rPr>
            </w:pPr>
            <w:r>
              <w:rPr>
                <w:rFonts w:hint="eastAsia" w:ascii="仿宋" w:hAnsi="仿宋" w:eastAsia="仿宋"/>
                <w:sz w:val="24"/>
                <w:highlight w:val="none"/>
              </w:rPr>
              <w:t>期货公司会员可以以</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机构的名义在内部开设综合资金账户，允许其将一个及以上境外客户的资金合并在综合资金账户中。期货公司会员对</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机构通过综合资金账户进行统一结算和风险控制。</w:t>
            </w:r>
          </w:p>
          <w:p>
            <w:pPr>
              <w:ind w:firstLine="481" w:firstLineChars="200"/>
              <w:rPr>
                <w:rFonts w:ascii="仿宋" w:hAnsi="仿宋" w:eastAsia="仿宋"/>
                <w:sz w:val="24"/>
                <w:highlight w:val="none"/>
              </w:rPr>
            </w:pP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机构应当对其每个境外客户所交付的保证金实行分账管理，为每一境外客户设立明细账户，按日序时登记核算每一境外客户出入金、盈亏、保证金、手续费等。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结算准备金是指会员为了交易结算在交易所专用结算账户中预先准备的资金，是未被合约占用的保证金。</w:t>
            </w:r>
          </w:p>
          <w:p>
            <w:pPr>
              <w:ind w:firstLine="480" w:firstLineChars="200"/>
              <w:rPr>
                <w:rFonts w:ascii="仿宋" w:hAnsi="仿宋" w:eastAsia="仿宋"/>
                <w:sz w:val="24"/>
                <w:highlight w:val="none"/>
              </w:rPr>
            </w:pPr>
            <w:r>
              <w:rPr>
                <w:rFonts w:hint="eastAsia" w:ascii="仿宋" w:hAnsi="仿宋" w:eastAsia="仿宋"/>
                <w:sz w:val="24"/>
                <w:highlight w:val="none"/>
              </w:rPr>
              <w:t>期货公司会员的结算准备金的最低余额为200万元；非期货公司会员的结算准备金最低余额为50万元。</w:t>
            </w:r>
          </w:p>
          <w:p>
            <w:pPr>
              <w:ind w:firstLine="480" w:firstLineChars="200"/>
              <w:rPr>
                <w:rFonts w:ascii="仿宋" w:hAnsi="仿宋" w:eastAsia="仿宋"/>
                <w:sz w:val="24"/>
                <w:highlight w:val="none"/>
              </w:rPr>
            </w:pPr>
            <w:r>
              <w:rPr>
                <w:rFonts w:hint="eastAsia" w:ascii="仿宋" w:hAnsi="仿宋" w:eastAsia="仿宋"/>
                <w:sz w:val="24"/>
                <w:highlight w:val="none"/>
              </w:rPr>
              <w:t>期货公司会员每接受一家境外经纪机构委托交易结算的，该会员的结算准备金最低余额的相应要求由交易所另行通知。</w:t>
            </w:r>
          </w:p>
          <w:p>
            <w:pPr>
              <w:ind w:firstLine="480" w:firstLineChars="200"/>
              <w:rPr>
                <w:rFonts w:ascii="仿宋" w:hAnsi="仿宋" w:eastAsia="仿宋"/>
                <w:sz w:val="24"/>
                <w:highlight w:val="none"/>
              </w:rPr>
            </w:pPr>
            <w:r>
              <w:rPr>
                <w:rFonts w:hint="eastAsia" w:ascii="仿宋" w:hAnsi="仿宋" w:eastAsia="仿宋"/>
                <w:sz w:val="24"/>
                <w:highlight w:val="none"/>
              </w:rPr>
              <w:t>会员结算准备金最低余额应当以人民币自有资金缴纳。</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结算准备金是指会员为了交易结算在交易所专用结算账户中预先准备的资金，是未被合约占用的保证金。</w:t>
            </w:r>
          </w:p>
          <w:p>
            <w:pPr>
              <w:ind w:firstLine="480" w:firstLineChars="200"/>
              <w:rPr>
                <w:rFonts w:ascii="仿宋" w:hAnsi="仿宋" w:eastAsia="仿宋"/>
                <w:sz w:val="24"/>
                <w:highlight w:val="none"/>
              </w:rPr>
            </w:pPr>
            <w:r>
              <w:rPr>
                <w:rFonts w:hint="eastAsia" w:ascii="仿宋" w:hAnsi="仿宋" w:eastAsia="仿宋"/>
                <w:sz w:val="24"/>
                <w:highlight w:val="none"/>
              </w:rPr>
              <w:t>期货公司会员的结算准备金的最低余额为200万元；非期货公司会员的结算准备金最低余额为50万元。</w:t>
            </w:r>
          </w:p>
          <w:p>
            <w:pPr>
              <w:ind w:firstLine="480" w:firstLineChars="200"/>
              <w:rPr>
                <w:rFonts w:ascii="仿宋" w:hAnsi="仿宋" w:eastAsia="仿宋"/>
                <w:dstrike/>
                <w:sz w:val="24"/>
                <w:highlight w:val="none"/>
              </w:rPr>
            </w:pPr>
            <w:r>
              <w:rPr>
                <w:rFonts w:hint="eastAsia" w:ascii="仿宋" w:hAnsi="仿宋" w:eastAsia="仿宋"/>
                <w:dstrike/>
                <w:sz w:val="24"/>
                <w:highlight w:val="none"/>
              </w:rPr>
              <w:t>期货公司会员每接受一家境外经纪机构委托交易结算的，该会员的结算准备金最低余额的相应要求由交易所另行通知。</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会员接受境外特殊参与者委托结算、接受境外中介机构委托交易结算的，会员相应的受托结算内部明细账户的结算准备金最低余额由交易所另行通知。</w:t>
            </w:r>
          </w:p>
          <w:p>
            <w:pPr>
              <w:ind w:firstLine="480" w:firstLineChars="200"/>
              <w:rPr>
                <w:rFonts w:ascii="仿宋" w:hAnsi="仿宋" w:eastAsia="仿宋"/>
                <w:sz w:val="24"/>
                <w:highlight w:val="none"/>
              </w:rPr>
            </w:pPr>
            <w:r>
              <w:rPr>
                <w:rFonts w:hint="eastAsia" w:ascii="仿宋" w:hAnsi="仿宋" w:eastAsia="仿宋"/>
                <w:sz w:val="24"/>
                <w:highlight w:val="none"/>
              </w:rPr>
              <w:t>会员结算准备金最低余额应当以人民币自有资金缴纳。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交易保证金是指会员在交易所专用结算账户中确保合约履行的资金，是已被合约占用的保证金。买卖双方成交后，交易所按持仓合约价值的规定比率或交易所规定的其他方式收取交易保证金。</w:t>
            </w:r>
          </w:p>
          <w:p>
            <w:pPr>
              <w:ind w:firstLine="480" w:firstLineChars="200"/>
              <w:rPr>
                <w:rFonts w:ascii="仿宋" w:hAnsi="仿宋" w:eastAsia="仿宋"/>
                <w:sz w:val="24"/>
                <w:highlight w:val="none"/>
              </w:rPr>
            </w:pPr>
            <w:r>
              <w:rPr>
                <w:rFonts w:hint="eastAsia" w:ascii="仿宋" w:hAnsi="仿宋" w:eastAsia="仿宋"/>
                <w:sz w:val="24"/>
                <w:highlight w:val="none"/>
              </w:rPr>
              <w:t>持有标准仓单的卖方会员向交易所提交折抵头寸申请并征得同意后，与其标准仓单所示数量相同的卖持仓（不含按照本</w:t>
            </w:r>
            <w:r>
              <w:rPr>
                <w:rFonts w:hint="eastAsia" w:ascii="仿宋" w:hAnsi="仿宋" w:eastAsia="仿宋"/>
                <w:sz w:val="24"/>
                <w:highlight w:val="none"/>
                <w:lang w:val="en-US" w:eastAsia="zh-CN"/>
              </w:rPr>
              <w:t>办法</w:t>
            </w:r>
            <w:r>
              <w:rPr>
                <w:rFonts w:hint="eastAsia" w:ascii="仿宋" w:hAnsi="仿宋" w:eastAsia="仿宋"/>
                <w:sz w:val="24"/>
                <w:highlight w:val="none"/>
              </w:rPr>
              <w:t>规定已经取得交易保证金优惠的持仓）交易保证金在结算时不再收取。会员向交易所提交申请之前须取得客户授权。最后交易日闭市前，客户需要配对交割的仓单处于折抵状态的，卖方会员应当根据客户交割意向解除其相应的仓单折抵，并向交易所提交拟集中交割的仓单数量，方可释放卖方保证金。</w:t>
            </w:r>
          </w:p>
          <w:p>
            <w:pPr>
              <w:ind w:firstLine="480" w:firstLineChars="200"/>
              <w:rPr>
                <w:rFonts w:ascii="仿宋" w:hAnsi="仿宋" w:eastAsia="仿宋"/>
                <w:sz w:val="24"/>
                <w:highlight w:val="none"/>
              </w:rPr>
            </w:pPr>
            <w:r>
              <w:rPr>
                <w:rFonts w:hint="eastAsia" w:ascii="仿宋" w:hAnsi="仿宋" w:eastAsia="仿宋"/>
                <w:sz w:val="24"/>
                <w:highlight w:val="none"/>
              </w:rPr>
              <w:t>夜盘交易小节，交易所不受理标准仓单折抵等业务。</w:t>
            </w:r>
          </w:p>
          <w:p>
            <w:pPr>
              <w:ind w:firstLine="480" w:firstLineChars="200"/>
              <w:rPr>
                <w:rFonts w:ascii="仿宋" w:hAnsi="仿宋" w:eastAsia="仿宋"/>
                <w:sz w:val="24"/>
                <w:highlight w:val="none"/>
              </w:rPr>
            </w:pPr>
          </w:p>
          <w:p>
            <w:pPr>
              <w:ind w:firstLine="480" w:firstLineChars="200"/>
              <w:rPr>
                <w:rFonts w:ascii="仿宋" w:hAnsi="仿宋" w:eastAsia="仿宋"/>
                <w:sz w:val="24"/>
                <w:highlight w:val="none"/>
              </w:rPr>
            </w:pPr>
          </w:p>
          <w:p>
            <w:pPr>
              <w:ind w:firstLine="480" w:firstLineChars="200"/>
              <w:rPr>
                <w:rFonts w:ascii="仿宋" w:hAnsi="仿宋" w:eastAsia="仿宋"/>
                <w:sz w:val="24"/>
                <w:highlight w:val="none"/>
              </w:rPr>
            </w:pPr>
          </w:p>
          <w:p>
            <w:pPr>
              <w:ind w:firstLine="480" w:firstLineChars="200"/>
              <w:rPr>
                <w:rFonts w:ascii="仿宋" w:hAnsi="仿宋" w:eastAsia="仿宋"/>
                <w:sz w:val="24"/>
                <w:highlight w:val="none"/>
              </w:rPr>
            </w:pPr>
          </w:p>
          <w:p>
            <w:pPr>
              <w:ind w:firstLine="480" w:firstLineChars="200"/>
              <w:rPr>
                <w:rFonts w:ascii="仿宋" w:hAnsi="仿宋" w:eastAsia="仿宋"/>
                <w:sz w:val="24"/>
                <w:highlight w:val="none"/>
              </w:rPr>
            </w:pPr>
          </w:p>
          <w:p>
            <w:pPr>
              <w:ind w:firstLine="480" w:firstLineChars="200"/>
              <w:rPr>
                <w:rFonts w:ascii="仿宋" w:hAnsi="仿宋" w:eastAsia="仿宋"/>
                <w:sz w:val="24"/>
                <w:highlight w:val="none"/>
              </w:rPr>
            </w:pPr>
          </w:p>
          <w:p>
            <w:pPr>
              <w:ind w:firstLine="480" w:firstLineChars="200"/>
              <w:rPr>
                <w:rFonts w:ascii="仿宋" w:hAnsi="仿宋" w:eastAsia="仿宋"/>
                <w:sz w:val="24"/>
                <w:highlight w:val="none"/>
              </w:rPr>
            </w:pPr>
          </w:p>
          <w:p>
            <w:pPr>
              <w:ind w:firstLine="480" w:firstLineChars="200"/>
              <w:rPr>
                <w:rFonts w:ascii="仿宋" w:hAnsi="仿宋" w:eastAsia="仿宋"/>
                <w:sz w:val="24"/>
                <w:highlight w:val="none"/>
              </w:rPr>
            </w:pPr>
          </w:p>
          <w:p>
            <w:pPr>
              <w:ind w:firstLine="480" w:firstLineChars="200"/>
              <w:rPr>
                <w:rFonts w:ascii="仿宋" w:hAnsi="仿宋" w:eastAsia="仿宋"/>
                <w:sz w:val="24"/>
                <w:highlight w:val="none"/>
              </w:rPr>
            </w:pPr>
          </w:p>
          <w:p>
            <w:pPr>
              <w:ind w:firstLine="480" w:firstLineChars="200"/>
              <w:rPr>
                <w:rFonts w:ascii="仿宋" w:hAnsi="仿宋" w:eastAsia="仿宋"/>
                <w:sz w:val="24"/>
                <w:highlight w:val="none"/>
              </w:rPr>
            </w:pPr>
          </w:p>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四</w:t>
            </w:r>
            <w:r>
              <w:rPr>
                <w:rFonts w:hint="eastAsia" w:ascii="仿宋" w:hAnsi="仿宋" w:eastAsia="仿宋"/>
                <w:b/>
                <w:sz w:val="24"/>
                <w:highlight w:val="none"/>
              </w:rPr>
              <w:t>条</w:t>
            </w:r>
            <w:r>
              <w:rPr>
                <w:rFonts w:hint="eastAsia" w:ascii="仿宋" w:hAnsi="仿宋" w:eastAsia="仿宋"/>
                <w:sz w:val="24"/>
                <w:highlight w:val="none"/>
              </w:rPr>
              <w:t xml:space="preserve"> 各品种期货合约的交易保证金比例及不同阶段的交易保证金比例按交易所有关规定执行。同一会员、同一客户、同一合约月份双向持仓按照单边收取交易保证金。</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交易保证金是指会员在交易所专用结算账户中确保合约履行的资金，是已被合约占用的保证金。买卖双方成交后，交易所按持仓合约价值的规定比率或交易所规定的其他方式收取交易保证金。</w:t>
            </w:r>
          </w:p>
          <w:p>
            <w:pPr>
              <w:ind w:firstLine="480" w:firstLineChars="200"/>
              <w:rPr>
                <w:rFonts w:ascii="仿宋" w:hAnsi="仿宋" w:eastAsia="仿宋"/>
                <w:dstrike/>
                <w:sz w:val="24"/>
                <w:highlight w:val="none"/>
              </w:rPr>
            </w:pPr>
            <w:r>
              <w:rPr>
                <w:rFonts w:hint="eastAsia" w:ascii="仿宋" w:hAnsi="仿宋" w:eastAsia="仿宋"/>
                <w:dstrike/>
                <w:sz w:val="24"/>
                <w:highlight w:val="none"/>
              </w:rPr>
              <w:t>持有标准仓单的卖方会员向交易所提交折抵头寸申请并征得同意后，与其标准仓单所示数量相同的卖持仓（不含按照本</w:t>
            </w:r>
            <w:r>
              <w:rPr>
                <w:rFonts w:hint="eastAsia" w:ascii="仿宋" w:hAnsi="仿宋" w:eastAsia="仿宋"/>
                <w:dstrike/>
                <w:sz w:val="24"/>
                <w:highlight w:val="none"/>
                <w:lang w:val="en-US" w:eastAsia="zh-CN"/>
              </w:rPr>
              <w:t>办法</w:t>
            </w:r>
            <w:r>
              <w:rPr>
                <w:rFonts w:hint="eastAsia" w:ascii="仿宋" w:hAnsi="仿宋" w:eastAsia="仿宋"/>
                <w:dstrike/>
                <w:sz w:val="24"/>
                <w:highlight w:val="none"/>
              </w:rPr>
              <w:t>规定已经取得交易保证金优惠的持仓）交易保证金在结算时不再收取。会员向交易所提交申请之前须取得客户授权。最后交易日闭市前，客户需要配对交割的仓单处于折抵状态的，卖方会员应当根据客户交割意向解除其相应的仓单折抵，并向交易所提交拟集中交割的仓单数量，方可释放卖方保证金。</w:t>
            </w:r>
          </w:p>
          <w:p>
            <w:pPr>
              <w:ind w:firstLine="480" w:firstLineChars="200"/>
              <w:rPr>
                <w:rFonts w:ascii="仿宋" w:hAnsi="仿宋" w:eastAsia="仿宋"/>
                <w:sz w:val="24"/>
                <w:highlight w:val="none"/>
              </w:rPr>
            </w:pPr>
            <w:r>
              <w:rPr>
                <w:rFonts w:hint="eastAsia" w:ascii="仿宋" w:hAnsi="仿宋" w:eastAsia="仿宋"/>
                <w:dstrike/>
                <w:sz w:val="24"/>
                <w:highlight w:val="none"/>
              </w:rPr>
              <w:t>夜盘交易小节，交易所不受理标准仓单折抵等业务。</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在下列情况下，交易所可以单边收取交易保证金：</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（一）同一客户在同一会员、境外特殊经纪参与者处的同一合约月份双向持仓，按照保证金金额较大的一边收取；</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（二）非期货公司会员、境外特殊非经纪参与者同一合约月份的双向持仓，按照保证金金额较大的一边收取；</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（三）交易所认为必要的其他情况。</w:t>
            </w:r>
          </w:p>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四</w:t>
            </w:r>
            <w:r>
              <w:rPr>
                <w:rFonts w:hint="eastAsia" w:ascii="仿宋" w:hAnsi="仿宋" w:eastAsia="仿宋"/>
                <w:b/>
                <w:sz w:val="24"/>
                <w:highlight w:val="none"/>
              </w:rPr>
              <w:t>条</w:t>
            </w:r>
            <w:r>
              <w:rPr>
                <w:rFonts w:hint="eastAsia" w:ascii="仿宋" w:hAnsi="仿宋" w:eastAsia="仿宋"/>
                <w:sz w:val="24"/>
                <w:highlight w:val="none"/>
              </w:rPr>
              <w:t xml:space="preserve"> 各品种期货合约的交易保证金比例及不同阶段的交易保证金比例按交易所有关规定执行。</w:t>
            </w:r>
            <w:r>
              <w:rPr>
                <w:rFonts w:hint="eastAsia" w:ascii="仿宋" w:hAnsi="仿宋" w:eastAsia="仿宋"/>
                <w:dstrike/>
                <w:sz w:val="24"/>
                <w:highlight w:val="none"/>
              </w:rPr>
              <w:t>同一会员、同一客户、同一合约月份双向持仓按照单边收取交易保证金。</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第二十</w:t>
            </w:r>
            <w:r>
              <w:rPr>
                <w:rFonts w:hint="eastAsia" w:ascii="仿宋" w:hAnsi="仿宋" w:eastAsia="仿宋"/>
                <w:b/>
                <w:sz w:val="24"/>
                <w:highlight w:val="none"/>
                <w:u w:val="single"/>
                <w:lang w:eastAsia="zh-CN"/>
              </w:rPr>
              <w:t>五</w:t>
            </w:r>
            <w:r>
              <w:rPr>
                <w:rFonts w:hint="eastAsia" w:ascii="仿宋" w:hAnsi="仿宋" w:eastAsia="仿宋"/>
                <w:b/>
                <w:sz w:val="24"/>
                <w:highlight w:val="none"/>
                <w:u w:val="single"/>
              </w:rPr>
              <w:t>条 持有标准仓单的卖方会员向交易所提交折抵头寸申请并征得同意后，与其标准仓单所示数量相同的卖持仓（不含按照本</w:t>
            </w:r>
            <w:r>
              <w:rPr>
                <w:rFonts w:hint="eastAsia" w:ascii="仿宋" w:hAnsi="仿宋" w:eastAsia="仿宋"/>
                <w:b/>
                <w:sz w:val="24"/>
                <w:highlight w:val="none"/>
                <w:u w:val="single"/>
                <w:lang w:val="en-US" w:eastAsia="zh-CN"/>
              </w:rPr>
              <w:t>办法</w:t>
            </w:r>
            <w:r>
              <w:rPr>
                <w:rFonts w:hint="eastAsia" w:ascii="仿宋" w:hAnsi="仿宋" w:eastAsia="仿宋"/>
                <w:b/>
                <w:sz w:val="24"/>
                <w:highlight w:val="none"/>
                <w:u w:val="single"/>
              </w:rPr>
              <w:t>规定已经取得交易保证金优惠的持仓）交易保证金在结算时不再收取。会员向交易所提交申请之前须取得结算交割委托人授权。最后交易日闭市前，需要配对交割的仓单处于折抵状态的，卖方会员应当根据结算交割委托人的交割意向解除其相应的仓单折抵，并向交易所提交拟集中交割的仓单数量，方可释放卖方保证金。</w:t>
            </w:r>
          </w:p>
          <w:p>
            <w:pPr>
              <w:ind w:firstLine="481" w:firstLineChars="200"/>
              <w:rPr>
                <w:rFonts w:ascii="仿宋" w:hAnsi="仿宋" w:eastAsia="仿宋"/>
                <w:sz w:val="24"/>
                <w:highlight w:val="none"/>
              </w:rPr>
            </w:pPr>
            <w:r>
              <w:rPr>
                <w:rFonts w:hint="eastAsia" w:ascii="仿宋" w:hAnsi="仿宋" w:eastAsia="仿宋"/>
                <w:b/>
                <w:sz w:val="24"/>
                <w:highlight w:val="none"/>
                <w:u w:val="single"/>
              </w:rPr>
              <w:t>夜盘交易小节，交易所不受理标准仓单折抵等业务。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六</w:t>
            </w:r>
            <w:r>
              <w:rPr>
                <w:rFonts w:hint="eastAsia" w:ascii="仿宋" w:hAnsi="仿宋" w:eastAsia="仿宋"/>
                <w:b/>
                <w:sz w:val="24"/>
                <w:highlight w:val="none"/>
              </w:rPr>
              <w:t>条</w:t>
            </w:r>
            <w:r>
              <w:rPr>
                <w:rFonts w:hint="eastAsia" w:ascii="仿宋" w:hAnsi="仿宋" w:eastAsia="仿宋"/>
                <w:sz w:val="24"/>
                <w:highlight w:val="none"/>
              </w:rPr>
              <w:t xml:space="preserve"> 期货公司会员、境外经纪机构受托为客户交易，向客户收取的保证金属于客户所有，禁止挪作他用。</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dstrike/>
                <w:sz w:val="24"/>
                <w:highlight w:val="none"/>
                <w:lang w:eastAsia="zh-CN"/>
              </w:rPr>
              <w:t>六</w:t>
            </w:r>
            <w:r>
              <w:rPr>
                <w:rFonts w:hint="eastAsia" w:ascii="仿宋" w:hAnsi="仿宋" w:eastAsia="仿宋"/>
                <w:b/>
                <w:sz w:val="24"/>
                <w:highlight w:val="none"/>
                <w:u w:val="single"/>
                <w:lang w:eastAsia="zh-CN"/>
              </w:rPr>
              <w:t>七</w:t>
            </w:r>
            <w:r>
              <w:rPr>
                <w:rFonts w:hint="eastAsia" w:ascii="仿宋" w:hAnsi="仿宋" w:eastAsia="仿宋"/>
                <w:b/>
                <w:sz w:val="24"/>
                <w:highlight w:val="none"/>
              </w:rPr>
              <w:t xml:space="preserve">条 </w:t>
            </w:r>
            <w:r>
              <w:rPr>
                <w:rFonts w:hint="eastAsia" w:ascii="仿宋" w:hAnsi="仿宋" w:eastAsia="仿宋"/>
                <w:sz w:val="24"/>
                <w:highlight w:val="none"/>
              </w:rPr>
              <w:t>期货公司会员</w:t>
            </w:r>
            <w:r>
              <w:rPr>
                <w:rFonts w:hint="eastAsia" w:ascii="仿宋" w:hAnsi="仿宋" w:eastAsia="仿宋"/>
                <w:dstrike/>
                <w:sz w:val="24"/>
                <w:highlight w:val="none"/>
              </w:rPr>
              <w:t>、境外经纪机构受托为客户交易，</w:t>
            </w:r>
            <w:r>
              <w:rPr>
                <w:rFonts w:hint="eastAsia" w:ascii="仿宋" w:hAnsi="仿宋" w:eastAsia="仿宋"/>
                <w:sz w:val="24"/>
                <w:highlight w:val="none"/>
              </w:rPr>
              <w:t>向</w:t>
            </w:r>
            <w:r>
              <w:rPr>
                <w:rFonts w:hint="eastAsia" w:ascii="仿宋" w:hAnsi="仿宋" w:eastAsia="仿宋"/>
                <w:dstrike/>
                <w:sz w:val="24"/>
                <w:highlight w:val="none"/>
              </w:rPr>
              <w:t>客户</w:t>
            </w:r>
            <w:r>
              <w:rPr>
                <w:rFonts w:hint="eastAsia" w:ascii="仿宋" w:hAnsi="仿宋" w:eastAsia="仿宋"/>
                <w:b/>
                <w:sz w:val="24"/>
                <w:highlight w:val="none"/>
                <w:u w:val="single"/>
              </w:rPr>
              <w:t>结算交割委托人</w:t>
            </w:r>
            <w:r>
              <w:rPr>
                <w:rFonts w:hint="eastAsia" w:ascii="仿宋" w:hAnsi="仿宋" w:eastAsia="仿宋"/>
                <w:sz w:val="24"/>
                <w:highlight w:val="none"/>
              </w:rPr>
              <w:t>收取的保证金属于</w:t>
            </w:r>
            <w:r>
              <w:rPr>
                <w:rFonts w:hint="eastAsia" w:ascii="仿宋" w:hAnsi="仿宋" w:eastAsia="仿宋"/>
                <w:dstrike/>
                <w:sz w:val="24"/>
                <w:highlight w:val="none"/>
              </w:rPr>
              <w:t>客户</w:t>
            </w:r>
            <w:r>
              <w:rPr>
                <w:rFonts w:hint="eastAsia" w:ascii="仿宋" w:hAnsi="仿宋" w:eastAsia="仿宋"/>
                <w:b/>
                <w:sz w:val="24"/>
                <w:highlight w:val="none"/>
                <w:u w:val="single"/>
              </w:rPr>
              <w:t>结算交割委托人</w:t>
            </w:r>
            <w:r>
              <w:rPr>
                <w:rFonts w:hint="eastAsia" w:ascii="仿宋" w:hAnsi="仿宋" w:eastAsia="仿宋"/>
                <w:sz w:val="24"/>
                <w:highlight w:val="none"/>
              </w:rPr>
              <w:t>所有，禁止挪作他用。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sz w:val="24"/>
                <w:highlight w:val="none"/>
                <w:lang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期货公司会员向客户、境外经纪机构收取的交易保证金不得低于交易所向会员收取的交易保证金。</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dstrike w:val="0"/>
                <w:sz w:val="24"/>
                <w:highlight w:val="none"/>
              </w:rPr>
              <w:t>二十</w:t>
            </w:r>
            <w:r>
              <w:rPr>
                <w:rFonts w:hint="eastAsia" w:ascii="仿宋" w:hAnsi="仿宋" w:eastAsia="仿宋"/>
                <w:b/>
                <w:dstrike/>
                <w:sz w:val="24"/>
                <w:highlight w:val="none"/>
                <w:lang w:eastAsia="zh-CN"/>
              </w:rPr>
              <w:t>七</w:t>
            </w:r>
            <w:r>
              <w:rPr>
                <w:rFonts w:hint="eastAsia" w:ascii="仿宋" w:hAnsi="仿宋" w:eastAsia="仿宋"/>
                <w:b/>
                <w:sz w:val="24"/>
                <w:highlight w:val="none"/>
                <w:u w:val="single"/>
                <w:lang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期货公司会员向</w:t>
            </w:r>
            <w:r>
              <w:rPr>
                <w:rFonts w:hint="eastAsia" w:ascii="仿宋" w:hAnsi="仿宋" w:eastAsia="仿宋"/>
                <w:dstrike/>
                <w:sz w:val="24"/>
                <w:highlight w:val="none"/>
              </w:rPr>
              <w:t>客户、境外经纪机构</w:t>
            </w:r>
            <w:r>
              <w:rPr>
                <w:rFonts w:hint="eastAsia" w:ascii="仿宋" w:hAnsi="仿宋" w:eastAsia="仿宋"/>
                <w:b/>
                <w:sz w:val="24"/>
                <w:highlight w:val="none"/>
                <w:u w:val="single"/>
              </w:rPr>
              <w:t>结算交割委托人</w:t>
            </w:r>
            <w:r>
              <w:rPr>
                <w:rFonts w:hint="eastAsia" w:ascii="仿宋" w:hAnsi="仿宋" w:eastAsia="仿宋"/>
                <w:sz w:val="24"/>
                <w:highlight w:val="none"/>
              </w:rPr>
              <w:t>收取的交易保证金不得低于交易所向会员收取的交易保证金。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Arial"/>
                <w:sz w:val="24"/>
                <w:highlight w:val="none"/>
              </w:rPr>
            </w:pPr>
            <w:r>
              <w:rPr>
                <w:rFonts w:hint="eastAsia" w:ascii="仿宋" w:hAnsi="仿宋" w:eastAsia="仿宋"/>
                <w:b/>
                <w:sz w:val="24"/>
                <w:highlight w:val="none"/>
              </w:rPr>
              <w:t>第四章</w:t>
            </w:r>
            <w:r>
              <w:rPr>
                <w:rFonts w:ascii="Calibri" w:hAnsi="Calibri" w:eastAsia="仿宋" w:cs="Calibri"/>
                <w:b/>
                <w:sz w:val="24"/>
                <w:highlight w:val="none"/>
              </w:rPr>
              <w:t> </w:t>
            </w:r>
            <w:r>
              <w:rPr>
                <w:rFonts w:hint="eastAsia" w:ascii="仿宋" w:hAnsi="仿宋" w:eastAsia="仿宋"/>
                <w:b/>
                <w:sz w:val="24"/>
                <w:highlight w:val="none"/>
              </w:rPr>
              <w:t>交易结算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sz w:val="24"/>
                <w:highlight w:val="none"/>
                <w:lang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结算准备金余额的具体计算公式如下：</w:t>
            </w:r>
          </w:p>
          <w:p>
            <w:pPr>
              <w:ind w:firstLine="480" w:firstLineChars="200"/>
              <w:rPr>
                <w:rFonts w:ascii="仿宋" w:hAnsi="仿宋" w:eastAsia="仿宋"/>
                <w:sz w:val="24"/>
                <w:highlight w:val="none"/>
              </w:rPr>
            </w:pPr>
            <w:r>
              <w:rPr>
                <w:rFonts w:hint="eastAsia" w:ascii="仿宋" w:hAnsi="仿宋" w:eastAsia="仿宋"/>
                <w:sz w:val="24"/>
                <w:highlight w:val="none"/>
              </w:rPr>
              <w:t>当日结算准备金余额 = 上一交易日结算准备金 + 上一交易日交易保证金－当日交易保证金 + 当日资产作为保证金的实际可用金额－上一交易日资产作为保证金的实际可用金额 + 当日盈亏+ 当日期权权利金收支+入金－出金－手续费等。</w:t>
            </w:r>
          </w:p>
          <w:p>
            <w:pPr>
              <w:ind w:firstLine="480" w:firstLineChars="200"/>
              <w:rPr>
                <w:rFonts w:ascii="仿宋" w:hAnsi="仿宋" w:eastAsia="仿宋"/>
                <w:sz w:val="24"/>
                <w:highlight w:val="none"/>
              </w:rPr>
            </w:pPr>
            <w:r>
              <w:rPr>
                <w:rFonts w:hint="eastAsia" w:ascii="仿宋" w:hAnsi="仿宋" w:eastAsia="仿宋"/>
                <w:sz w:val="24"/>
                <w:highlight w:val="none"/>
              </w:rPr>
              <w:t>资产作为保证金的实际可用金额的具体计算方法见本</w:t>
            </w:r>
            <w:r>
              <w:rPr>
                <w:rFonts w:hint="eastAsia" w:ascii="仿宋" w:hAnsi="仿宋" w:eastAsia="仿宋"/>
                <w:sz w:val="24"/>
                <w:highlight w:val="none"/>
                <w:lang w:val="en-US" w:eastAsia="zh-CN"/>
              </w:rPr>
              <w:t>办法</w:t>
            </w:r>
            <w:r>
              <w:rPr>
                <w:rFonts w:hint="eastAsia" w:ascii="仿宋" w:hAnsi="仿宋" w:eastAsia="仿宋"/>
                <w:sz w:val="24"/>
                <w:highlight w:val="none"/>
              </w:rPr>
              <w:t>第六章的有关规定。</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dstrike/>
                <w:sz w:val="24"/>
                <w:highlight w:val="none"/>
                <w:lang w:eastAsia="zh-CN"/>
              </w:rPr>
              <w:t>一</w:t>
            </w:r>
            <w:r>
              <w:rPr>
                <w:rFonts w:hint="eastAsia" w:ascii="仿宋" w:hAnsi="仿宋" w:eastAsia="仿宋"/>
                <w:b/>
                <w:sz w:val="24"/>
                <w:highlight w:val="none"/>
                <w:u w:val="single"/>
                <w:lang w:eastAsia="zh-CN"/>
              </w:rPr>
              <w:t>二</w:t>
            </w:r>
            <w:r>
              <w:rPr>
                <w:rFonts w:hint="eastAsia" w:ascii="仿宋" w:hAnsi="仿宋" w:eastAsia="仿宋"/>
                <w:b/>
                <w:sz w:val="24"/>
                <w:highlight w:val="none"/>
              </w:rPr>
              <w:t>条</w:t>
            </w:r>
            <w:r>
              <w:rPr>
                <w:rFonts w:hint="eastAsia" w:ascii="仿宋" w:hAnsi="仿宋" w:eastAsia="仿宋"/>
                <w:sz w:val="24"/>
                <w:highlight w:val="none"/>
              </w:rPr>
              <w:t xml:space="preserve"> 结算准备金余额的具体计算公式如下：</w:t>
            </w:r>
          </w:p>
          <w:p>
            <w:pPr>
              <w:ind w:firstLine="480" w:firstLineChars="200"/>
              <w:rPr>
                <w:rFonts w:ascii="仿宋" w:hAnsi="仿宋" w:eastAsia="仿宋"/>
                <w:sz w:val="24"/>
                <w:highlight w:val="none"/>
              </w:rPr>
            </w:pPr>
            <w:r>
              <w:rPr>
                <w:rFonts w:hint="eastAsia" w:ascii="仿宋" w:hAnsi="仿宋" w:eastAsia="仿宋"/>
                <w:sz w:val="24"/>
                <w:highlight w:val="none"/>
              </w:rPr>
              <w:t>当日结算准备金余额 = 上一交易日结算准备金 + 上一交易日交易保证金－当日交易保证金 + 当日资产作为保证金的实际可用金额－上一交易日资产作为保证金的实际可用金额 + 当日盈亏+ 当日期权权利金收支+入金－出金－手续费等。</w:t>
            </w:r>
          </w:p>
          <w:p>
            <w:pPr>
              <w:ind w:firstLine="480" w:firstLineChars="200"/>
              <w:rPr>
                <w:rFonts w:ascii="仿宋" w:hAnsi="仿宋" w:eastAsia="仿宋"/>
                <w:sz w:val="24"/>
                <w:highlight w:val="none"/>
              </w:rPr>
            </w:pPr>
            <w:r>
              <w:rPr>
                <w:rFonts w:hint="eastAsia" w:ascii="仿宋" w:hAnsi="仿宋" w:eastAsia="仿宋"/>
                <w:sz w:val="24"/>
                <w:highlight w:val="none"/>
              </w:rPr>
              <w:t>资产作为保证金的实际可用金额的具体计算方法见本</w:t>
            </w:r>
            <w:r>
              <w:rPr>
                <w:rFonts w:hint="eastAsia" w:ascii="仿宋" w:hAnsi="仿宋" w:eastAsia="仿宋"/>
                <w:sz w:val="24"/>
                <w:highlight w:val="none"/>
                <w:lang w:val="en-US" w:eastAsia="zh-CN"/>
              </w:rPr>
              <w:t>办法</w:t>
            </w:r>
            <w:r>
              <w:rPr>
                <w:rFonts w:hint="eastAsia" w:ascii="仿宋" w:hAnsi="仿宋" w:eastAsia="仿宋"/>
                <w:sz w:val="24"/>
                <w:highlight w:val="none"/>
              </w:rPr>
              <w:t>第</w:t>
            </w:r>
            <w:r>
              <w:rPr>
                <w:rFonts w:hint="eastAsia" w:ascii="仿宋" w:hAnsi="仿宋" w:eastAsia="仿宋"/>
                <w:dstrike/>
                <w:sz w:val="24"/>
                <w:highlight w:val="none"/>
              </w:rPr>
              <w:t>六</w:t>
            </w:r>
            <w:r>
              <w:rPr>
                <w:rFonts w:hint="eastAsia" w:ascii="仿宋" w:hAnsi="仿宋" w:eastAsia="仿宋"/>
                <w:b/>
                <w:sz w:val="24"/>
                <w:highlight w:val="none"/>
                <w:u w:val="single"/>
              </w:rPr>
              <w:t>七</w:t>
            </w:r>
            <w:r>
              <w:rPr>
                <w:rFonts w:hint="eastAsia" w:ascii="仿宋" w:hAnsi="仿宋" w:eastAsia="仿宋"/>
                <w:sz w:val="24"/>
                <w:highlight w:val="none"/>
              </w:rPr>
              <w:t>章的有关规定。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sz w:val="24"/>
                <w:highlight w:val="none"/>
                <w:lang w:eastAsia="zh-CN"/>
              </w:rPr>
              <w:t>二</w:t>
            </w:r>
            <w:r>
              <w:rPr>
                <w:rFonts w:hint="eastAsia" w:ascii="仿宋" w:hAnsi="仿宋" w:eastAsia="仿宋"/>
                <w:b/>
                <w:sz w:val="24"/>
                <w:highlight w:val="none"/>
              </w:rPr>
              <w:t>条</w:t>
            </w:r>
            <w:r>
              <w:rPr>
                <w:rFonts w:hint="eastAsia" w:ascii="仿宋" w:hAnsi="仿宋" w:eastAsia="仿宋"/>
                <w:sz w:val="24"/>
                <w:highlight w:val="none"/>
              </w:rPr>
              <w:t xml:space="preserve"> 当日结算完毕后，交易所通过会员服务系统向会员发送结算结果。会员的结算准备金低于最低余额时，该结算结果即视为交易所向会员发出的追加保证金通知。</w:t>
            </w:r>
          </w:p>
          <w:p>
            <w:pPr>
              <w:ind w:firstLine="480" w:firstLineChars="200"/>
              <w:rPr>
                <w:rFonts w:ascii="仿宋" w:hAnsi="仿宋" w:eastAsia="仿宋"/>
                <w:sz w:val="24"/>
                <w:highlight w:val="none"/>
              </w:rPr>
            </w:pPr>
            <w:r>
              <w:rPr>
                <w:rFonts w:hint="eastAsia" w:ascii="仿宋" w:hAnsi="仿宋" w:eastAsia="仿宋"/>
                <w:sz w:val="24"/>
                <w:highlight w:val="none"/>
              </w:rPr>
              <w:t>交易所发出追加保证金的通知后，可以通过存管银行从会员的专用资金账户中扣划人民币或用外汇资金强制换汇方式补足。</w:t>
            </w:r>
          </w:p>
          <w:p>
            <w:pPr>
              <w:ind w:firstLine="480" w:firstLineChars="200"/>
              <w:rPr>
                <w:rFonts w:ascii="仿宋" w:hAnsi="仿宋" w:eastAsia="仿宋"/>
                <w:sz w:val="24"/>
                <w:highlight w:val="none"/>
              </w:rPr>
            </w:pPr>
            <w:r>
              <w:rPr>
                <w:rFonts w:hint="eastAsia" w:ascii="仿宋" w:hAnsi="仿宋" w:eastAsia="仿宋"/>
                <w:sz w:val="24"/>
                <w:highlight w:val="none"/>
              </w:rPr>
              <w:t>会员必须在下一个交易日开市前补足至结算准备金最低余额。未补足的，结算准备金余额大于零而低于结算准备金最低余额时，禁止开新仓；结算准备金余额小于零时，交易所有权对该会员持仓强行平仓。</w:t>
            </w:r>
          </w:p>
          <w:p>
            <w:pPr>
              <w:ind w:firstLine="480" w:firstLineChars="200"/>
              <w:rPr>
                <w:rFonts w:ascii="仿宋" w:hAnsi="仿宋" w:eastAsia="仿宋"/>
                <w:sz w:val="24"/>
                <w:highlight w:val="none"/>
              </w:rPr>
            </w:pPr>
            <w:r>
              <w:rPr>
                <w:rFonts w:hint="eastAsia" w:ascii="仿宋" w:hAnsi="仿宋" w:eastAsia="仿宋"/>
                <w:sz w:val="24"/>
                <w:highlight w:val="none"/>
              </w:rPr>
              <w:t>交易所可根据市场风险和保证金变动情况，在交易期间发出追加保证金通知，会员须在通知规定的时间内补足保证金。结算准备金未按时补足且余额为负数的，交易所有权对其持仓强行平仓。</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dstrike/>
                <w:sz w:val="24"/>
                <w:highlight w:val="none"/>
                <w:lang w:eastAsia="zh-CN"/>
              </w:rPr>
              <w:t>二</w:t>
            </w:r>
            <w:r>
              <w:rPr>
                <w:rFonts w:hint="eastAsia" w:ascii="仿宋" w:hAnsi="仿宋" w:eastAsia="仿宋"/>
                <w:b/>
                <w:sz w:val="24"/>
                <w:highlight w:val="none"/>
                <w:u w:val="single"/>
                <w:lang w:val="en-US"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当日结算完毕后，交易所通过会员服务系统向会员发送结算结果。会员</w:t>
            </w:r>
            <w:r>
              <w:rPr>
                <w:rFonts w:hint="eastAsia" w:ascii="仿宋" w:hAnsi="仿宋" w:eastAsia="仿宋"/>
                <w:b/>
                <w:sz w:val="24"/>
                <w:highlight w:val="none"/>
                <w:u w:val="single"/>
              </w:rPr>
              <w:t>任一内部明细账户</w:t>
            </w:r>
            <w:r>
              <w:rPr>
                <w:rFonts w:hint="eastAsia" w:ascii="仿宋" w:hAnsi="仿宋" w:eastAsia="仿宋"/>
                <w:sz w:val="24"/>
                <w:highlight w:val="none"/>
              </w:rPr>
              <w:t>的结算准备金低于最低余额时，该结算结果即视为交易所向会员发出的追加保证金通知。</w:t>
            </w:r>
          </w:p>
          <w:p>
            <w:pPr>
              <w:ind w:firstLine="480" w:firstLineChars="200"/>
              <w:rPr>
                <w:rFonts w:ascii="仿宋" w:hAnsi="仿宋" w:eastAsia="仿宋"/>
                <w:sz w:val="24"/>
                <w:highlight w:val="none"/>
              </w:rPr>
            </w:pPr>
            <w:r>
              <w:rPr>
                <w:rFonts w:hint="eastAsia" w:ascii="仿宋" w:hAnsi="仿宋" w:eastAsia="仿宋"/>
                <w:sz w:val="24"/>
                <w:highlight w:val="none"/>
              </w:rPr>
              <w:t>交易所发出追加保证金的通知后，可以通过存管银行从会员的专用资金账户中扣划人民币或用外汇资金强制换汇方式补足。</w:t>
            </w:r>
          </w:p>
          <w:p>
            <w:pPr>
              <w:ind w:firstLine="480" w:firstLineChars="200"/>
              <w:rPr>
                <w:rFonts w:ascii="仿宋" w:hAnsi="仿宋" w:eastAsia="仿宋"/>
                <w:b/>
                <w:sz w:val="24"/>
                <w:highlight w:val="none"/>
                <w:u w:val="single"/>
              </w:rPr>
            </w:pPr>
            <w:r>
              <w:rPr>
                <w:rFonts w:hint="eastAsia" w:ascii="仿宋" w:hAnsi="仿宋" w:eastAsia="仿宋"/>
                <w:sz w:val="24"/>
                <w:highlight w:val="none"/>
              </w:rPr>
              <w:t>会员必须在下一个交易日开市前补足至结算准备金最低余额。未补足的，</w:t>
            </w:r>
            <w:r>
              <w:rPr>
                <w:rFonts w:hint="eastAsia" w:ascii="仿宋" w:hAnsi="仿宋" w:eastAsia="仿宋"/>
                <w:dstrike/>
                <w:sz w:val="24"/>
                <w:highlight w:val="none"/>
              </w:rPr>
              <w:t>结算准备金余额大于零而低于结算准备金最低余额时，禁止开新仓；结算准备金余额小于零时，交易所有权对该会员持仓强行平仓。</w:t>
            </w:r>
            <w:r>
              <w:rPr>
                <w:rFonts w:hint="eastAsia" w:ascii="仿宋" w:hAnsi="仿宋" w:eastAsia="仿宋"/>
                <w:b/>
                <w:sz w:val="24"/>
                <w:highlight w:val="none"/>
                <w:u w:val="single"/>
              </w:rPr>
              <w:t>按照下列方法处理：</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（一）会员在交易所的任一内部明细账户的结算准备金余额大于</w:t>
            </w:r>
            <w:r>
              <w:rPr>
                <w:rFonts w:hint="eastAsia" w:ascii="仿宋" w:hAnsi="仿宋" w:eastAsia="仿宋"/>
                <w:b/>
                <w:bCs w:val="0"/>
                <w:sz w:val="24"/>
                <w:highlight w:val="none"/>
                <w:u w:val="single"/>
                <w:lang w:eastAsia="zh-CN"/>
              </w:rPr>
              <w:t>或</w:t>
            </w:r>
            <w:r>
              <w:rPr>
                <w:rFonts w:hint="eastAsia" w:ascii="仿宋" w:hAnsi="仿宋" w:eastAsia="仿宋"/>
                <w:b/>
                <w:sz w:val="24"/>
                <w:highlight w:val="none"/>
                <w:u w:val="single"/>
              </w:rPr>
              <w:t>等于零且低于结算准备金最低余额的，该账户对应的会员或者境外特殊参与者不得开新仓；</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（二）会员在交易所的任一内部明细账户的结算准备金余额小于零的，交易所将按有关规定对该会员强行平仓。</w:t>
            </w:r>
          </w:p>
          <w:p>
            <w:pPr>
              <w:ind w:firstLine="480" w:firstLineChars="200"/>
              <w:rPr>
                <w:rFonts w:ascii="仿宋" w:hAnsi="仿宋" w:eastAsia="仿宋"/>
                <w:sz w:val="24"/>
                <w:highlight w:val="none"/>
              </w:rPr>
            </w:pPr>
            <w:r>
              <w:rPr>
                <w:rFonts w:hint="eastAsia" w:ascii="仿宋" w:hAnsi="仿宋" w:eastAsia="仿宋"/>
                <w:sz w:val="24"/>
                <w:highlight w:val="none"/>
              </w:rPr>
              <w:t>交易所可根据市场风险和保证金变动情况，在交易期间发出追加保证金通知，会员须在通知规定的时间内补足保证金。</w:t>
            </w:r>
            <w:r>
              <w:rPr>
                <w:rFonts w:hint="eastAsia" w:ascii="仿宋" w:hAnsi="仿宋" w:eastAsia="仿宋"/>
                <w:b/>
                <w:sz w:val="24"/>
                <w:highlight w:val="none"/>
                <w:u w:val="single"/>
              </w:rPr>
              <w:t>会员在交易所的任一内部明细账户的</w:t>
            </w:r>
            <w:r>
              <w:rPr>
                <w:rFonts w:hint="eastAsia" w:ascii="仿宋" w:hAnsi="仿宋" w:eastAsia="仿宋"/>
                <w:sz w:val="24"/>
                <w:highlight w:val="none"/>
              </w:rPr>
              <w:t>结算准备金未按时补足且余额</w:t>
            </w:r>
            <w:r>
              <w:rPr>
                <w:rFonts w:hint="eastAsia" w:ascii="仿宋" w:hAnsi="仿宋" w:eastAsia="仿宋"/>
                <w:dstrike/>
                <w:sz w:val="24"/>
                <w:highlight w:val="none"/>
              </w:rPr>
              <w:t>为负数</w:t>
            </w:r>
            <w:r>
              <w:rPr>
                <w:rFonts w:hint="eastAsia" w:ascii="仿宋" w:hAnsi="仿宋" w:eastAsia="仿宋"/>
                <w:b/>
                <w:sz w:val="24"/>
                <w:highlight w:val="none"/>
                <w:u w:val="single"/>
              </w:rPr>
              <w:t>小于零</w:t>
            </w:r>
            <w:r>
              <w:rPr>
                <w:rFonts w:hint="eastAsia" w:ascii="仿宋" w:hAnsi="仿宋" w:eastAsia="仿宋"/>
                <w:sz w:val="24"/>
                <w:highlight w:val="none"/>
              </w:rPr>
              <w:t>的，交易所有权对</w:t>
            </w:r>
            <w:r>
              <w:rPr>
                <w:rFonts w:hint="eastAsia" w:ascii="仿宋" w:hAnsi="仿宋" w:eastAsia="仿宋"/>
                <w:dstrike/>
                <w:sz w:val="24"/>
                <w:highlight w:val="none"/>
              </w:rPr>
              <w:t>其持仓</w:t>
            </w:r>
            <w:r>
              <w:rPr>
                <w:rFonts w:hint="eastAsia" w:ascii="仿宋" w:hAnsi="仿宋" w:eastAsia="仿宋"/>
                <w:b/>
                <w:sz w:val="24"/>
                <w:highlight w:val="none"/>
                <w:u w:val="single"/>
              </w:rPr>
              <w:t>该会员</w:t>
            </w:r>
            <w:r>
              <w:rPr>
                <w:rFonts w:hint="eastAsia" w:ascii="仿宋" w:hAnsi="仿宋" w:eastAsia="仿宋"/>
                <w:sz w:val="24"/>
                <w:highlight w:val="none"/>
              </w:rPr>
              <w:t>强行平仓。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sz w:val="24"/>
                <w:highlight w:val="none"/>
                <w:lang w:eastAsia="zh-CN"/>
              </w:rPr>
              <w:t>五</w:t>
            </w:r>
            <w:r>
              <w:rPr>
                <w:rFonts w:hint="eastAsia" w:ascii="仿宋" w:hAnsi="仿宋" w:eastAsia="仿宋"/>
                <w:b/>
                <w:sz w:val="24"/>
                <w:highlight w:val="none"/>
              </w:rPr>
              <w:t>条</w:t>
            </w:r>
            <w:r>
              <w:rPr>
                <w:rFonts w:hint="eastAsia" w:ascii="仿宋" w:hAnsi="仿宋" w:eastAsia="仿宋"/>
                <w:sz w:val="24"/>
                <w:highlight w:val="none"/>
              </w:rPr>
              <w:t xml:space="preserve"> 会员的出金标准为：</w:t>
            </w:r>
          </w:p>
          <w:p>
            <w:pPr>
              <w:ind w:firstLine="440" w:firstLineChars="200"/>
              <w:rPr>
                <w:rFonts w:hint="eastAsia" w:ascii="仿宋" w:hAnsi="仿宋" w:eastAsia="仿宋"/>
                <w:sz w:val="22"/>
                <w:highlight w:val="none"/>
              </w:rPr>
            </w:pPr>
            <w:r>
              <w:rPr>
                <w:rFonts w:hint="eastAsia" w:ascii="仿宋" w:hAnsi="仿宋" w:eastAsia="仿宋"/>
                <w:sz w:val="22"/>
                <w:highlight w:val="none"/>
              </w:rPr>
              <w:t>……</w:t>
            </w:r>
          </w:p>
          <w:p>
            <w:pPr>
              <w:ind w:firstLine="480" w:firstLineChars="200"/>
              <w:rPr>
                <w:rFonts w:ascii="仿宋" w:hAnsi="仿宋" w:eastAsia="仿宋"/>
                <w:sz w:val="24"/>
                <w:highlight w:val="none"/>
              </w:rPr>
            </w:pPr>
            <w:r>
              <w:rPr>
                <w:rFonts w:hint="eastAsia" w:ascii="仿宋" w:hAnsi="仿宋" w:eastAsia="仿宋"/>
                <w:sz w:val="24"/>
                <w:highlight w:val="none"/>
              </w:rPr>
              <w:t>实有货币资金指实有人民币资金和外汇资金价值按照折扣比率折算后的人民币金额之和，外汇资金的折算方法见本</w:t>
            </w:r>
            <w:r>
              <w:rPr>
                <w:rFonts w:hint="eastAsia" w:ascii="仿宋" w:hAnsi="仿宋" w:eastAsia="仿宋"/>
                <w:sz w:val="24"/>
                <w:highlight w:val="none"/>
                <w:lang w:val="en-US" w:eastAsia="zh-CN"/>
              </w:rPr>
              <w:t>办法</w:t>
            </w:r>
            <w:r>
              <w:rPr>
                <w:rFonts w:hint="eastAsia" w:ascii="仿宋" w:hAnsi="仿宋" w:eastAsia="仿宋"/>
                <w:sz w:val="24"/>
                <w:highlight w:val="none"/>
              </w:rPr>
              <w:t>第六章有关规定。</w:t>
            </w:r>
          </w:p>
          <w:p>
            <w:pPr>
              <w:ind w:firstLine="440" w:firstLineChars="200"/>
              <w:rPr>
                <w:rFonts w:ascii="微软雅黑" w:hAnsi="微软雅黑"/>
                <w:color w:val="333333"/>
                <w:sz w:val="24"/>
                <w:highlight w:val="none"/>
              </w:rPr>
            </w:pPr>
            <w:r>
              <w:rPr>
                <w:rFonts w:hint="eastAsia" w:ascii="仿宋" w:hAnsi="仿宋" w:eastAsia="仿宋"/>
                <w:sz w:val="22"/>
                <w:highlight w:val="none"/>
              </w:rPr>
              <w:t>……</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dstrike/>
                <w:sz w:val="24"/>
                <w:highlight w:val="none"/>
                <w:lang w:eastAsia="zh-CN"/>
              </w:rPr>
              <w:t>五</w:t>
            </w:r>
            <w:r>
              <w:rPr>
                <w:rFonts w:hint="eastAsia" w:ascii="仿宋" w:hAnsi="仿宋" w:eastAsia="仿宋"/>
                <w:b/>
                <w:sz w:val="24"/>
                <w:highlight w:val="none"/>
                <w:u w:val="single"/>
                <w:lang w:eastAsia="zh-CN"/>
              </w:rPr>
              <w:t>六</w:t>
            </w:r>
            <w:r>
              <w:rPr>
                <w:rFonts w:hint="eastAsia" w:ascii="仿宋" w:hAnsi="仿宋" w:eastAsia="仿宋"/>
                <w:b/>
                <w:sz w:val="24"/>
                <w:highlight w:val="none"/>
              </w:rPr>
              <w:t xml:space="preserve">条 </w:t>
            </w:r>
            <w:r>
              <w:rPr>
                <w:rFonts w:hint="eastAsia" w:ascii="仿宋" w:hAnsi="仿宋" w:eastAsia="仿宋"/>
                <w:sz w:val="24"/>
                <w:highlight w:val="none"/>
              </w:rPr>
              <w:t>会员的出金标准为：</w:t>
            </w:r>
          </w:p>
          <w:p>
            <w:pPr>
              <w:ind w:firstLine="440" w:firstLineChars="200"/>
              <w:rPr>
                <w:rFonts w:hint="eastAsia" w:ascii="仿宋" w:hAnsi="仿宋" w:eastAsia="仿宋"/>
                <w:sz w:val="22"/>
                <w:highlight w:val="none"/>
              </w:rPr>
            </w:pPr>
            <w:r>
              <w:rPr>
                <w:rFonts w:hint="eastAsia" w:ascii="仿宋" w:hAnsi="仿宋" w:eastAsia="仿宋"/>
                <w:sz w:val="22"/>
                <w:highlight w:val="none"/>
              </w:rPr>
              <w:t>……</w:t>
            </w:r>
          </w:p>
          <w:p>
            <w:pPr>
              <w:ind w:firstLine="480" w:firstLineChars="200"/>
              <w:rPr>
                <w:rFonts w:ascii="仿宋" w:hAnsi="仿宋" w:eastAsia="仿宋"/>
                <w:sz w:val="24"/>
                <w:highlight w:val="none"/>
              </w:rPr>
            </w:pPr>
            <w:r>
              <w:rPr>
                <w:rFonts w:hint="eastAsia" w:ascii="仿宋" w:hAnsi="仿宋" w:eastAsia="仿宋"/>
                <w:sz w:val="24"/>
                <w:highlight w:val="none"/>
              </w:rPr>
              <w:t>实有货币资金指实有人民币资金和外汇资金价值按照折扣比率折算后的人民币金额之和，外汇资金的折算方法见本</w:t>
            </w:r>
            <w:r>
              <w:rPr>
                <w:rFonts w:hint="eastAsia" w:ascii="仿宋" w:hAnsi="仿宋" w:eastAsia="仿宋"/>
                <w:sz w:val="24"/>
                <w:highlight w:val="none"/>
                <w:lang w:val="en-US" w:eastAsia="zh-CN"/>
              </w:rPr>
              <w:t>办法</w:t>
            </w:r>
            <w:r>
              <w:rPr>
                <w:rFonts w:hint="eastAsia" w:ascii="仿宋" w:hAnsi="仿宋" w:eastAsia="仿宋"/>
                <w:sz w:val="24"/>
                <w:highlight w:val="none"/>
              </w:rPr>
              <w:t>第</w:t>
            </w:r>
            <w:r>
              <w:rPr>
                <w:rFonts w:hint="eastAsia" w:ascii="仿宋" w:hAnsi="仿宋" w:eastAsia="仿宋"/>
                <w:dstrike/>
                <w:sz w:val="24"/>
                <w:highlight w:val="none"/>
              </w:rPr>
              <w:t>六</w:t>
            </w:r>
            <w:r>
              <w:rPr>
                <w:rFonts w:hint="eastAsia" w:ascii="仿宋" w:hAnsi="仿宋" w:eastAsia="仿宋"/>
                <w:b/>
                <w:sz w:val="24"/>
                <w:highlight w:val="none"/>
                <w:u w:val="single"/>
              </w:rPr>
              <w:t>七</w:t>
            </w:r>
            <w:r>
              <w:rPr>
                <w:rFonts w:hint="eastAsia" w:ascii="仿宋" w:hAnsi="仿宋" w:eastAsia="仿宋"/>
                <w:sz w:val="24"/>
                <w:highlight w:val="none"/>
              </w:rPr>
              <w:t>章有关规定。</w:t>
            </w:r>
          </w:p>
          <w:p>
            <w:pPr>
              <w:ind w:firstLine="440" w:firstLineChars="200"/>
              <w:rPr>
                <w:rFonts w:ascii="仿宋" w:hAnsi="仿宋" w:eastAsia="仿宋"/>
                <w:sz w:val="24"/>
                <w:highlight w:val="none"/>
              </w:rPr>
            </w:pPr>
            <w:r>
              <w:rPr>
                <w:rFonts w:hint="eastAsia" w:ascii="仿宋" w:hAnsi="仿宋" w:eastAsia="仿宋"/>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sz w:val="24"/>
                <w:highlight w:val="none"/>
                <w:lang w:eastAsia="zh-CN"/>
              </w:rPr>
              <w:t>六</w:t>
            </w:r>
            <w:r>
              <w:rPr>
                <w:rFonts w:hint="eastAsia" w:ascii="仿宋" w:hAnsi="仿宋" w:eastAsia="仿宋"/>
                <w:b/>
                <w:sz w:val="24"/>
                <w:highlight w:val="none"/>
              </w:rPr>
              <w:t>条</w:t>
            </w:r>
            <w:r>
              <w:rPr>
                <w:rFonts w:hint="eastAsia" w:ascii="仿宋" w:hAnsi="仿宋" w:eastAsia="仿宋"/>
                <w:sz w:val="24"/>
                <w:highlight w:val="none"/>
              </w:rPr>
              <w:t xml:space="preserve"> 会员、境外经纪机构或者客户有下列情况之一的，交易所可以限制会员出金，要求会员限制其客户、境外经纪机构出金，以及要求境外经纪机构配合限制客户出金：</w:t>
            </w:r>
          </w:p>
          <w:p>
            <w:pPr>
              <w:ind w:firstLine="480" w:firstLineChars="200"/>
              <w:rPr>
                <w:rFonts w:ascii="仿宋" w:hAnsi="仿宋" w:eastAsia="仿宋"/>
                <w:sz w:val="24"/>
                <w:highlight w:val="none"/>
              </w:rPr>
            </w:pPr>
            <w:r>
              <w:rPr>
                <w:rFonts w:hint="eastAsia" w:ascii="仿宋" w:hAnsi="仿宋" w:eastAsia="仿宋"/>
                <w:sz w:val="24"/>
                <w:highlight w:val="none"/>
              </w:rPr>
              <w:t>（一）涉嫌重大违规，经交易所立案调查的；</w:t>
            </w:r>
          </w:p>
          <w:p>
            <w:pPr>
              <w:ind w:firstLine="480" w:firstLineChars="200"/>
              <w:rPr>
                <w:rFonts w:ascii="仿宋" w:hAnsi="仿宋" w:eastAsia="仿宋"/>
                <w:sz w:val="24"/>
                <w:highlight w:val="none"/>
              </w:rPr>
            </w:pPr>
            <w:r>
              <w:rPr>
                <w:rFonts w:hint="eastAsia" w:ascii="仿宋" w:hAnsi="仿宋" w:eastAsia="仿宋"/>
                <w:sz w:val="24"/>
                <w:highlight w:val="none"/>
              </w:rPr>
              <w:t>（二）因投诉、举报、交易纠纷等被司法部门、交易所或者其他有关部门正式立案调查，且正处在调查期间的；</w:t>
            </w:r>
          </w:p>
          <w:p>
            <w:pPr>
              <w:ind w:firstLine="480" w:firstLineChars="200"/>
              <w:rPr>
                <w:rFonts w:ascii="仿宋" w:hAnsi="仿宋" w:eastAsia="仿宋"/>
                <w:sz w:val="24"/>
                <w:highlight w:val="none"/>
              </w:rPr>
            </w:pPr>
            <w:r>
              <w:rPr>
                <w:rFonts w:hint="eastAsia" w:ascii="仿宋" w:hAnsi="仿宋" w:eastAsia="仿宋"/>
                <w:sz w:val="24"/>
                <w:highlight w:val="none"/>
              </w:rPr>
              <w:t>（三）交易所认为市场出现重大风险的；</w:t>
            </w:r>
          </w:p>
          <w:p>
            <w:pPr>
              <w:ind w:firstLine="480" w:firstLineChars="200"/>
              <w:rPr>
                <w:rFonts w:ascii="仿宋" w:hAnsi="仿宋" w:eastAsia="仿宋"/>
                <w:sz w:val="24"/>
                <w:highlight w:val="none"/>
              </w:rPr>
            </w:pPr>
            <w:r>
              <w:rPr>
                <w:rFonts w:hint="eastAsia" w:ascii="仿宋" w:hAnsi="仿宋" w:eastAsia="仿宋"/>
                <w:sz w:val="24"/>
                <w:highlight w:val="none"/>
              </w:rPr>
              <w:t>（四）会员未在规定的时间内补足人民币至结算准备金最低余额或不配合交易所为其客户、境外经纪机构进行结购汇的；</w:t>
            </w:r>
          </w:p>
          <w:p>
            <w:pPr>
              <w:ind w:firstLine="480" w:firstLineChars="200"/>
              <w:rPr>
                <w:rFonts w:ascii="仿宋" w:hAnsi="仿宋" w:eastAsia="仿宋"/>
                <w:sz w:val="24"/>
                <w:highlight w:val="none"/>
              </w:rPr>
            </w:pPr>
            <w:r>
              <w:rPr>
                <w:rFonts w:hint="eastAsia" w:ascii="仿宋" w:hAnsi="仿宋" w:eastAsia="仿宋"/>
                <w:sz w:val="24"/>
                <w:highlight w:val="none"/>
              </w:rPr>
              <w:t>（五）交易所认为必要的其他情况。</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dstrike/>
                <w:sz w:val="24"/>
                <w:highlight w:val="none"/>
                <w:lang w:eastAsia="zh-CN"/>
              </w:rPr>
              <w:t>六</w:t>
            </w:r>
            <w:r>
              <w:rPr>
                <w:rFonts w:hint="eastAsia" w:ascii="仿宋" w:hAnsi="仿宋" w:eastAsia="仿宋"/>
                <w:b/>
                <w:sz w:val="24"/>
                <w:highlight w:val="none"/>
                <w:u w:val="single"/>
                <w:lang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机构或者客户有下列情况之一的，交易所可以限制会员出金，要求会员限制其客户、</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机构出金，以及要求</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机构配合限制客户出金：</w:t>
            </w:r>
          </w:p>
          <w:p>
            <w:pPr>
              <w:ind w:firstLine="480" w:firstLineChars="200"/>
              <w:rPr>
                <w:rFonts w:ascii="仿宋" w:hAnsi="仿宋" w:eastAsia="仿宋"/>
                <w:sz w:val="24"/>
                <w:highlight w:val="none"/>
              </w:rPr>
            </w:pPr>
            <w:r>
              <w:rPr>
                <w:rFonts w:hint="eastAsia" w:ascii="仿宋" w:hAnsi="仿宋" w:eastAsia="仿宋"/>
                <w:sz w:val="24"/>
                <w:highlight w:val="none"/>
              </w:rPr>
              <w:t>（一）涉嫌重大违规，经交易所立案调查的；</w:t>
            </w:r>
          </w:p>
          <w:p>
            <w:pPr>
              <w:ind w:firstLine="480" w:firstLineChars="200"/>
              <w:rPr>
                <w:rFonts w:ascii="仿宋" w:hAnsi="仿宋" w:eastAsia="仿宋"/>
                <w:sz w:val="24"/>
                <w:highlight w:val="none"/>
              </w:rPr>
            </w:pPr>
            <w:r>
              <w:rPr>
                <w:rFonts w:hint="eastAsia" w:ascii="仿宋" w:hAnsi="仿宋" w:eastAsia="仿宋"/>
                <w:sz w:val="24"/>
                <w:highlight w:val="none"/>
              </w:rPr>
              <w:t>（二）因投诉、举报、交易纠纷等被司法部门、交易所或者其他有关部门正式立案调查，且正处在调查期间的；</w:t>
            </w:r>
          </w:p>
          <w:p>
            <w:pPr>
              <w:ind w:firstLine="480" w:firstLineChars="200"/>
              <w:rPr>
                <w:rFonts w:ascii="仿宋" w:hAnsi="仿宋" w:eastAsia="仿宋"/>
                <w:sz w:val="24"/>
                <w:highlight w:val="none"/>
              </w:rPr>
            </w:pPr>
            <w:r>
              <w:rPr>
                <w:rFonts w:hint="eastAsia" w:ascii="仿宋" w:hAnsi="仿宋" w:eastAsia="仿宋"/>
                <w:sz w:val="24"/>
                <w:highlight w:val="none"/>
              </w:rPr>
              <w:t>（三）交易所认为市场出现重大风险的；</w:t>
            </w:r>
          </w:p>
          <w:p>
            <w:pPr>
              <w:ind w:firstLine="480" w:firstLineChars="200"/>
              <w:rPr>
                <w:rFonts w:ascii="仿宋" w:hAnsi="仿宋" w:eastAsia="仿宋"/>
                <w:sz w:val="24"/>
                <w:highlight w:val="none"/>
              </w:rPr>
            </w:pPr>
            <w:r>
              <w:rPr>
                <w:rFonts w:hint="eastAsia" w:ascii="仿宋" w:hAnsi="仿宋" w:eastAsia="仿宋"/>
                <w:sz w:val="24"/>
                <w:highlight w:val="none"/>
              </w:rPr>
              <w:t>（四）会员未在规定的时间内补足人民币至结算准备金最低余额或不配合交易所为其客户、</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机构进行结购汇的；</w:t>
            </w:r>
          </w:p>
          <w:p>
            <w:pPr>
              <w:ind w:firstLine="480" w:firstLineChars="200"/>
              <w:rPr>
                <w:rFonts w:ascii="仿宋" w:hAnsi="仿宋" w:eastAsia="仿宋"/>
                <w:sz w:val="24"/>
                <w:highlight w:val="none"/>
              </w:rPr>
            </w:pPr>
            <w:r>
              <w:rPr>
                <w:rFonts w:hint="eastAsia" w:ascii="仿宋" w:hAnsi="仿宋" w:eastAsia="仿宋"/>
                <w:sz w:val="24"/>
                <w:highlight w:val="none"/>
              </w:rPr>
              <w:t>（五）交易所认为必要的其他情况。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第三十</w:t>
            </w:r>
            <w:r>
              <w:rPr>
                <w:rFonts w:hint="eastAsia" w:ascii="仿宋" w:hAnsi="仿宋" w:eastAsia="仿宋"/>
                <w:b/>
                <w:sz w:val="24"/>
                <w:highlight w:val="none"/>
                <w:lang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当日交易结束后，交易所对每一会员的盈亏、交易手续费、保证金等款项进行结算。交易所采用发放纸质结算单据或电子结算单据等方式向会员提供当日结算数据。结算数据是会员核对当日有关交易并对客户结算的依据。因特殊情况不能按时提供结算数据的，交易所另行通知提供结算数据的时间。</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dstrike w:val="0"/>
                <w:sz w:val="24"/>
                <w:highlight w:val="none"/>
              </w:rPr>
              <w:t>三十</w:t>
            </w:r>
            <w:r>
              <w:rPr>
                <w:rFonts w:hint="eastAsia" w:ascii="仿宋" w:hAnsi="仿宋" w:eastAsia="仿宋"/>
                <w:b/>
                <w:dstrike/>
                <w:sz w:val="24"/>
                <w:highlight w:val="none"/>
                <w:lang w:eastAsia="zh-CN"/>
              </w:rPr>
              <w:t>七</w:t>
            </w:r>
            <w:r>
              <w:rPr>
                <w:rFonts w:hint="eastAsia" w:ascii="仿宋" w:hAnsi="仿宋" w:eastAsia="仿宋"/>
                <w:b/>
                <w:sz w:val="24"/>
                <w:highlight w:val="none"/>
                <w:u w:val="single"/>
                <w:lang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当日交易结束后，交易所对每一会员的盈亏、交易手续费、保证金等款项进行结算。交易所采用发放纸质结算单据或电子结算单据等方式向会员提供当日结算数据。结算数据是会员核对当日有关交易并对</w:t>
            </w:r>
            <w:r>
              <w:rPr>
                <w:rFonts w:hint="eastAsia" w:ascii="仿宋" w:hAnsi="仿宋" w:eastAsia="仿宋"/>
                <w:dstrike/>
                <w:sz w:val="24"/>
                <w:highlight w:val="none"/>
              </w:rPr>
              <w:t>客户</w:t>
            </w:r>
            <w:r>
              <w:rPr>
                <w:rFonts w:hint="eastAsia" w:ascii="仿宋" w:hAnsi="仿宋" w:eastAsia="仿宋"/>
                <w:b/>
                <w:sz w:val="24"/>
                <w:highlight w:val="none"/>
                <w:u w:val="single"/>
              </w:rPr>
              <w:t>结算交割委托人</w:t>
            </w:r>
            <w:r>
              <w:rPr>
                <w:rFonts w:hint="eastAsia" w:ascii="仿宋" w:hAnsi="仿宋" w:eastAsia="仿宋"/>
                <w:sz w:val="24"/>
                <w:highlight w:val="none"/>
              </w:rPr>
              <w:t>结算的依据。因特殊情况不能按时提供结算数据的，交易所另行通知提供结算数据的时间。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hint="eastAsia" w:ascii="仿宋" w:hAnsi="仿宋" w:eastAsia="仿宋"/>
                <w:sz w:val="24"/>
                <w:highlight w:val="none"/>
              </w:rPr>
            </w:pPr>
            <w:r>
              <w:rPr>
                <w:rFonts w:hint="eastAsia" w:ascii="仿宋" w:hAnsi="仿宋" w:eastAsia="仿宋"/>
                <w:b/>
                <w:bCs/>
                <w:sz w:val="24"/>
                <w:highlight w:val="none"/>
              </w:rPr>
              <w:t>第四十</w:t>
            </w:r>
            <w:r>
              <w:rPr>
                <w:rFonts w:hint="eastAsia" w:ascii="仿宋" w:hAnsi="仿宋" w:eastAsia="仿宋"/>
                <w:b/>
                <w:bCs/>
                <w:sz w:val="24"/>
                <w:highlight w:val="none"/>
                <w:lang w:eastAsia="zh-CN"/>
              </w:rPr>
              <w:t>一</w:t>
            </w:r>
            <w:r>
              <w:rPr>
                <w:rFonts w:hint="eastAsia" w:ascii="仿宋" w:hAnsi="仿宋" w:eastAsia="仿宋"/>
                <w:b/>
                <w:bCs/>
                <w:sz w:val="24"/>
                <w:highlight w:val="none"/>
              </w:rPr>
              <w:t>条</w:t>
            </w:r>
            <w:r>
              <w:rPr>
                <w:rFonts w:hint="eastAsia" w:ascii="仿宋" w:hAnsi="仿宋" w:eastAsia="仿宋"/>
                <w:sz w:val="24"/>
                <w:highlight w:val="none"/>
              </w:rPr>
              <w:t xml:space="preserve"> 会员发生下列情形之一的，可以申请移仓：</w:t>
            </w:r>
          </w:p>
          <w:p>
            <w:pPr>
              <w:ind w:firstLine="480" w:firstLineChars="200"/>
              <w:rPr>
                <w:rFonts w:hint="eastAsia" w:ascii="仿宋" w:hAnsi="仿宋" w:eastAsia="仿宋"/>
                <w:sz w:val="24"/>
                <w:highlight w:val="none"/>
              </w:rPr>
            </w:pPr>
            <w:r>
              <w:rPr>
                <w:rFonts w:hint="eastAsia" w:ascii="仿宋" w:hAnsi="仿宋" w:eastAsia="仿宋"/>
                <w:sz w:val="24"/>
                <w:highlight w:val="none"/>
              </w:rPr>
              <w:t>（一）因故不能从事期货业务，或者发生经监管部门批准的合并、分立、破产的；</w:t>
            </w:r>
          </w:p>
          <w:p>
            <w:pPr>
              <w:ind w:firstLine="480" w:firstLineChars="200"/>
              <w:rPr>
                <w:rFonts w:hint="eastAsia" w:ascii="仿宋" w:hAnsi="仿宋" w:eastAsia="仿宋"/>
                <w:sz w:val="24"/>
                <w:highlight w:val="none"/>
              </w:rPr>
            </w:pPr>
            <w:r>
              <w:rPr>
                <w:rFonts w:hint="eastAsia" w:ascii="仿宋" w:hAnsi="仿宋" w:eastAsia="仿宋"/>
                <w:sz w:val="24"/>
                <w:highlight w:val="none"/>
              </w:rPr>
              <w:t>（二）违反《郑州商品交易所期货交易风险控制管理办法》，引发交易、交割违规、违约风险的；</w:t>
            </w:r>
          </w:p>
          <w:p>
            <w:pPr>
              <w:ind w:firstLine="480" w:firstLineChars="200"/>
              <w:rPr>
                <w:rFonts w:hint="eastAsia" w:ascii="仿宋" w:hAnsi="仿宋" w:eastAsia="仿宋"/>
                <w:sz w:val="24"/>
                <w:highlight w:val="none"/>
              </w:rPr>
            </w:pPr>
            <w:r>
              <w:rPr>
                <w:rFonts w:hint="eastAsia" w:ascii="仿宋" w:hAnsi="仿宋" w:eastAsia="仿宋"/>
                <w:sz w:val="24"/>
                <w:highlight w:val="none"/>
              </w:rPr>
              <w:t>（三）变更与境外经纪机构委托关系的；</w:t>
            </w:r>
          </w:p>
          <w:p>
            <w:pPr>
              <w:ind w:firstLine="480" w:firstLineChars="200"/>
              <w:rPr>
                <w:rFonts w:hint="eastAsia" w:ascii="仿宋" w:hAnsi="仿宋" w:eastAsia="仿宋"/>
                <w:sz w:val="24"/>
                <w:highlight w:val="none"/>
              </w:rPr>
            </w:pPr>
            <w:r>
              <w:rPr>
                <w:rFonts w:hint="eastAsia" w:ascii="仿宋" w:hAnsi="仿宋" w:eastAsia="仿宋"/>
                <w:sz w:val="24"/>
                <w:highlight w:val="none"/>
              </w:rPr>
              <w:t>（四）交易所认可的其他情形。</w:t>
            </w:r>
          </w:p>
          <w:p>
            <w:pPr>
              <w:ind w:firstLine="480" w:firstLineChars="200"/>
              <w:rPr>
                <w:rFonts w:hint="eastAsia" w:ascii="仿宋" w:hAnsi="仿宋" w:eastAsia="仿宋"/>
                <w:sz w:val="24"/>
                <w:highlight w:val="none"/>
              </w:rPr>
            </w:pPr>
            <w:r>
              <w:rPr>
                <w:rFonts w:hint="eastAsia" w:ascii="仿宋" w:hAnsi="仿宋" w:eastAsia="仿宋"/>
                <w:sz w:val="24"/>
                <w:highlight w:val="none"/>
              </w:rPr>
              <w:t>在会员出现破产等重大经营危机但未申请移仓的特殊情形下，为保护客户权益，交易所可以启动移仓。</w:t>
            </w:r>
          </w:p>
          <w:p>
            <w:pPr>
              <w:ind w:firstLine="481" w:firstLineChars="200"/>
              <w:rPr>
                <w:rFonts w:hint="eastAsia" w:ascii="仿宋" w:hAnsi="仿宋" w:eastAsia="仿宋"/>
                <w:sz w:val="24"/>
                <w:highlight w:val="none"/>
              </w:rPr>
            </w:pPr>
            <w:r>
              <w:rPr>
                <w:rFonts w:hint="eastAsia" w:ascii="仿宋" w:hAnsi="仿宋" w:eastAsia="仿宋"/>
                <w:b/>
                <w:bCs/>
                <w:sz w:val="24"/>
                <w:highlight w:val="none"/>
              </w:rPr>
              <w:t>第四十</w:t>
            </w:r>
            <w:r>
              <w:rPr>
                <w:rFonts w:hint="eastAsia" w:ascii="仿宋" w:hAnsi="仿宋" w:eastAsia="仿宋"/>
                <w:b/>
                <w:bCs/>
                <w:sz w:val="24"/>
                <w:highlight w:val="none"/>
                <w:lang w:eastAsia="zh-CN"/>
              </w:rPr>
              <w:t>二</w:t>
            </w:r>
            <w:r>
              <w:rPr>
                <w:rFonts w:hint="eastAsia" w:ascii="仿宋" w:hAnsi="仿宋" w:eastAsia="仿宋"/>
                <w:b/>
                <w:bCs/>
                <w:sz w:val="24"/>
                <w:highlight w:val="none"/>
              </w:rPr>
              <w:t>条</w:t>
            </w:r>
            <w:r>
              <w:rPr>
                <w:rFonts w:hint="eastAsia" w:ascii="仿宋" w:hAnsi="仿宋" w:eastAsia="仿宋"/>
                <w:sz w:val="24"/>
                <w:highlight w:val="none"/>
              </w:rPr>
              <w:t xml:space="preserve"> 交易所办理本办法第四十</w:t>
            </w:r>
            <w:r>
              <w:rPr>
                <w:rFonts w:hint="eastAsia" w:ascii="仿宋" w:hAnsi="仿宋" w:eastAsia="仿宋"/>
                <w:sz w:val="24"/>
                <w:highlight w:val="none"/>
                <w:lang w:eastAsia="zh-CN"/>
              </w:rPr>
              <w:t>一</w:t>
            </w:r>
            <w:r>
              <w:rPr>
                <w:rFonts w:hint="eastAsia" w:ascii="仿宋" w:hAnsi="仿宋" w:eastAsia="仿宋"/>
                <w:sz w:val="24"/>
                <w:highlight w:val="none"/>
              </w:rPr>
              <w:t>条规定的移仓的，可以要求提供移入和移出会员同意移仓的声明书、客户同意移仓的声明书、变更委托关系声明书、相关持仓的详细清单等一项或者多项移仓申请材料。</w:t>
            </w:r>
          </w:p>
          <w:p>
            <w:pPr>
              <w:ind w:firstLine="440" w:firstLineChars="200"/>
              <w:rPr>
                <w:rFonts w:hint="eastAsia" w:ascii="仿宋" w:hAnsi="仿宋" w:eastAsia="仿宋"/>
                <w:sz w:val="22"/>
                <w:highlight w:val="none"/>
              </w:rPr>
            </w:pPr>
            <w:r>
              <w:rPr>
                <w:rFonts w:hint="eastAsia" w:ascii="仿宋" w:hAnsi="仿宋" w:eastAsia="仿宋"/>
                <w:sz w:val="22"/>
                <w:highlight w:val="none"/>
              </w:rPr>
              <w:t>……</w:t>
            </w:r>
          </w:p>
          <w:p>
            <w:pPr>
              <w:ind w:firstLine="481" w:firstLineChars="200"/>
              <w:rPr>
                <w:rFonts w:hint="eastAsia" w:ascii="仿宋" w:hAnsi="仿宋" w:eastAsia="仿宋"/>
                <w:sz w:val="24"/>
                <w:highlight w:val="none"/>
              </w:rPr>
            </w:pPr>
            <w:r>
              <w:rPr>
                <w:rFonts w:hint="eastAsia" w:ascii="仿宋" w:hAnsi="仿宋" w:eastAsia="仿宋"/>
                <w:b/>
                <w:bCs/>
                <w:sz w:val="24"/>
                <w:highlight w:val="none"/>
              </w:rPr>
              <w:t>第四十</w:t>
            </w:r>
            <w:r>
              <w:rPr>
                <w:rFonts w:hint="eastAsia" w:ascii="仿宋" w:hAnsi="仿宋" w:eastAsia="仿宋"/>
                <w:b/>
                <w:bCs/>
                <w:sz w:val="24"/>
                <w:highlight w:val="none"/>
                <w:lang w:eastAsia="zh-CN"/>
              </w:rPr>
              <w:t>三</w:t>
            </w:r>
            <w:r>
              <w:rPr>
                <w:rFonts w:hint="eastAsia" w:ascii="仿宋" w:hAnsi="仿宋" w:eastAsia="仿宋"/>
                <w:b/>
                <w:bCs/>
                <w:sz w:val="24"/>
                <w:highlight w:val="none"/>
              </w:rPr>
              <w:t>条</w:t>
            </w:r>
            <w:r>
              <w:rPr>
                <w:rFonts w:hint="eastAsia" w:ascii="仿宋" w:hAnsi="仿宋" w:eastAsia="仿宋"/>
                <w:sz w:val="24"/>
                <w:highlight w:val="none"/>
              </w:rPr>
              <w:t xml:space="preserve"> 客户发生下列情形之一的，可以申请移仓：</w:t>
            </w:r>
          </w:p>
          <w:p>
            <w:pPr>
              <w:ind w:firstLine="480" w:firstLineChars="200"/>
              <w:rPr>
                <w:rFonts w:hint="eastAsia" w:ascii="仿宋" w:hAnsi="仿宋" w:eastAsia="仿宋"/>
                <w:sz w:val="24"/>
                <w:highlight w:val="none"/>
              </w:rPr>
            </w:pPr>
            <w:r>
              <w:rPr>
                <w:rFonts w:hint="eastAsia" w:ascii="仿宋" w:hAnsi="仿宋" w:eastAsia="仿宋"/>
                <w:sz w:val="24"/>
                <w:highlight w:val="none"/>
              </w:rPr>
              <w:t>（一）同一客户通过不同期货公司会员从事期货交易的；</w:t>
            </w:r>
          </w:p>
          <w:p>
            <w:pPr>
              <w:ind w:firstLine="480" w:firstLineChars="200"/>
              <w:rPr>
                <w:rFonts w:hint="eastAsia" w:ascii="仿宋" w:hAnsi="仿宋" w:eastAsia="仿宋"/>
                <w:sz w:val="24"/>
                <w:highlight w:val="none"/>
              </w:rPr>
            </w:pPr>
            <w:r>
              <w:rPr>
                <w:rFonts w:hint="eastAsia" w:ascii="仿宋" w:hAnsi="仿宋" w:eastAsia="仿宋"/>
                <w:sz w:val="24"/>
                <w:highlight w:val="none"/>
              </w:rPr>
              <w:t>（二）交易所认可的其他情形。</w:t>
            </w:r>
          </w:p>
          <w:p>
            <w:pPr>
              <w:ind w:firstLine="480" w:firstLineChars="200"/>
              <w:rPr>
                <w:rFonts w:hint="eastAsia" w:ascii="仿宋" w:hAnsi="仿宋" w:eastAsia="仿宋"/>
                <w:sz w:val="24"/>
                <w:highlight w:val="none"/>
              </w:rPr>
            </w:pPr>
            <w:r>
              <w:rPr>
                <w:rFonts w:hint="eastAsia" w:ascii="仿宋" w:hAnsi="仿宋" w:eastAsia="仿宋"/>
                <w:sz w:val="24"/>
                <w:highlight w:val="none"/>
              </w:rPr>
              <w:t>非期货公司会员移仓可以参照本条办理。</w:t>
            </w:r>
          </w:p>
          <w:p>
            <w:pPr>
              <w:ind w:firstLine="481" w:firstLineChars="200"/>
              <w:rPr>
                <w:rFonts w:hint="eastAsia" w:ascii="仿宋" w:hAnsi="仿宋" w:eastAsia="仿宋"/>
                <w:sz w:val="24"/>
                <w:highlight w:val="none"/>
              </w:rPr>
            </w:pPr>
            <w:r>
              <w:rPr>
                <w:rFonts w:hint="eastAsia" w:ascii="仿宋" w:hAnsi="仿宋" w:eastAsia="仿宋"/>
                <w:b/>
                <w:bCs/>
                <w:sz w:val="24"/>
                <w:highlight w:val="none"/>
              </w:rPr>
              <w:t>第四十</w:t>
            </w:r>
            <w:r>
              <w:rPr>
                <w:rFonts w:hint="eastAsia" w:ascii="仿宋" w:hAnsi="仿宋" w:eastAsia="仿宋"/>
                <w:b/>
                <w:bCs/>
                <w:sz w:val="24"/>
                <w:highlight w:val="none"/>
                <w:lang w:eastAsia="zh-CN"/>
              </w:rPr>
              <w:t>四</w:t>
            </w:r>
            <w:r>
              <w:rPr>
                <w:rFonts w:hint="eastAsia" w:ascii="仿宋" w:hAnsi="仿宋" w:eastAsia="仿宋"/>
                <w:b/>
                <w:bCs/>
                <w:sz w:val="24"/>
                <w:highlight w:val="none"/>
              </w:rPr>
              <w:t>条</w:t>
            </w:r>
            <w:r>
              <w:rPr>
                <w:rFonts w:hint="eastAsia" w:ascii="仿宋" w:hAnsi="仿宋" w:eastAsia="仿宋"/>
                <w:sz w:val="24"/>
                <w:highlight w:val="none"/>
              </w:rPr>
              <w:t xml:space="preserve"> 本办法第四十</w:t>
            </w:r>
            <w:r>
              <w:rPr>
                <w:rFonts w:hint="eastAsia" w:ascii="仿宋" w:hAnsi="仿宋" w:eastAsia="仿宋"/>
                <w:sz w:val="24"/>
                <w:highlight w:val="none"/>
                <w:lang w:eastAsia="zh-CN"/>
              </w:rPr>
              <w:t>三</w:t>
            </w:r>
            <w:r>
              <w:rPr>
                <w:rFonts w:hint="eastAsia" w:ascii="仿宋" w:hAnsi="仿宋" w:eastAsia="仿宋"/>
                <w:sz w:val="24"/>
                <w:highlight w:val="none"/>
              </w:rPr>
              <w:t>条规定的移仓由客户通过移出会员提出申请或者由非期货公司会员自行提出申请，经移入会员确认后提交至交易所。</w:t>
            </w:r>
          </w:p>
          <w:p>
            <w:pPr>
              <w:ind w:firstLine="480" w:firstLineChars="200"/>
              <w:rPr>
                <w:rFonts w:hint="eastAsia" w:ascii="仿宋" w:hAnsi="仿宋" w:eastAsia="仿宋"/>
                <w:sz w:val="24"/>
                <w:highlight w:val="none"/>
              </w:rPr>
            </w:pPr>
            <w:r>
              <w:rPr>
                <w:rFonts w:hint="eastAsia" w:ascii="仿宋" w:hAnsi="仿宋" w:eastAsia="仿宋"/>
                <w:sz w:val="24"/>
                <w:highlight w:val="none"/>
              </w:rPr>
              <w:t>交易所在申请的当日内予以审批，并在当日下午闭市后办理移仓。</w:t>
            </w:r>
          </w:p>
          <w:p>
            <w:pPr>
              <w:ind w:firstLine="480" w:firstLineChars="200"/>
              <w:rPr>
                <w:rFonts w:hint="eastAsia" w:ascii="仿宋" w:hAnsi="仿宋" w:eastAsia="仿宋"/>
                <w:sz w:val="24"/>
                <w:highlight w:val="none"/>
              </w:rPr>
            </w:pPr>
            <w:r>
              <w:rPr>
                <w:rFonts w:hint="eastAsia" w:ascii="仿宋" w:hAnsi="仿宋" w:eastAsia="仿宋"/>
                <w:sz w:val="24"/>
                <w:highlight w:val="none"/>
              </w:rPr>
              <w:t>移仓内容包括客户或者非期货公司会员某一合约的持仓和需要转移的保证金。转移的保证金应当为人民币或者外汇资金。</w:t>
            </w:r>
          </w:p>
          <w:p>
            <w:pPr>
              <w:ind w:firstLine="480" w:firstLineChars="200"/>
              <w:rPr>
                <w:rFonts w:ascii="仿宋" w:hAnsi="仿宋" w:eastAsia="仿宋"/>
                <w:sz w:val="24"/>
                <w:highlight w:val="none"/>
              </w:rPr>
            </w:pPr>
            <w:r>
              <w:rPr>
                <w:rFonts w:hint="eastAsia" w:ascii="仿宋" w:hAnsi="仿宋" w:eastAsia="仿宋"/>
                <w:sz w:val="24"/>
                <w:highlight w:val="none"/>
              </w:rPr>
              <w:t>交易所从移入会员的结算准备金中扣划移仓手续费。移仓手续费标准由交易所另行公布。</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hint="eastAsia" w:ascii="仿宋" w:hAnsi="仿宋" w:eastAsia="仿宋"/>
                <w:sz w:val="24"/>
                <w:highlight w:val="none"/>
              </w:rPr>
            </w:pPr>
            <w:r>
              <w:rPr>
                <w:rFonts w:hint="eastAsia" w:ascii="仿宋" w:hAnsi="仿宋" w:eastAsia="仿宋"/>
                <w:b/>
                <w:bCs/>
                <w:sz w:val="24"/>
                <w:highlight w:val="none"/>
              </w:rPr>
              <w:t>第四十</w:t>
            </w:r>
            <w:r>
              <w:rPr>
                <w:rFonts w:hint="eastAsia" w:ascii="仿宋" w:hAnsi="仿宋" w:eastAsia="仿宋"/>
                <w:b/>
                <w:dstrike/>
                <w:sz w:val="24"/>
                <w:highlight w:val="none"/>
                <w:lang w:eastAsia="zh-CN"/>
              </w:rPr>
              <w:t>一</w:t>
            </w:r>
            <w:r>
              <w:rPr>
                <w:rFonts w:hint="eastAsia" w:ascii="仿宋" w:hAnsi="仿宋" w:eastAsia="仿宋"/>
                <w:b/>
                <w:sz w:val="24"/>
                <w:highlight w:val="none"/>
                <w:u w:val="single"/>
                <w:lang w:eastAsia="zh-CN"/>
              </w:rPr>
              <w:t>二</w:t>
            </w:r>
            <w:r>
              <w:rPr>
                <w:rFonts w:hint="eastAsia" w:ascii="仿宋" w:hAnsi="仿宋" w:eastAsia="仿宋"/>
                <w:b/>
                <w:bCs/>
                <w:sz w:val="24"/>
                <w:highlight w:val="none"/>
              </w:rPr>
              <w:t>条</w:t>
            </w:r>
            <w:r>
              <w:rPr>
                <w:rFonts w:hint="eastAsia" w:ascii="仿宋" w:hAnsi="仿宋" w:eastAsia="仿宋"/>
                <w:sz w:val="24"/>
                <w:highlight w:val="none"/>
              </w:rPr>
              <w:t xml:space="preserve"> 会员发生下列情形之一的，可以申请移仓：</w:t>
            </w:r>
          </w:p>
          <w:p>
            <w:pPr>
              <w:ind w:firstLine="480" w:firstLineChars="200"/>
              <w:rPr>
                <w:rFonts w:hint="eastAsia" w:ascii="仿宋" w:hAnsi="仿宋" w:eastAsia="仿宋"/>
                <w:sz w:val="24"/>
                <w:highlight w:val="none"/>
              </w:rPr>
            </w:pPr>
            <w:r>
              <w:rPr>
                <w:rFonts w:hint="eastAsia" w:ascii="仿宋" w:hAnsi="仿宋" w:eastAsia="仿宋"/>
                <w:sz w:val="24"/>
                <w:highlight w:val="none"/>
              </w:rPr>
              <w:t>（一）因故不能从事期货业务，或者发生经监管部门批准的合并、分立、破产的；</w:t>
            </w:r>
          </w:p>
          <w:p>
            <w:pPr>
              <w:ind w:firstLine="480" w:firstLineChars="200"/>
              <w:rPr>
                <w:rFonts w:hint="eastAsia" w:ascii="仿宋" w:hAnsi="仿宋" w:eastAsia="仿宋"/>
                <w:sz w:val="24"/>
                <w:highlight w:val="none"/>
              </w:rPr>
            </w:pPr>
            <w:r>
              <w:rPr>
                <w:rFonts w:hint="eastAsia" w:ascii="仿宋" w:hAnsi="仿宋" w:eastAsia="仿宋"/>
                <w:sz w:val="24"/>
                <w:highlight w:val="none"/>
              </w:rPr>
              <w:t>（二）违反《郑州商品交易所期货交易风险控制管理办法》，引发交易、交割违规、违约风险的；</w:t>
            </w:r>
          </w:p>
          <w:p>
            <w:pPr>
              <w:ind w:firstLine="480" w:firstLineChars="200"/>
              <w:rPr>
                <w:rFonts w:hint="eastAsia" w:ascii="仿宋" w:hAnsi="仿宋" w:eastAsia="仿宋"/>
                <w:sz w:val="24"/>
                <w:highlight w:val="none"/>
              </w:rPr>
            </w:pPr>
            <w:r>
              <w:rPr>
                <w:rFonts w:hint="eastAsia" w:ascii="仿宋" w:hAnsi="仿宋" w:eastAsia="仿宋"/>
                <w:sz w:val="24"/>
                <w:highlight w:val="none"/>
              </w:rPr>
              <w:t>（三）变更</w:t>
            </w:r>
            <w:r>
              <w:rPr>
                <w:rFonts w:hint="eastAsia" w:ascii="仿宋" w:hAnsi="仿宋" w:eastAsia="仿宋"/>
                <w:dstrike/>
                <w:sz w:val="24"/>
                <w:highlight w:val="none"/>
              </w:rPr>
              <w:t>与境外经纪机构</w:t>
            </w:r>
            <w:r>
              <w:rPr>
                <w:rFonts w:hint="eastAsia" w:ascii="仿宋" w:hAnsi="仿宋" w:eastAsia="仿宋"/>
                <w:sz w:val="24"/>
                <w:highlight w:val="none"/>
              </w:rPr>
              <w:t>委托</w:t>
            </w:r>
            <w:r>
              <w:rPr>
                <w:rFonts w:hint="eastAsia" w:ascii="仿宋" w:hAnsi="仿宋" w:eastAsia="仿宋"/>
                <w:b/>
                <w:sz w:val="24"/>
                <w:highlight w:val="none"/>
                <w:u w:val="single"/>
                <w:lang w:eastAsia="zh-CN"/>
              </w:rPr>
              <w:t>结算</w:t>
            </w:r>
            <w:r>
              <w:rPr>
                <w:rFonts w:hint="eastAsia" w:ascii="仿宋" w:hAnsi="仿宋" w:eastAsia="仿宋"/>
                <w:sz w:val="24"/>
                <w:highlight w:val="none"/>
              </w:rPr>
              <w:t>关系的；</w:t>
            </w:r>
          </w:p>
          <w:p>
            <w:pPr>
              <w:ind w:firstLine="480" w:firstLineChars="200"/>
              <w:rPr>
                <w:rFonts w:hint="eastAsia" w:ascii="仿宋" w:hAnsi="仿宋" w:eastAsia="仿宋"/>
                <w:sz w:val="24"/>
                <w:highlight w:val="none"/>
              </w:rPr>
            </w:pPr>
            <w:r>
              <w:rPr>
                <w:rFonts w:hint="eastAsia" w:ascii="仿宋" w:hAnsi="仿宋" w:eastAsia="仿宋"/>
                <w:sz w:val="24"/>
                <w:highlight w:val="none"/>
              </w:rPr>
              <w:t>（四）交易所认可的其他情形。</w:t>
            </w:r>
          </w:p>
          <w:p>
            <w:pPr>
              <w:ind w:firstLine="480" w:firstLineChars="200"/>
              <w:rPr>
                <w:rFonts w:hint="eastAsia" w:ascii="仿宋" w:hAnsi="仿宋" w:eastAsia="仿宋"/>
                <w:sz w:val="24"/>
                <w:highlight w:val="none"/>
              </w:rPr>
            </w:pPr>
            <w:r>
              <w:rPr>
                <w:rFonts w:hint="eastAsia" w:ascii="仿宋" w:hAnsi="仿宋" w:eastAsia="仿宋"/>
                <w:sz w:val="24"/>
                <w:highlight w:val="none"/>
              </w:rPr>
              <w:t>在会员出现破产等重大经营危机但未申请移仓的特殊情形下，为保护客户权益，交易所可以启动移仓。</w:t>
            </w:r>
          </w:p>
          <w:p>
            <w:pPr>
              <w:ind w:firstLine="481" w:firstLineChars="200"/>
              <w:rPr>
                <w:rFonts w:hint="eastAsia" w:ascii="仿宋" w:hAnsi="仿宋" w:eastAsia="仿宋"/>
                <w:sz w:val="24"/>
                <w:highlight w:val="none"/>
              </w:rPr>
            </w:pPr>
            <w:r>
              <w:rPr>
                <w:rFonts w:hint="eastAsia" w:ascii="仿宋" w:hAnsi="仿宋" w:eastAsia="仿宋"/>
                <w:b/>
                <w:bCs/>
                <w:sz w:val="24"/>
                <w:highlight w:val="none"/>
              </w:rPr>
              <w:t>第四十</w:t>
            </w:r>
            <w:r>
              <w:rPr>
                <w:rFonts w:hint="eastAsia" w:ascii="仿宋" w:hAnsi="仿宋" w:eastAsia="仿宋"/>
                <w:b/>
                <w:dstrike/>
                <w:sz w:val="24"/>
                <w:highlight w:val="none"/>
                <w:lang w:eastAsia="zh-CN"/>
              </w:rPr>
              <w:t>二</w:t>
            </w:r>
            <w:r>
              <w:rPr>
                <w:rFonts w:hint="eastAsia" w:ascii="仿宋" w:hAnsi="仿宋" w:eastAsia="仿宋"/>
                <w:b/>
                <w:sz w:val="24"/>
                <w:highlight w:val="none"/>
                <w:u w:val="single"/>
                <w:lang w:eastAsia="zh-CN"/>
              </w:rPr>
              <w:t>三</w:t>
            </w:r>
            <w:r>
              <w:rPr>
                <w:rFonts w:hint="eastAsia" w:ascii="仿宋" w:hAnsi="仿宋" w:eastAsia="仿宋"/>
                <w:b/>
                <w:bCs/>
                <w:sz w:val="24"/>
                <w:highlight w:val="none"/>
              </w:rPr>
              <w:t>条</w:t>
            </w:r>
            <w:r>
              <w:rPr>
                <w:rFonts w:hint="eastAsia" w:ascii="仿宋" w:hAnsi="仿宋" w:eastAsia="仿宋"/>
                <w:sz w:val="24"/>
                <w:highlight w:val="none"/>
              </w:rPr>
              <w:t xml:space="preserve"> 交易所办理本办法第四十</w:t>
            </w:r>
            <w:r>
              <w:rPr>
                <w:rFonts w:hint="eastAsia" w:ascii="仿宋" w:hAnsi="仿宋" w:eastAsia="仿宋"/>
                <w:dstrike/>
                <w:sz w:val="24"/>
                <w:highlight w:val="none"/>
                <w:lang w:eastAsia="zh-CN"/>
              </w:rPr>
              <w:t>一</w:t>
            </w:r>
            <w:r>
              <w:rPr>
                <w:rFonts w:hint="eastAsia" w:ascii="仿宋" w:hAnsi="仿宋" w:eastAsia="仿宋"/>
                <w:b/>
                <w:sz w:val="24"/>
                <w:highlight w:val="none"/>
                <w:u w:val="single"/>
                <w:lang w:eastAsia="zh-CN"/>
              </w:rPr>
              <w:t>二</w:t>
            </w:r>
            <w:r>
              <w:rPr>
                <w:rFonts w:hint="eastAsia" w:ascii="仿宋" w:hAnsi="仿宋" w:eastAsia="仿宋"/>
                <w:sz w:val="24"/>
                <w:highlight w:val="none"/>
              </w:rPr>
              <w:t>条规定的移仓的，可以要求提供移入和移出会员同意移仓的声明书、客户同意移仓的声明书、变更委托</w:t>
            </w:r>
            <w:r>
              <w:rPr>
                <w:rFonts w:hint="eastAsia" w:ascii="仿宋" w:hAnsi="仿宋" w:eastAsia="仿宋"/>
                <w:b/>
                <w:sz w:val="24"/>
                <w:highlight w:val="none"/>
                <w:u w:val="single"/>
                <w:lang w:eastAsia="zh-CN"/>
              </w:rPr>
              <w:t>结算</w:t>
            </w:r>
            <w:r>
              <w:rPr>
                <w:rFonts w:hint="eastAsia" w:ascii="仿宋" w:hAnsi="仿宋" w:eastAsia="仿宋"/>
                <w:sz w:val="24"/>
                <w:highlight w:val="none"/>
              </w:rPr>
              <w:t>关系声明书、相关持仓的详细清单等一项或者多项移仓申请材料。</w:t>
            </w:r>
          </w:p>
          <w:p>
            <w:pPr>
              <w:ind w:firstLine="440" w:firstLineChars="200"/>
              <w:rPr>
                <w:rFonts w:hint="eastAsia" w:ascii="仿宋" w:hAnsi="仿宋" w:eastAsia="仿宋"/>
                <w:sz w:val="22"/>
                <w:highlight w:val="none"/>
              </w:rPr>
            </w:pPr>
            <w:r>
              <w:rPr>
                <w:rFonts w:hint="eastAsia" w:ascii="仿宋" w:hAnsi="仿宋" w:eastAsia="仿宋"/>
                <w:sz w:val="22"/>
                <w:highlight w:val="none"/>
              </w:rPr>
              <w:t>……</w:t>
            </w:r>
          </w:p>
          <w:p>
            <w:pPr>
              <w:ind w:firstLine="481" w:firstLineChars="200"/>
              <w:rPr>
                <w:rFonts w:hint="eastAsia" w:ascii="仿宋" w:hAnsi="仿宋" w:eastAsia="仿宋"/>
                <w:sz w:val="24"/>
                <w:highlight w:val="none"/>
              </w:rPr>
            </w:pPr>
            <w:r>
              <w:rPr>
                <w:rFonts w:hint="eastAsia" w:ascii="仿宋" w:hAnsi="仿宋" w:eastAsia="仿宋"/>
                <w:b/>
                <w:bCs/>
                <w:sz w:val="24"/>
                <w:highlight w:val="none"/>
              </w:rPr>
              <w:t>第四十</w:t>
            </w:r>
            <w:r>
              <w:rPr>
                <w:rFonts w:hint="eastAsia" w:ascii="仿宋" w:hAnsi="仿宋" w:eastAsia="仿宋"/>
                <w:b/>
                <w:dstrike/>
                <w:sz w:val="24"/>
                <w:highlight w:val="none"/>
                <w:lang w:eastAsia="zh-CN"/>
              </w:rPr>
              <w:t>三</w:t>
            </w:r>
            <w:r>
              <w:rPr>
                <w:rFonts w:hint="eastAsia" w:ascii="仿宋" w:hAnsi="仿宋" w:eastAsia="仿宋"/>
                <w:b/>
                <w:sz w:val="24"/>
                <w:highlight w:val="none"/>
                <w:u w:val="single"/>
                <w:lang w:eastAsia="zh-CN"/>
              </w:rPr>
              <w:t>四</w:t>
            </w:r>
            <w:r>
              <w:rPr>
                <w:rFonts w:hint="eastAsia" w:ascii="仿宋" w:hAnsi="仿宋" w:eastAsia="仿宋"/>
                <w:b/>
                <w:bCs/>
                <w:sz w:val="24"/>
                <w:highlight w:val="none"/>
              </w:rPr>
              <w:t>条</w:t>
            </w:r>
            <w:r>
              <w:rPr>
                <w:rFonts w:hint="eastAsia" w:ascii="仿宋" w:hAnsi="仿宋" w:eastAsia="仿宋"/>
                <w:sz w:val="24"/>
                <w:highlight w:val="none"/>
              </w:rPr>
              <w:t xml:space="preserve"> 客户发生下列情形之一的，可以申请移仓：</w:t>
            </w:r>
          </w:p>
          <w:p>
            <w:pPr>
              <w:ind w:firstLine="480" w:firstLineChars="200"/>
              <w:rPr>
                <w:rFonts w:hint="eastAsia" w:ascii="仿宋" w:hAnsi="仿宋" w:eastAsia="仿宋"/>
                <w:sz w:val="24"/>
                <w:highlight w:val="none"/>
              </w:rPr>
            </w:pPr>
            <w:r>
              <w:rPr>
                <w:rFonts w:hint="eastAsia" w:ascii="仿宋" w:hAnsi="仿宋" w:eastAsia="仿宋"/>
                <w:sz w:val="24"/>
                <w:highlight w:val="none"/>
                <w:lang w:eastAsia="zh-CN"/>
              </w:rPr>
              <w:t>（一）</w:t>
            </w:r>
            <w:r>
              <w:rPr>
                <w:rFonts w:hint="eastAsia" w:ascii="仿宋" w:hAnsi="仿宋" w:eastAsia="仿宋"/>
                <w:sz w:val="24"/>
                <w:highlight w:val="none"/>
              </w:rPr>
              <w:t>同一客户通过不同期货公司会员从事期货交易的；</w:t>
            </w:r>
          </w:p>
          <w:p>
            <w:pPr>
              <w:ind w:firstLine="481" w:firstLineChars="200"/>
              <w:rPr>
                <w:rFonts w:hint="eastAsia" w:ascii="仿宋" w:hAnsi="仿宋" w:eastAsia="仿宋"/>
                <w:b/>
                <w:sz w:val="24"/>
                <w:highlight w:val="none"/>
                <w:u w:val="single"/>
                <w:lang w:eastAsia="zh-CN"/>
              </w:rPr>
            </w:pPr>
            <w:r>
              <w:rPr>
                <w:rFonts w:hint="eastAsia" w:ascii="仿宋" w:hAnsi="仿宋" w:eastAsia="仿宋"/>
                <w:b/>
                <w:sz w:val="24"/>
                <w:highlight w:val="none"/>
                <w:u w:val="single"/>
                <w:lang w:eastAsia="zh-CN"/>
              </w:rPr>
              <w:t>（二）同一客户通过不同境外特殊经纪参与者从事期货交易的；</w:t>
            </w:r>
          </w:p>
          <w:p>
            <w:pPr>
              <w:ind w:firstLine="481" w:firstLineChars="200"/>
              <w:rPr>
                <w:rFonts w:hint="eastAsia" w:ascii="仿宋" w:hAnsi="仿宋" w:eastAsia="仿宋"/>
                <w:b/>
                <w:sz w:val="24"/>
                <w:highlight w:val="none"/>
                <w:u w:val="single"/>
                <w:lang w:eastAsia="zh-CN"/>
              </w:rPr>
            </w:pPr>
            <w:r>
              <w:rPr>
                <w:rFonts w:hint="eastAsia" w:ascii="仿宋" w:hAnsi="仿宋" w:eastAsia="仿宋"/>
                <w:b/>
                <w:sz w:val="24"/>
                <w:highlight w:val="none"/>
                <w:u w:val="single"/>
                <w:lang w:eastAsia="zh-CN"/>
              </w:rPr>
              <w:t>（三）同一客户分别通过期货公司会员和境外特殊经纪参与者从事期货交易的；</w:t>
            </w:r>
          </w:p>
          <w:p>
            <w:pPr>
              <w:ind w:firstLine="480" w:firstLineChars="200"/>
              <w:rPr>
                <w:rFonts w:hint="eastAsia" w:ascii="仿宋" w:hAnsi="仿宋" w:eastAsia="仿宋"/>
                <w:sz w:val="24"/>
                <w:highlight w:val="none"/>
              </w:rPr>
            </w:pPr>
            <w:r>
              <w:rPr>
                <w:rFonts w:hint="eastAsia" w:ascii="仿宋" w:hAnsi="仿宋" w:eastAsia="仿宋"/>
                <w:dstrike/>
                <w:sz w:val="24"/>
                <w:highlight w:val="none"/>
              </w:rPr>
              <w:t>（二）</w:t>
            </w:r>
            <w:r>
              <w:rPr>
                <w:rFonts w:hint="eastAsia" w:ascii="仿宋" w:hAnsi="仿宋" w:eastAsia="仿宋"/>
                <w:b/>
                <w:sz w:val="24"/>
                <w:highlight w:val="none"/>
                <w:u w:val="single"/>
                <w:lang w:eastAsia="zh-CN"/>
              </w:rPr>
              <w:t>（四）</w:t>
            </w:r>
            <w:r>
              <w:rPr>
                <w:rFonts w:hint="eastAsia" w:ascii="仿宋" w:hAnsi="仿宋" w:eastAsia="仿宋"/>
                <w:sz w:val="24"/>
                <w:highlight w:val="none"/>
              </w:rPr>
              <w:t>交易所认可的其他情形。</w:t>
            </w:r>
          </w:p>
          <w:p>
            <w:pPr>
              <w:ind w:firstLine="480" w:firstLineChars="200"/>
              <w:rPr>
                <w:rFonts w:hint="eastAsia" w:ascii="仿宋" w:hAnsi="仿宋" w:eastAsia="仿宋"/>
                <w:sz w:val="24"/>
                <w:highlight w:val="none"/>
              </w:rPr>
            </w:pPr>
            <w:r>
              <w:rPr>
                <w:rFonts w:hint="eastAsia" w:ascii="仿宋" w:hAnsi="仿宋" w:eastAsia="仿宋"/>
                <w:sz w:val="24"/>
                <w:highlight w:val="none"/>
              </w:rPr>
              <w:t>非期货公司会员</w:t>
            </w:r>
            <w:r>
              <w:rPr>
                <w:rFonts w:hint="eastAsia" w:ascii="仿宋" w:hAnsi="仿宋" w:eastAsia="仿宋"/>
                <w:b/>
                <w:sz w:val="24"/>
                <w:highlight w:val="none"/>
                <w:u w:val="single"/>
                <w:lang w:eastAsia="zh-CN"/>
              </w:rPr>
              <w:t>或者境外特殊非经纪参与者</w:t>
            </w:r>
            <w:r>
              <w:rPr>
                <w:rFonts w:hint="eastAsia" w:ascii="仿宋" w:hAnsi="仿宋" w:eastAsia="仿宋"/>
                <w:sz w:val="24"/>
                <w:highlight w:val="none"/>
              </w:rPr>
              <w:t>移仓</w:t>
            </w:r>
            <w:r>
              <w:rPr>
                <w:rFonts w:hint="eastAsia" w:ascii="仿宋" w:hAnsi="仿宋" w:eastAsia="仿宋"/>
                <w:sz w:val="24"/>
                <w:highlight w:val="none"/>
                <w:lang w:eastAsia="zh-CN"/>
              </w:rPr>
              <w:t>可以</w:t>
            </w:r>
            <w:r>
              <w:rPr>
                <w:rFonts w:hint="eastAsia" w:ascii="仿宋" w:hAnsi="仿宋" w:eastAsia="仿宋"/>
                <w:sz w:val="24"/>
                <w:highlight w:val="none"/>
              </w:rPr>
              <w:t>参照本条办理。</w:t>
            </w:r>
          </w:p>
          <w:p>
            <w:pPr>
              <w:ind w:firstLine="481" w:firstLineChars="200"/>
              <w:rPr>
                <w:rFonts w:hint="eastAsia" w:ascii="仿宋" w:hAnsi="仿宋" w:eastAsia="仿宋"/>
                <w:sz w:val="24"/>
                <w:highlight w:val="none"/>
              </w:rPr>
            </w:pPr>
            <w:r>
              <w:rPr>
                <w:rFonts w:hint="eastAsia" w:ascii="仿宋" w:hAnsi="仿宋" w:eastAsia="仿宋"/>
                <w:b/>
                <w:bCs/>
                <w:sz w:val="24"/>
                <w:highlight w:val="none"/>
              </w:rPr>
              <w:t>第四十</w:t>
            </w:r>
            <w:r>
              <w:rPr>
                <w:rFonts w:hint="eastAsia" w:ascii="仿宋" w:hAnsi="仿宋" w:eastAsia="仿宋"/>
                <w:b/>
                <w:dstrike/>
                <w:sz w:val="24"/>
                <w:highlight w:val="none"/>
                <w:lang w:eastAsia="zh-CN"/>
              </w:rPr>
              <w:t>四</w:t>
            </w:r>
            <w:r>
              <w:rPr>
                <w:rFonts w:hint="eastAsia" w:ascii="仿宋" w:hAnsi="仿宋" w:eastAsia="仿宋"/>
                <w:b/>
                <w:sz w:val="24"/>
                <w:highlight w:val="none"/>
                <w:u w:val="single"/>
                <w:lang w:eastAsia="zh-CN"/>
              </w:rPr>
              <w:t>五</w:t>
            </w:r>
            <w:r>
              <w:rPr>
                <w:rFonts w:hint="eastAsia" w:ascii="仿宋" w:hAnsi="仿宋" w:eastAsia="仿宋"/>
                <w:b/>
                <w:bCs/>
                <w:sz w:val="24"/>
                <w:highlight w:val="none"/>
              </w:rPr>
              <w:t>条</w:t>
            </w:r>
            <w:r>
              <w:rPr>
                <w:rFonts w:hint="eastAsia" w:ascii="仿宋" w:hAnsi="仿宋" w:eastAsia="仿宋"/>
                <w:sz w:val="24"/>
                <w:highlight w:val="none"/>
              </w:rPr>
              <w:t xml:space="preserve"> 本办法第四十</w:t>
            </w:r>
            <w:r>
              <w:rPr>
                <w:rFonts w:hint="eastAsia" w:ascii="仿宋" w:hAnsi="仿宋" w:eastAsia="仿宋"/>
                <w:dstrike/>
                <w:sz w:val="24"/>
                <w:highlight w:val="none"/>
                <w:lang w:eastAsia="zh-CN"/>
              </w:rPr>
              <w:t>三</w:t>
            </w:r>
            <w:r>
              <w:rPr>
                <w:rFonts w:hint="eastAsia" w:ascii="仿宋" w:hAnsi="仿宋" w:eastAsia="仿宋"/>
                <w:b/>
                <w:sz w:val="24"/>
                <w:highlight w:val="none"/>
                <w:u w:val="single"/>
                <w:lang w:eastAsia="zh-CN"/>
              </w:rPr>
              <w:t>四</w:t>
            </w:r>
            <w:r>
              <w:rPr>
                <w:rFonts w:hint="eastAsia" w:ascii="仿宋" w:hAnsi="仿宋" w:eastAsia="仿宋"/>
                <w:sz w:val="24"/>
                <w:highlight w:val="none"/>
              </w:rPr>
              <w:t>条规定的移仓由客户</w:t>
            </w:r>
            <w:r>
              <w:rPr>
                <w:rFonts w:hint="eastAsia" w:ascii="仿宋" w:hAnsi="仿宋" w:eastAsia="仿宋"/>
                <w:b/>
                <w:sz w:val="24"/>
                <w:highlight w:val="none"/>
                <w:u w:val="single"/>
                <w:lang w:eastAsia="zh-CN"/>
              </w:rPr>
              <w:t>、境外特殊非经纪参与者</w:t>
            </w:r>
            <w:r>
              <w:rPr>
                <w:rFonts w:hint="eastAsia" w:ascii="仿宋" w:hAnsi="仿宋" w:eastAsia="仿宋"/>
                <w:sz w:val="24"/>
                <w:highlight w:val="none"/>
              </w:rPr>
              <w:t>通过移出会员提出申请或者由非期货公司会员自行提出申请，经移入会员确认后提交至交易所。</w:t>
            </w:r>
          </w:p>
          <w:p>
            <w:pPr>
              <w:ind w:firstLine="480" w:firstLineChars="200"/>
              <w:rPr>
                <w:rFonts w:hint="eastAsia" w:ascii="仿宋" w:hAnsi="仿宋" w:eastAsia="仿宋"/>
                <w:sz w:val="24"/>
                <w:highlight w:val="none"/>
              </w:rPr>
            </w:pPr>
            <w:r>
              <w:rPr>
                <w:rFonts w:hint="eastAsia" w:ascii="仿宋" w:hAnsi="仿宋" w:eastAsia="仿宋"/>
                <w:sz w:val="24"/>
                <w:highlight w:val="none"/>
              </w:rPr>
              <w:t>交易所在申请的当日内予以审批，并在当日下午闭市后办理移仓。</w:t>
            </w:r>
          </w:p>
          <w:p>
            <w:pPr>
              <w:ind w:firstLine="480" w:firstLineChars="200"/>
              <w:rPr>
                <w:rFonts w:hint="eastAsia" w:ascii="仿宋" w:hAnsi="仿宋" w:eastAsia="仿宋"/>
                <w:sz w:val="24"/>
                <w:highlight w:val="none"/>
              </w:rPr>
            </w:pPr>
            <w:r>
              <w:rPr>
                <w:rFonts w:hint="eastAsia" w:ascii="仿宋" w:hAnsi="仿宋" w:eastAsia="仿宋"/>
                <w:sz w:val="24"/>
                <w:highlight w:val="none"/>
              </w:rPr>
              <w:t>移仓内容包括客户</w:t>
            </w:r>
            <w:r>
              <w:rPr>
                <w:rFonts w:hint="eastAsia" w:ascii="仿宋" w:hAnsi="仿宋" w:eastAsia="仿宋"/>
                <w:dstrike/>
                <w:sz w:val="24"/>
                <w:highlight w:val="none"/>
              </w:rPr>
              <w:t>或者</w:t>
            </w:r>
            <w:r>
              <w:rPr>
                <w:rFonts w:hint="eastAsia" w:ascii="仿宋" w:hAnsi="仿宋" w:eastAsia="仿宋"/>
                <w:b/>
                <w:sz w:val="24"/>
                <w:highlight w:val="none"/>
                <w:u w:val="single"/>
                <w:lang w:eastAsia="zh-CN"/>
              </w:rPr>
              <w:t>、</w:t>
            </w:r>
            <w:r>
              <w:rPr>
                <w:rFonts w:hint="eastAsia" w:ascii="仿宋" w:hAnsi="仿宋" w:eastAsia="仿宋"/>
                <w:sz w:val="24"/>
                <w:highlight w:val="none"/>
              </w:rPr>
              <w:t>非期货公司会员</w:t>
            </w:r>
            <w:r>
              <w:rPr>
                <w:rFonts w:hint="eastAsia" w:ascii="仿宋" w:hAnsi="仿宋" w:eastAsia="仿宋"/>
                <w:b/>
                <w:sz w:val="24"/>
                <w:highlight w:val="none"/>
                <w:u w:val="single"/>
                <w:lang w:eastAsia="zh-CN"/>
              </w:rPr>
              <w:t>或者境外特殊非经纪参与者</w:t>
            </w:r>
            <w:r>
              <w:rPr>
                <w:rFonts w:hint="eastAsia" w:ascii="仿宋" w:hAnsi="仿宋" w:eastAsia="仿宋"/>
                <w:sz w:val="24"/>
                <w:highlight w:val="none"/>
              </w:rPr>
              <w:t>某一合约的持仓和需要转移的保证金。转移的保证金应当为人民币或者外汇资金。</w:t>
            </w:r>
          </w:p>
          <w:p>
            <w:pPr>
              <w:ind w:firstLine="480" w:firstLineChars="200"/>
              <w:rPr>
                <w:rFonts w:ascii="仿宋" w:hAnsi="仿宋" w:eastAsia="仿宋"/>
                <w:sz w:val="24"/>
                <w:highlight w:val="none"/>
              </w:rPr>
            </w:pPr>
            <w:r>
              <w:rPr>
                <w:rFonts w:hint="eastAsia" w:ascii="仿宋" w:hAnsi="仿宋" w:eastAsia="仿宋"/>
                <w:sz w:val="24"/>
                <w:highlight w:val="none"/>
              </w:rPr>
              <w:t>交易所从移入会员的结算准备金中扣划移仓手续费。移仓手续费标准由交易所另行公布。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b/>
                <w:sz w:val="24"/>
                <w:highlight w:val="none"/>
                <w:u w:val="single"/>
              </w:rPr>
            </w:pPr>
            <w:r>
              <w:rPr>
                <w:rFonts w:hint="eastAsia" w:ascii="仿宋" w:hAnsi="仿宋" w:eastAsia="仿宋"/>
                <w:b/>
                <w:sz w:val="24"/>
                <w:highlight w:val="none"/>
                <w:u w:val="single"/>
              </w:rPr>
              <w:t>第六章</w:t>
            </w:r>
            <w:r>
              <w:rPr>
                <w:rFonts w:ascii="Calibri" w:hAnsi="Calibri" w:eastAsia="仿宋" w:cs="Calibri"/>
                <w:b/>
                <w:sz w:val="24"/>
                <w:highlight w:val="none"/>
                <w:u w:val="single"/>
              </w:rPr>
              <w:t> </w:t>
            </w:r>
            <w:r>
              <w:rPr>
                <w:rFonts w:hint="eastAsia" w:ascii="仿宋" w:hAnsi="仿宋" w:eastAsia="仿宋"/>
                <w:b/>
                <w:sz w:val="24"/>
                <w:highlight w:val="none"/>
                <w:u w:val="single"/>
              </w:rPr>
              <w:t>委托结算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jc w:val="left"/>
              <w:rPr>
                <w:rFonts w:cs="宋体"/>
                <w:highlight w:val="none"/>
              </w:rPr>
            </w:pP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第五十条 境外中介机构委托境外特殊经纪参与者进行交易结算，或者境外特殊参与者委托期货公司会员进行结算的，应当与其签订委托协议，并应当在办理业务前向交易所备案。</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第五十</w:t>
            </w:r>
            <w:r>
              <w:rPr>
                <w:rFonts w:hint="eastAsia" w:ascii="仿宋" w:hAnsi="仿宋" w:eastAsia="仿宋"/>
                <w:b/>
                <w:sz w:val="24"/>
                <w:highlight w:val="none"/>
                <w:u w:val="single"/>
                <w:lang w:eastAsia="zh-CN"/>
              </w:rPr>
              <w:t>一</w:t>
            </w:r>
            <w:r>
              <w:rPr>
                <w:rFonts w:hint="eastAsia" w:ascii="仿宋" w:hAnsi="仿宋" w:eastAsia="仿宋"/>
                <w:b/>
                <w:sz w:val="24"/>
                <w:highlight w:val="none"/>
                <w:u w:val="single"/>
              </w:rPr>
              <w:t>条 境外特殊参与者应当且只能委托一家会员进行结算。</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第五十</w:t>
            </w:r>
            <w:r>
              <w:rPr>
                <w:rFonts w:hint="eastAsia" w:ascii="仿宋" w:hAnsi="仿宋" w:eastAsia="仿宋"/>
                <w:b/>
                <w:sz w:val="24"/>
                <w:highlight w:val="none"/>
                <w:u w:val="single"/>
                <w:lang w:eastAsia="zh-CN"/>
              </w:rPr>
              <w:t>二</w:t>
            </w:r>
            <w:r>
              <w:rPr>
                <w:rFonts w:hint="eastAsia" w:ascii="仿宋" w:hAnsi="仿宋" w:eastAsia="仿宋"/>
                <w:b/>
                <w:sz w:val="24"/>
                <w:highlight w:val="none"/>
                <w:u w:val="single"/>
              </w:rPr>
              <w:t>条 会员与委托其结算的境外特殊参与者应当签署包括下列内容的委托结算的协议：</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（一）结算准备金最低余额和交易保证金收取标准；</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（二）办理作为保证金使用的资产及其费用标准；</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（三）风险管理措施、条件及程序；</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（四）账户类型及管理模式、结算流程，包括结算数据收取、查询和确认的时间和方式；</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（五）手续费标准；</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（六）通知事项、方式及时限；</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（七）不可归责于协议双方当事人所造成损失的情形及其处理方式；</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（八）协议变更和解除；</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（九）违约责任；</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（十）争议处理方式；</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（十一）其他事项。</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第五十</w:t>
            </w:r>
            <w:r>
              <w:rPr>
                <w:rFonts w:hint="eastAsia" w:ascii="仿宋" w:hAnsi="仿宋" w:eastAsia="仿宋"/>
                <w:b/>
                <w:sz w:val="24"/>
                <w:highlight w:val="none"/>
                <w:u w:val="single"/>
                <w:lang w:eastAsia="zh-CN"/>
              </w:rPr>
              <w:t>三</w:t>
            </w:r>
            <w:r>
              <w:rPr>
                <w:rFonts w:hint="eastAsia" w:ascii="仿宋" w:hAnsi="仿宋" w:eastAsia="仿宋"/>
                <w:b/>
                <w:sz w:val="24"/>
                <w:highlight w:val="none"/>
                <w:u w:val="single"/>
              </w:rPr>
              <w:t>条 具有下列情形之一的，交易所可以为会员和委托其结算的境外特殊参与者办理委托结算关系变更手续：</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（一）委托结算的协议期满后不再续约的；</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（二）委托结算的协议提前解除的；</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（三）会员因故不能为境外特殊参与者进行结算的；</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（四）交易所认定的其他情形。</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第五十</w:t>
            </w:r>
            <w:r>
              <w:rPr>
                <w:rFonts w:hint="eastAsia" w:ascii="仿宋" w:hAnsi="仿宋" w:eastAsia="仿宋"/>
                <w:b/>
                <w:sz w:val="24"/>
                <w:highlight w:val="none"/>
                <w:u w:val="single"/>
                <w:lang w:eastAsia="zh-CN"/>
              </w:rPr>
              <w:t>四</w:t>
            </w:r>
            <w:r>
              <w:rPr>
                <w:rFonts w:hint="eastAsia" w:ascii="仿宋" w:hAnsi="仿宋" w:eastAsia="仿宋"/>
                <w:b/>
                <w:sz w:val="24"/>
                <w:highlight w:val="none"/>
                <w:u w:val="single"/>
              </w:rPr>
              <w:t>条 具有第五十</w:t>
            </w:r>
            <w:r>
              <w:rPr>
                <w:rFonts w:hint="eastAsia" w:ascii="仿宋" w:hAnsi="仿宋" w:eastAsia="仿宋"/>
                <w:b/>
                <w:sz w:val="24"/>
                <w:highlight w:val="none"/>
                <w:u w:val="single"/>
                <w:lang w:eastAsia="zh-CN"/>
              </w:rPr>
              <w:t>三</w:t>
            </w:r>
            <w:r>
              <w:rPr>
                <w:rFonts w:hint="eastAsia" w:ascii="仿宋" w:hAnsi="仿宋" w:eastAsia="仿宋"/>
                <w:b/>
                <w:sz w:val="24"/>
                <w:highlight w:val="none"/>
                <w:u w:val="single"/>
              </w:rPr>
              <w:t>条第</w:t>
            </w:r>
            <w:r>
              <w:rPr>
                <w:rFonts w:hint="eastAsia" w:ascii="仿宋" w:hAnsi="仿宋" w:eastAsia="仿宋"/>
                <w:b/>
                <w:sz w:val="24"/>
                <w:highlight w:val="none"/>
                <w:u w:val="single"/>
                <w:lang w:eastAsia="zh-CN"/>
              </w:rPr>
              <w:t>（</w:t>
            </w:r>
            <w:r>
              <w:rPr>
                <w:rFonts w:hint="eastAsia" w:ascii="仿宋" w:hAnsi="仿宋" w:eastAsia="仿宋"/>
                <w:b/>
                <w:sz w:val="24"/>
                <w:highlight w:val="none"/>
                <w:u w:val="single"/>
              </w:rPr>
              <w:t>一</w:t>
            </w:r>
            <w:r>
              <w:rPr>
                <w:rFonts w:hint="eastAsia" w:ascii="仿宋" w:hAnsi="仿宋" w:eastAsia="仿宋"/>
                <w:b/>
                <w:sz w:val="24"/>
                <w:highlight w:val="none"/>
                <w:u w:val="single"/>
                <w:lang w:eastAsia="zh-CN"/>
              </w:rPr>
              <w:t>）</w:t>
            </w:r>
            <w:r>
              <w:rPr>
                <w:rFonts w:hint="eastAsia" w:ascii="仿宋" w:hAnsi="仿宋" w:eastAsia="仿宋"/>
                <w:b/>
                <w:sz w:val="24"/>
                <w:highlight w:val="none"/>
                <w:u w:val="single"/>
              </w:rPr>
              <w:t>项情形的，境外特殊参与者、移入和移出委托结算的会员应当在协议期满前10个交易日内，向交易所提交下列材料办理委托结算关系变更手续：</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（一）变更委托结算关系申请书；</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（二）境外特殊参与者和移入受托结算的会员签订的委托结算的协议；</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（三）交易所规定的其他材料。</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交易所收到完整材料后，在10个交易日内对申请材料进行审核。审核通过的，交易所通知变更委托结算关系的约定结算日。</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第五十</w:t>
            </w:r>
            <w:r>
              <w:rPr>
                <w:rFonts w:hint="eastAsia" w:ascii="仿宋" w:hAnsi="仿宋" w:eastAsia="仿宋"/>
                <w:b/>
                <w:sz w:val="24"/>
                <w:highlight w:val="none"/>
                <w:u w:val="single"/>
                <w:lang w:eastAsia="zh-CN"/>
              </w:rPr>
              <w:t>五</w:t>
            </w:r>
            <w:r>
              <w:rPr>
                <w:rFonts w:hint="eastAsia" w:ascii="仿宋" w:hAnsi="仿宋" w:eastAsia="仿宋"/>
                <w:b/>
                <w:sz w:val="24"/>
                <w:highlight w:val="none"/>
                <w:u w:val="single"/>
              </w:rPr>
              <w:t>条 具有第五十</w:t>
            </w:r>
            <w:r>
              <w:rPr>
                <w:rFonts w:hint="eastAsia" w:ascii="仿宋" w:hAnsi="仿宋" w:eastAsia="仿宋"/>
                <w:b/>
                <w:sz w:val="24"/>
                <w:highlight w:val="none"/>
                <w:u w:val="single"/>
                <w:lang w:eastAsia="zh-CN"/>
              </w:rPr>
              <w:t>三</w:t>
            </w:r>
            <w:r>
              <w:rPr>
                <w:rFonts w:hint="eastAsia" w:ascii="仿宋" w:hAnsi="仿宋" w:eastAsia="仿宋"/>
                <w:b/>
                <w:sz w:val="24"/>
                <w:highlight w:val="none"/>
                <w:u w:val="single"/>
              </w:rPr>
              <w:t>条第（二）、（三）项情形的，境外特殊参与者、移入和移出委托结算的会员除提交第五十</w:t>
            </w:r>
            <w:r>
              <w:rPr>
                <w:rFonts w:hint="eastAsia" w:ascii="仿宋" w:hAnsi="仿宋" w:eastAsia="仿宋"/>
                <w:b/>
                <w:sz w:val="24"/>
                <w:highlight w:val="none"/>
                <w:u w:val="single"/>
                <w:lang w:eastAsia="zh-CN"/>
              </w:rPr>
              <w:t>四</w:t>
            </w:r>
            <w:r>
              <w:rPr>
                <w:rFonts w:hint="eastAsia" w:ascii="仿宋" w:hAnsi="仿宋" w:eastAsia="仿宋"/>
                <w:b/>
                <w:sz w:val="24"/>
                <w:highlight w:val="none"/>
                <w:u w:val="single"/>
              </w:rPr>
              <w:t>条规定的材料外，还应当提交解除原委托结算关系的协议。交易所收到完整材料后，在10个交易日内对申请材料进行审核。审核通过的，交易所通知变更委托结算关系的约定结算日。</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第五十</w:t>
            </w:r>
            <w:r>
              <w:rPr>
                <w:rFonts w:hint="eastAsia" w:ascii="仿宋" w:hAnsi="仿宋" w:eastAsia="仿宋"/>
                <w:b/>
                <w:sz w:val="24"/>
                <w:highlight w:val="none"/>
                <w:u w:val="single"/>
                <w:lang w:eastAsia="zh-CN"/>
              </w:rPr>
              <w:t>六</w:t>
            </w:r>
            <w:r>
              <w:rPr>
                <w:rFonts w:hint="eastAsia" w:ascii="仿宋" w:hAnsi="仿宋" w:eastAsia="仿宋"/>
                <w:b/>
                <w:sz w:val="24"/>
                <w:highlight w:val="none"/>
                <w:u w:val="single"/>
              </w:rPr>
              <w:t>条 交易所在约定结算日结算后办理委托结算关系变更，对持仓、相应明细账户中的保证金等其他款项进行移转，并提供移转清单。移入和移出受托的会员应当对移转清单核对确认，境外特殊参与者应当委托移入和移出的会员进行确认。</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在约定结算日结算后，市场出现重大风险或者交易所认定的其他情形的，交易所可以暂停办理委托结算关系变更手续。</w:t>
            </w:r>
          </w:p>
          <w:p>
            <w:pPr>
              <w:ind w:firstLine="481" w:firstLineChars="200"/>
              <w:rPr>
                <w:rFonts w:ascii="仿宋" w:hAnsi="仿宋" w:eastAsia="仿宋"/>
                <w:sz w:val="24"/>
                <w:highlight w:val="none"/>
              </w:rPr>
            </w:pPr>
            <w:r>
              <w:rPr>
                <w:rFonts w:hint="eastAsia" w:ascii="仿宋" w:hAnsi="仿宋" w:eastAsia="仿宋"/>
                <w:b/>
                <w:sz w:val="24"/>
                <w:highlight w:val="none"/>
                <w:u w:val="single"/>
              </w:rPr>
              <w:t>境外特殊参与者、移入和移出委托结算的会员应当配合办理委托结算关系变更手续。在委托结算关系变更完成之前，移出委托结算的会员对其代为结算的持仓负有履约义务。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Arial"/>
                <w:sz w:val="24"/>
                <w:highlight w:val="none"/>
              </w:rPr>
            </w:pPr>
            <w:r>
              <w:rPr>
                <w:rFonts w:hint="eastAsia" w:ascii="仿宋" w:hAnsi="仿宋" w:eastAsia="仿宋"/>
                <w:b/>
                <w:sz w:val="24"/>
                <w:highlight w:val="none"/>
              </w:rPr>
              <w:t>第</w:t>
            </w:r>
            <w:r>
              <w:rPr>
                <w:rFonts w:hint="eastAsia" w:ascii="仿宋" w:hAnsi="仿宋" w:eastAsia="仿宋"/>
                <w:dstrike/>
                <w:sz w:val="24"/>
                <w:highlight w:val="none"/>
              </w:rPr>
              <w:t>六</w:t>
            </w:r>
            <w:r>
              <w:rPr>
                <w:rFonts w:hint="eastAsia" w:ascii="仿宋" w:hAnsi="仿宋" w:eastAsia="仿宋"/>
                <w:b/>
                <w:sz w:val="24"/>
                <w:highlight w:val="none"/>
                <w:u w:val="single"/>
              </w:rPr>
              <w:t>七</w:t>
            </w:r>
            <w:r>
              <w:rPr>
                <w:rFonts w:hint="eastAsia" w:ascii="仿宋" w:hAnsi="仿宋" w:eastAsia="仿宋"/>
                <w:b/>
                <w:sz w:val="24"/>
                <w:highlight w:val="none"/>
              </w:rPr>
              <w:t>章</w:t>
            </w:r>
            <w:r>
              <w:rPr>
                <w:rFonts w:ascii="Calibri" w:hAnsi="Calibri" w:eastAsia="仿宋" w:cs="Calibri"/>
                <w:b/>
                <w:sz w:val="24"/>
                <w:highlight w:val="none"/>
              </w:rPr>
              <w:t> </w:t>
            </w:r>
            <w:r>
              <w:rPr>
                <w:rFonts w:hint="eastAsia" w:ascii="Calibri" w:hAnsi="Calibri" w:eastAsia="仿宋" w:cs="Calibri"/>
                <w:b/>
                <w:sz w:val="24"/>
                <w:highlight w:val="none"/>
              </w:rPr>
              <w:t>资产作为</w:t>
            </w:r>
            <w:r>
              <w:rPr>
                <w:rFonts w:hint="eastAsia" w:ascii="仿宋" w:hAnsi="仿宋" w:eastAsia="仿宋"/>
                <w:b/>
                <w:sz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sz w:val="24"/>
                <w:highlight w:val="none"/>
                <w:lang w:eastAsia="zh-CN"/>
              </w:rPr>
              <w:t>四十九</w:t>
            </w:r>
            <w:r>
              <w:rPr>
                <w:rFonts w:hint="eastAsia" w:ascii="仿宋" w:hAnsi="仿宋" w:eastAsia="仿宋"/>
                <w:b/>
                <w:sz w:val="24"/>
                <w:highlight w:val="none"/>
              </w:rPr>
              <w:t>条</w:t>
            </w:r>
            <w:r>
              <w:rPr>
                <w:rFonts w:hint="eastAsia" w:ascii="仿宋" w:hAnsi="仿宋" w:eastAsia="仿宋"/>
                <w:sz w:val="24"/>
                <w:highlight w:val="none"/>
              </w:rPr>
              <w:t xml:space="preserve"> 客户、境外经纪机构以资产作为保证金的，视为同意期货公司会员将其资产提交交易所作为保证金。</w:t>
            </w:r>
          </w:p>
          <w:p>
            <w:pPr>
              <w:ind w:firstLine="480" w:firstLineChars="200"/>
              <w:rPr>
                <w:rFonts w:ascii="仿宋" w:hAnsi="仿宋" w:eastAsia="仿宋"/>
                <w:sz w:val="24"/>
                <w:highlight w:val="none"/>
              </w:rPr>
            </w:pPr>
            <w:r>
              <w:rPr>
                <w:rFonts w:hint="eastAsia" w:ascii="仿宋" w:hAnsi="仿宋" w:eastAsia="仿宋"/>
                <w:sz w:val="24"/>
                <w:highlight w:val="none"/>
              </w:rPr>
              <w:t>客户、境外经纪机构、会员以资产作为保证金的，视为授权交易所对相应资产进行划转或者作质押处理。</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dstrike/>
                <w:sz w:val="24"/>
                <w:highlight w:val="none"/>
                <w:lang w:eastAsia="zh-CN"/>
              </w:rPr>
              <w:t>四十九</w:t>
            </w:r>
            <w:r>
              <w:rPr>
                <w:rFonts w:hint="eastAsia" w:ascii="仿宋" w:hAnsi="仿宋" w:eastAsia="仿宋"/>
                <w:b/>
                <w:sz w:val="24"/>
                <w:highlight w:val="none"/>
                <w:u w:val="single"/>
                <w:lang w:eastAsia="zh-CN"/>
              </w:rPr>
              <w:t>五十七</w:t>
            </w:r>
            <w:r>
              <w:rPr>
                <w:rFonts w:hint="eastAsia" w:ascii="仿宋" w:hAnsi="仿宋" w:eastAsia="仿宋"/>
                <w:b/>
                <w:sz w:val="24"/>
                <w:highlight w:val="none"/>
              </w:rPr>
              <w:t>条</w:t>
            </w:r>
            <w:r>
              <w:rPr>
                <w:rFonts w:hint="eastAsia" w:ascii="仿宋" w:hAnsi="仿宋" w:eastAsia="仿宋"/>
                <w:sz w:val="24"/>
                <w:highlight w:val="none"/>
              </w:rPr>
              <w:t xml:space="preserve"> 客户、</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机构以资产作为保证金的，视为同意期货公司会员将其资产提交交易所作为保证金。</w:t>
            </w:r>
          </w:p>
          <w:p>
            <w:pPr>
              <w:ind w:firstLine="480" w:firstLineChars="200"/>
              <w:rPr>
                <w:rFonts w:ascii="仿宋" w:hAnsi="仿宋" w:eastAsia="仿宋"/>
                <w:sz w:val="24"/>
                <w:highlight w:val="none"/>
              </w:rPr>
            </w:pPr>
            <w:r>
              <w:rPr>
                <w:rFonts w:hint="eastAsia" w:ascii="仿宋" w:hAnsi="仿宋" w:eastAsia="仿宋"/>
                <w:sz w:val="24"/>
                <w:highlight w:val="none"/>
              </w:rPr>
              <w:t>客户、</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机构、会员以资产作为保证金的，视为授权交易所对相应资产进行划转或者作质押处理。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第五十</w:t>
            </w:r>
            <w:r>
              <w:rPr>
                <w:rFonts w:hint="eastAsia" w:ascii="仿宋" w:hAnsi="仿宋" w:eastAsia="仿宋"/>
                <w:b/>
                <w:sz w:val="24"/>
                <w:highlight w:val="none"/>
                <w:lang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有价证券作为保证金按以下手续办理：</w:t>
            </w:r>
          </w:p>
          <w:p>
            <w:pPr>
              <w:ind w:firstLine="480" w:firstLineChars="200"/>
              <w:rPr>
                <w:rFonts w:ascii="仿宋" w:hAnsi="仿宋" w:eastAsia="仿宋"/>
                <w:sz w:val="24"/>
                <w:highlight w:val="none"/>
              </w:rPr>
            </w:pPr>
            <w:r>
              <w:rPr>
                <w:rFonts w:hint="eastAsia" w:ascii="仿宋" w:hAnsi="仿宋" w:eastAsia="仿宋"/>
                <w:sz w:val="24"/>
                <w:highlight w:val="none"/>
              </w:rPr>
              <w:t>（一）申请：客户、境外经纪机构应当通过会员办理有价证券作为保证金业务。会员办理有价证券作为保证金业务时，应当向交易所提出申请。</w:t>
            </w:r>
          </w:p>
          <w:p>
            <w:pPr>
              <w:ind w:firstLine="480" w:firstLineChars="200"/>
              <w:rPr>
                <w:rFonts w:ascii="仿宋" w:hAnsi="仿宋" w:eastAsia="仿宋"/>
                <w:sz w:val="24"/>
                <w:highlight w:val="none"/>
              </w:rPr>
            </w:pPr>
            <w:r>
              <w:rPr>
                <w:rFonts w:hint="eastAsia" w:ascii="仿宋" w:hAnsi="仿宋" w:eastAsia="仿宋"/>
                <w:sz w:val="24"/>
                <w:highlight w:val="none"/>
              </w:rPr>
              <w:t>会员以客户、境外经纪机构的标准仓单办理作为保证金业务时，应同时提交经客户签章的《郑州商品交易所资产所有人专项授权书》，并与交易所签订相关协议。</w:t>
            </w:r>
          </w:p>
          <w:p>
            <w:pPr>
              <w:ind w:firstLine="480" w:firstLineChars="200"/>
              <w:rPr>
                <w:rFonts w:ascii="仿宋" w:hAnsi="仿宋" w:eastAsia="仿宋"/>
                <w:sz w:val="24"/>
                <w:highlight w:val="none"/>
              </w:rPr>
            </w:pPr>
            <w:r>
              <w:rPr>
                <w:rFonts w:hint="eastAsia" w:ascii="仿宋" w:hAnsi="仿宋" w:eastAsia="仿宋"/>
                <w:sz w:val="24"/>
                <w:highlight w:val="none"/>
              </w:rPr>
              <w:t>（二）验证交存：</w:t>
            </w:r>
          </w:p>
          <w:p>
            <w:pPr>
              <w:ind w:firstLine="480" w:firstLineChars="200"/>
              <w:rPr>
                <w:rFonts w:ascii="仿宋" w:hAnsi="仿宋" w:eastAsia="仿宋"/>
                <w:sz w:val="24"/>
                <w:highlight w:val="none"/>
              </w:rPr>
            </w:pPr>
            <w:r>
              <w:rPr>
                <w:rFonts w:hint="eastAsia" w:ascii="仿宋" w:hAnsi="仿宋" w:eastAsia="仿宋"/>
                <w:sz w:val="24"/>
                <w:highlight w:val="none"/>
              </w:rPr>
              <w:t>1.会员将标准仓单通过电子仓单系统提交交易所办理交存手续，获交易所批准后，完成标准仓单作为保证金交存业务。</w:t>
            </w:r>
          </w:p>
          <w:p>
            <w:pPr>
              <w:ind w:firstLine="480" w:firstLineChars="200"/>
              <w:rPr>
                <w:rFonts w:ascii="仿宋" w:hAnsi="仿宋" w:eastAsia="仿宋"/>
                <w:sz w:val="24"/>
                <w:highlight w:val="none"/>
              </w:rPr>
            </w:pPr>
            <w:r>
              <w:rPr>
                <w:rFonts w:hint="eastAsia" w:ascii="仿宋" w:hAnsi="仿宋" w:eastAsia="仿宋"/>
                <w:sz w:val="24"/>
                <w:highlight w:val="none"/>
              </w:rPr>
              <w:t>2.以国债作为保证金的，客户、境外经纪机构、非期货公司会员应当确保托管账户中存有数量足够的、无其他权利瑕疵的国债。交易所按照会员的申请委托托管机构进行国债划转或者质押登记，托管机构对国债进行划转或者质押登记后视为办理完成。</w:t>
            </w:r>
          </w:p>
          <w:p>
            <w:pPr>
              <w:ind w:firstLine="480" w:firstLineChars="200"/>
              <w:rPr>
                <w:rFonts w:ascii="仿宋" w:hAnsi="仿宋" w:eastAsia="仿宋"/>
                <w:sz w:val="24"/>
                <w:highlight w:val="none"/>
              </w:rPr>
            </w:pPr>
            <w:r>
              <w:rPr>
                <w:rFonts w:hint="eastAsia" w:ascii="仿宋" w:hAnsi="仿宋" w:eastAsia="仿宋"/>
                <w:sz w:val="24"/>
                <w:highlight w:val="none"/>
              </w:rPr>
              <w:t>3.其他有价证券的验证交存应当符合交易所的规定。</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dstrike w:val="0"/>
                <w:sz w:val="24"/>
                <w:highlight w:val="none"/>
              </w:rPr>
              <w:t>五十</w:t>
            </w:r>
            <w:r>
              <w:rPr>
                <w:rFonts w:hint="eastAsia" w:ascii="仿宋" w:hAnsi="仿宋" w:eastAsia="仿宋"/>
                <w:b/>
                <w:dstrike/>
                <w:sz w:val="24"/>
                <w:highlight w:val="none"/>
                <w:lang w:eastAsia="zh-CN"/>
              </w:rPr>
              <w:t>一</w:t>
            </w:r>
            <w:r>
              <w:rPr>
                <w:rFonts w:hint="eastAsia" w:ascii="仿宋" w:hAnsi="仿宋" w:eastAsia="仿宋"/>
                <w:b/>
                <w:sz w:val="24"/>
                <w:highlight w:val="none"/>
                <w:u w:val="single"/>
                <w:lang w:eastAsia="zh-CN"/>
              </w:rPr>
              <w:t>九</w:t>
            </w:r>
            <w:r>
              <w:rPr>
                <w:rFonts w:hint="eastAsia" w:ascii="仿宋" w:hAnsi="仿宋" w:eastAsia="仿宋"/>
                <w:b/>
                <w:sz w:val="24"/>
                <w:highlight w:val="none"/>
              </w:rPr>
              <w:t>条</w:t>
            </w:r>
            <w:r>
              <w:rPr>
                <w:rFonts w:hint="eastAsia" w:ascii="仿宋" w:hAnsi="仿宋" w:eastAsia="仿宋"/>
                <w:sz w:val="24"/>
                <w:highlight w:val="none"/>
              </w:rPr>
              <w:t xml:space="preserve"> 有价证券作为保证金按以下手续办理：</w:t>
            </w:r>
          </w:p>
          <w:p>
            <w:pPr>
              <w:ind w:firstLine="480" w:firstLineChars="200"/>
              <w:rPr>
                <w:rFonts w:ascii="仿宋" w:hAnsi="仿宋" w:eastAsia="仿宋"/>
                <w:sz w:val="24"/>
                <w:highlight w:val="none"/>
              </w:rPr>
            </w:pPr>
            <w:r>
              <w:rPr>
                <w:rFonts w:hint="eastAsia" w:ascii="仿宋" w:hAnsi="仿宋" w:eastAsia="仿宋"/>
                <w:sz w:val="24"/>
                <w:highlight w:val="none"/>
              </w:rPr>
              <w:t>（一）申请：客户、</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机构应当通过会员办理有价证券作为保证金业务。会员办理有价证券作为保证金业务时，应当向交易所提出申请。</w:t>
            </w:r>
          </w:p>
          <w:p>
            <w:pPr>
              <w:ind w:firstLine="480" w:firstLineChars="200"/>
              <w:rPr>
                <w:rFonts w:ascii="仿宋" w:hAnsi="仿宋" w:eastAsia="仿宋"/>
                <w:sz w:val="24"/>
                <w:highlight w:val="none"/>
              </w:rPr>
            </w:pPr>
            <w:r>
              <w:rPr>
                <w:rFonts w:hint="eastAsia" w:ascii="仿宋" w:hAnsi="仿宋" w:eastAsia="仿宋"/>
                <w:sz w:val="24"/>
                <w:highlight w:val="none"/>
              </w:rPr>
              <w:t>会员以客户、</w:t>
            </w:r>
            <w:r>
              <w:rPr>
                <w:rFonts w:hint="eastAsia" w:ascii="仿宋" w:hAnsi="仿宋" w:eastAsia="仿宋"/>
                <w:dstrike/>
                <w:sz w:val="24"/>
                <w:highlight w:val="none"/>
              </w:rPr>
              <w:t>境外经纪机构</w:t>
            </w:r>
            <w:r>
              <w:rPr>
                <w:rFonts w:hint="eastAsia" w:ascii="仿宋" w:hAnsi="仿宋" w:eastAsia="仿宋"/>
                <w:b/>
                <w:sz w:val="24"/>
                <w:highlight w:val="none"/>
                <w:u w:val="single"/>
              </w:rPr>
              <w:t>境外特殊非经纪参与者</w:t>
            </w:r>
            <w:r>
              <w:rPr>
                <w:rFonts w:hint="eastAsia" w:ascii="仿宋" w:hAnsi="仿宋" w:eastAsia="仿宋"/>
                <w:sz w:val="24"/>
                <w:highlight w:val="none"/>
              </w:rPr>
              <w:t>的标准仓单办理作为保证金业务时，应同时提交经客户</w:t>
            </w:r>
            <w:r>
              <w:rPr>
                <w:rFonts w:hint="eastAsia" w:ascii="仿宋" w:hAnsi="仿宋" w:eastAsia="仿宋"/>
                <w:b/>
                <w:sz w:val="24"/>
                <w:highlight w:val="none"/>
                <w:u w:val="single"/>
              </w:rPr>
              <w:t>、境外特殊非经纪参与者</w:t>
            </w:r>
            <w:r>
              <w:rPr>
                <w:rFonts w:hint="eastAsia" w:ascii="仿宋" w:hAnsi="仿宋" w:eastAsia="仿宋"/>
                <w:sz w:val="24"/>
                <w:highlight w:val="none"/>
              </w:rPr>
              <w:t>签章的《郑州商品交易所资产所有人专项授权书》，并与交易所签订相关协议。</w:t>
            </w:r>
          </w:p>
          <w:p>
            <w:pPr>
              <w:ind w:firstLine="480" w:firstLineChars="200"/>
              <w:rPr>
                <w:rFonts w:ascii="仿宋" w:hAnsi="仿宋" w:eastAsia="仿宋"/>
                <w:sz w:val="24"/>
                <w:highlight w:val="none"/>
              </w:rPr>
            </w:pPr>
            <w:r>
              <w:rPr>
                <w:rFonts w:hint="eastAsia" w:ascii="仿宋" w:hAnsi="仿宋" w:eastAsia="仿宋"/>
                <w:sz w:val="24"/>
                <w:highlight w:val="none"/>
              </w:rPr>
              <w:t>（二）验证交存：</w:t>
            </w:r>
          </w:p>
          <w:p>
            <w:pPr>
              <w:ind w:firstLine="480" w:firstLineChars="200"/>
              <w:rPr>
                <w:rFonts w:ascii="仿宋" w:hAnsi="仿宋" w:eastAsia="仿宋"/>
                <w:sz w:val="24"/>
                <w:highlight w:val="none"/>
              </w:rPr>
            </w:pPr>
            <w:r>
              <w:rPr>
                <w:rFonts w:hint="eastAsia" w:ascii="仿宋" w:hAnsi="仿宋" w:eastAsia="仿宋"/>
                <w:sz w:val="24"/>
                <w:highlight w:val="none"/>
              </w:rPr>
              <w:t>1.会员将标准仓单通过电子仓单系统提交交易所办理交存手续，获交易所批准后，完成标准仓单作为保证金交存业务。</w:t>
            </w:r>
          </w:p>
          <w:p>
            <w:pPr>
              <w:ind w:firstLine="480" w:firstLineChars="200"/>
              <w:rPr>
                <w:rFonts w:ascii="仿宋" w:hAnsi="仿宋" w:eastAsia="仿宋"/>
                <w:sz w:val="24"/>
                <w:highlight w:val="none"/>
              </w:rPr>
            </w:pPr>
            <w:r>
              <w:rPr>
                <w:rFonts w:hint="eastAsia" w:ascii="仿宋" w:hAnsi="仿宋" w:eastAsia="仿宋"/>
                <w:sz w:val="24"/>
                <w:highlight w:val="none"/>
              </w:rPr>
              <w:t>2.以国债作为保证金的，客户、</w:t>
            </w:r>
            <w:r>
              <w:rPr>
                <w:rFonts w:hint="eastAsia" w:ascii="仿宋" w:hAnsi="仿宋" w:eastAsia="仿宋"/>
                <w:dstrike/>
                <w:sz w:val="24"/>
                <w:highlight w:val="none"/>
              </w:rPr>
              <w:t>境外经纪机构</w:t>
            </w:r>
            <w:r>
              <w:rPr>
                <w:rFonts w:hint="eastAsia" w:ascii="仿宋" w:hAnsi="仿宋" w:eastAsia="仿宋"/>
                <w:b/>
                <w:sz w:val="24"/>
                <w:highlight w:val="none"/>
                <w:u w:val="single"/>
              </w:rPr>
              <w:t>境外特殊非经纪参与者</w:t>
            </w:r>
            <w:r>
              <w:rPr>
                <w:rFonts w:hint="eastAsia" w:ascii="仿宋" w:hAnsi="仿宋" w:eastAsia="仿宋"/>
                <w:sz w:val="24"/>
                <w:highlight w:val="none"/>
              </w:rPr>
              <w:t>、非期货公司会员应当确保托管账户中存有数量足够的、无其他权利瑕疵的国债。交易所按照会员的申请委托托管机构进行国债划转或者质押登记，托管机构对国债进行划转或者质押登记后视为办理完成。</w:t>
            </w:r>
          </w:p>
          <w:p>
            <w:pPr>
              <w:ind w:firstLine="480" w:firstLineChars="200"/>
              <w:rPr>
                <w:rFonts w:ascii="仿宋" w:hAnsi="仿宋" w:eastAsia="仿宋"/>
                <w:sz w:val="24"/>
                <w:highlight w:val="none"/>
              </w:rPr>
            </w:pPr>
            <w:r>
              <w:rPr>
                <w:rFonts w:hint="eastAsia" w:ascii="仿宋" w:hAnsi="仿宋" w:eastAsia="仿宋"/>
                <w:sz w:val="24"/>
                <w:highlight w:val="none"/>
              </w:rPr>
              <w:t>3.其他有价证券的验证交存应当符合交易所的规定。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第五十</w:t>
            </w:r>
            <w:r>
              <w:rPr>
                <w:rFonts w:hint="eastAsia" w:ascii="仿宋" w:hAnsi="仿宋" w:eastAsia="仿宋"/>
                <w:b/>
                <w:sz w:val="24"/>
                <w:highlight w:val="none"/>
                <w:lang w:eastAsia="zh-CN"/>
              </w:rPr>
              <w:t>五</w:t>
            </w:r>
            <w:r>
              <w:rPr>
                <w:rFonts w:hint="eastAsia" w:ascii="仿宋" w:hAnsi="仿宋" w:eastAsia="仿宋"/>
                <w:b/>
                <w:sz w:val="24"/>
                <w:highlight w:val="none"/>
              </w:rPr>
              <w:t>条</w:t>
            </w:r>
            <w:r>
              <w:rPr>
                <w:rFonts w:hint="eastAsia" w:ascii="仿宋" w:hAnsi="仿宋" w:eastAsia="仿宋"/>
                <w:sz w:val="24"/>
                <w:highlight w:val="none"/>
              </w:rPr>
              <w:t xml:space="preserve"> 交易所按照会员在期货交易所专用结算账户中的实有货币资金的4倍（配比乘数）确定会员有价证券作为保证金的最大配比金额。</w:t>
            </w:r>
          </w:p>
          <w:p>
            <w:pPr>
              <w:ind w:firstLine="440" w:firstLineChars="200"/>
              <w:rPr>
                <w:rFonts w:ascii="仿宋" w:hAnsi="仿宋" w:eastAsia="仿宋"/>
                <w:sz w:val="24"/>
                <w:highlight w:val="none"/>
              </w:rPr>
            </w:pPr>
            <w:r>
              <w:rPr>
                <w:rFonts w:hint="eastAsia" w:ascii="仿宋" w:hAnsi="仿宋" w:eastAsia="仿宋"/>
                <w:sz w:val="22"/>
                <w:highlight w:val="none"/>
              </w:rPr>
              <w:t>……</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dstrike/>
                <w:sz w:val="24"/>
                <w:highlight w:val="none"/>
              </w:rPr>
              <w:t>五十</w:t>
            </w:r>
            <w:r>
              <w:rPr>
                <w:rFonts w:hint="eastAsia" w:ascii="仿宋" w:hAnsi="仿宋" w:eastAsia="仿宋"/>
                <w:b/>
                <w:dstrike/>
                <w:sz w:val="24"/>
                <w:highlight w:val="none"/>
                <w:lang w:eastAsia="zh-CN"/>
              </w:rPr>
              <w:t>五</w:t>
            </w:r>
            <w:r>
              <w:rPr>
                <w:rFonts w:hint="eastAsia" w:ascii="仿宋" w:hAnsi="仿宋" w:eastAsia="仿宋"/>
                <w:b/>
                <w:sz w:val="24"/>
                <w:highlight w:val="none"/>
                <w:u w:val="single"/>
              </w:rPr>
              <w:t>六十</w:t>
            </w:r>
            <w:r>
              <w:rPr>
                <w:rFonts w:hint="eastAsia" w:ascii="仿宋" w:hAnsi="仿宋" w:eastAsia="仿宋"/>
                <w:b/>
                <w:sz w:val="24"/>
                <w:highlight w:val="none"/>
                <w:u w:val="single"/>
                <w:lang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交易所按照会员在</w:t>
            </w:r>
            <w:r>
              <w:rPr>
                <w:rFonts w:hint="eastAsia" w:ascii="仿宋" w:hAnsi="仿宋" w:eastAsia="仿宋"/>
                <w:dstrike/>
                <w:sz w:val="24"/>
                <w:highlight w:val="none"/>
              </w:rPr>
              <w:t>期货</w:t>
            </w:r>
            <w:r>
              <w:rPr>
                <w:rFonts w:hint="eastAsia" w:ascii="仿宋" w:hAnsi="仿宋" w:eastAsia="仿宋"/>
                <w:sz w:val="24"/>
                <w:highlight w:val="none"/>
              </w:rPr>
              <w:t>交易所</w:t>
            </w:r>
            <w:r>
              <w:rPr>
                <w:rFonts w:hint="eastAsia" w:ascii="仿宋" w:hAnsi="仿宋" w:eastAsia="仿宋"/>
                <w:dstrike/>
                <w:sz w:val="24"/>
                <w:highlight w:val="none"/>
              </w:rPr>
              <w:t>专用结算账户</w:t>
            </w:r>
            <w:r>
              <w:rPr>
                <w:rFonts w:hint="eastAsia" w:ascii="仿宋" w:hAnsi="仿宋" w:eastAsia="仿宋"/>
                <w:b/>
                <w:sz w:val="24"/>
                <w:highlight w:val="none"/>
                <w:u w:val="single"/>
              </w:rPr>
              <w:t>任一内部明细账户</w:t>
            </w:r>
            <w:r>
              <w:rPr>
                <w:rFonts w:hint="eastAsia" w:ascii="仿宋" w:hAnsi="仿宋" w:eastAsia="仿宋"/>
                <w:sz w:val="24"/>
                <w:highlight w:val="none"/>
              </w:rPr>
              <w:t>中的实有货币资金的4倍（配比乘数）确定会员有价证券作为保证金的最大配比金额。</w:t>
            </w:r>
          </w:p>
          <w:p>
            <w:pPr>
              <w:ind w:firstLine="440" w:firstLineChars="200"/>
              <w:rPr>
                <w:rFonts w:ascii="仿宋" w:hAnsi="仿宋" w:eastAsia="仿宋"/>
                <w:sz w:val="24"/>
                <w:highlight w:val="none"/>
              </w:rPr>
            </w:pPr>
            <w:r>
              <w:rPr>
                <w:rFonts w:hint="eastAsia" w:ascii="仿宋" w:hAnsi="仿宋" w:eastAsia="仿宋"/>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第五十</w:t>
            </w:r>
            <w:r>
              <w:rPr>
                <w:rFonts w:hint="eastAsia" w:ascii="仿宋" w:hAnsi="仿宋" w:eastAsia="仿宋"/>
                <w:b/>
                <w:sz w:val="24"/>
                <w:highlight w:val="none"/>
                <w:lang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交易所有权根据市场状况调整资产作为保证金的基准价、折扣比率、配比乘数，并由交易所另行通知。</w:t>
            </w:r>
          </w:p>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sz w:val="24"/>
                <w:highlight w:val="none"/>
                <w:lang w:eastAsia="zh-CN"/>
              </w:rPr>
              <w:t>五十八</w:t>
            </w:r>
            <w:r>
              <w:rPr>
                <w:rFonts w:hint="eastAsia" w:ascii="仿宋" w:hAnsi="仿宋" w:eastAsia="仿宋"/>
                <w:b/>
                <w:sz w:val="24"/>
                <w:highlight w:val="none"/>
              </w:rPr>
              <w:t>条</w:t>
            </w:r>
            <w:r>
              <w:rPr>
                <w:rFonts w:hint="eastAsia" w:ascii="仿宋" w:hAnsi="仿宋" w:eastAsia="仿宋"/>
                <w:sz w:val="24"/>
                <w:highlight w:val="none"/>
              </w:rPr>
              <w:t xml:space="preserve"> 资产作为保证金期限内，会员用于配比的货币资金不足时，交易所按照资产作为保证金配比规定及时对该会员的实际可用资产作为保证金的金额作相应调减；会员增加货币资金时，交易所按照资产作为保证金配比规定及时调增其实际可用资产作为保证金的金额。</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0" w:firstLineChars="200"/>
              <w:rPr>
                <w:rFonts w:ascii="仿宋" w:hAnsi="仿宋" w:eastAsia="仿宋"/>
                <w:dstrike/>
                <w:sz w:val="24"/>
                <w:highlight w:val="none"/>
              </w:rPr>
            </w:pPr>
            <w:r>
              <w:rPr>
                <w:rFonts w:hint="eastAsia" w:ascii="仿宋" w:hAnsi="仿宋" w:eastAsia="仿宋"/>
                <w:dstrike/>
                <w:sz w:val="24"/>
                <w:highlight w:val="none"/>
              </w:rPr>
              <w:t>第五十</w:t>
            </w:r>
            <w:r>
              <w:rPr>
                <w:rFonts w:hint="eastAsia" w:ascii="仿宋" w:hAnsi="仿宋" w:eastAsia="仿宋"/>
                <w:dstrike/>
                <w:sz w:val="24"/>
                <w:highlight w:val="none"/>
                <w:lang w:eastAsia="zh-CN"/>
              </w:rPr>
              <w:t>七</w:t>
            </w:r>
            <w:r>
              <w:rPr>
                <w:rFonts w:hint="eastAsia" w:ascii="仿宋" w:hAnsi="仿宋" w:eastAsia="仿宋"/>
                <w:dstrike/>
                <w:sz w:val="24"/>
                <w:highlight w:val="none"/>
              </w:rPr>
              <w:t>条 交易所有权根据市场状况调整资产作为保证金的基准价、折扣比率、配比乘数，并由交易所另行通知。</w:t>
            </w:r>
          </w:p>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dstrike/>
                <w:sz w:val="24"/>
                <w:highlight w:val="none"/>
                <w:lang w:eastAsia="zh-CN"/>
              </w:rPr>
              <w:t>五十八</w:t>
            </w:r>
            <w:r>
              <w:rPr>
                <w:rFonts w:hint="eastAsia" w:ascii="仿宋" w:hAnsi="仿宋" w:eastAsia="仿宋"/>
                <w:b/>
                <w:sz w:val="24"/>
                <w:highlight w:val="none"/>
                <w:u w:val="single"/>
              </w:rPr>
              <w:t>六十</w:t>
            </w:r>
            <w:r>
              <w:rPr>
                <w:rFonts w:hint="eastAsia" w:ascii="仿宋" w:hAnsi="仿宋" w:eastAsia="仿宋"/>
                <w:b/>
                <w:sz w:val="24"/>
                <w:highlight w:val="none"/>
                <w:u w:val="single"/>
                <w:lang w:eastAsia="zh-CN"/>
              </w:rPr>
              <w:t>五</w:t>
            </w:r>
            <w:r>
              <w:rPr>
                <w:rFonts w:hint="eastAsia" w:ascii="仿宋" w:hAnsi="仿宋" w:eastAsia="仿宋"/>
                <w:b/>
                <w:sz w:val="24"/>
                <w:highlight w:val="none"/>
              </w:rPr>
              <w:t>条</w:t>
            </w:r>
            <w:r>
              <w:rPr>
                <w:rFonts w:hint="eastAsia" w:ascii="仿宋" w:hAnsi="仿宋" w:eastAsia="仿宋"/>
                <w:sz w:val="24"/>
                <w:highlight w:val="none"/>
              </w:rPr>
              <w:t xml:space="preserve"> 资产作为保证金期限内，会员用于配比的货币资金不足时，交易所按照资产作为保证金配比规定及时对该会员的实际可用资产作为保证金的金额作相应调减；会员增加货币资金时，交易所按照资产作为保证金配比规定及时调增其实际可用资产作为保证金的金额。</w:t>
            </w:r>
          </w:p>
          <w:p>
            <w:pPr>
              <w:ind w:firstLine="481" w:firstLineChars="200"/>
              <w:rPr>
                <w:rFonts w:ascii="仿宋" w:hAnsi="仿宋" w:eastAsia="仿宋"/>
                <w:b/>
                <w:sz w:val="24"/>
                <w:highlight w:val="none"/>
                <w:u w:val="single"/>
              </w:rPr>
            </w:pPr>
            <w:r>
              <w:rPr>
                <w:rFonts w:hint="eastAsia" w:ascii="仿宋" w:hAnsi="仿宋" w:eastAsia="仿宋"/>
                <w:b/>
                <w:sz w:val="24"/>
                <w:highlight w:val="none"/>
                <w:u w:val="single"/>
              </w:rPr>
              <w:t>第六十</w:t>
            </w:r>
            <w:r>
              <w:rPr>
                <w:rFonts w:hint="eastAsia" w:ascii="仿宋" w:hAnsi="仿宋" w:eastAsia="仿宋"/>
                <w:b/>
                <w:sz w:val="24"/>
                <w:highlight w:val="none"/>
                <w:u w:val="single"/>
                <w:lang w:eastAsia="zh-CN"/>
              </w:rPr>
              <w:t>六</w:t>
            </w:r>
            <w:r>
              <w:rPr>
                <w:rFonts w:hint="eastAsia" w:ascii="仿宋" w:hAnsi="仿宋" w:eastAsia="仿宋"/>
                <w:b/>
                <w:sz w:val="24"/>
                <w:highlight w:val="none"/>
                <w:u w:val="single"/>
              </w:rPr>
              <w:t>条 交易所有权根据市场状况调整资产作为保证金的基准价、折扣比率、配比乘数，并由交易所另行通知。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第六十</w:t>
            </w:r>
            <w:r>
              <w:rPr>
                <w:rFonts w:hint="eastAsia" w:ascii="仿宋" w:hAnsi="仿宋" w:eastAsia="仿宋"/>
                <w:b/>
                <w:sz w:val="24"/>
                <w:highlight w:val="none"/>
                <w:lang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出现下列情况之一的，交易所可以取消有关会员资产作为保证金的额度：</w:t>
            </w:r>
          </w:p>
          <w:p>
            <w:pPr>
              <w:ind w:firstLine="480" w:firstLineChars="200"/>
              <w:rPr>
                <w:rFonts w:ascii="仿宋" w:hAnsi="仿宋" w:eastAsia="仿宋"/>
                <w:sz w:val="24"/>
                <w:highlight w:val="none"/>
              </w:rPr>
            </w:pPr>
            <w:r>
              <w:rPr>
                <w:rFonts w:hint="eastAsia" w:ascii="仿宋" w:hAnsi="仿宋" w:eastAsia="仿宋"/>
                <w:sz w:val="24"/>
                <w:highlight w:val="none"/>
              </w:rPr>
              <w:t>（一）使用资产作为保证金的会员、境外经纪机构运用资金出现较大风险并有可能危及交易所合法权益的；</w:t>
            </w:r>
          </w:p>
          <w:p>
            <w:pPr>
              <w:ind w:firstLine="480" w:firstLineChars="200"/>
              <w:rPr>
                <w:rFonts w:ascii="仿宋" w:hAnsi="仿宋" w:eastAsia="仿宋"/>
                <w:sz w:val="24"/>
                <w:highlight w:val="none"/>
              </w:rPr>
            </w:pPr>
            <w:r>
              <w:rPr>
                <w:rFonts w:hint="eastAsia" w:ascii="仿宋" w:hAnsi="仿宋" w:eastAsia="仿宋"/>
                <w:sz w:val="24"/>
                <w:highlight w:val="none"/>
              </w:rPr>
              <w:t>（二）作为保证金的资产出现瑕疵或者发生重大风险的；</w:t>
            </w:r>
          </w:p>
          <w:p>
            <w:pPr>
              <w:ind w:firstLine="480" w:firstLineChars="200"/>
              <w:rPr>
                <w:rFonts w:ascii="仿宋" w:hAnsi="仿宋" w:eastAsia="仿宋"/>
                <w:sz w:val="24"/>
                <w:highlight w:val="none"/>
              </w:rPr>
            </w:pPr>
            <w:r>
              <w:rPr>
                <w:rFonts w:hint="eastAsia" w:ascii="仿宋" w:hAnsi="仿宋" w:eastAsia="仿宋"/>
                <w:sz w:val="24"/>
                <w:highlight w:val="none"/>
              </w:rPr>
              <w:t>（三）交易所认为必要的其他情形。</w:t>
            </w:r>
          </w:p>
          <w:p>
            <w:pPr>
              <w:ind w:firstLine="480" w:firstLineChars="200"/>
              <w:rPr>
                <w:rFonts w:ascii="仿宋" w:hAnsi="仿宋" w:eastAsia="仿宋"/>
                <w:sz w:val="24"/>
                <w:highlight w:val="none"/>
              </w:rPr>
            </w:pPr>
            <w:r>
              <w:rPr>
                <w:rFonts w:hint="eastAsia" w:ascii="仿宋" w:hAnsi="仿宋" w:eastAsia="仿宋"/>
                <w:sz w:val="24"/>
                <w:highlight w:val="none"/>
              </w:rPr>
              <w:t>交易所取消会员资产作为保证金的额度后，会员保证金不足的，会员应当补足。</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dstrike w:val="0"/>
                <w:sz w:val="24"/>
                <w:highlight w:val="none"/>
              </w:rPr>
              <w:t>六十</w:t>
            </w:r>
            <w:r>
              <w:rPr>
                <w:rFonts w:hint="eastAsia" w:ascii="仿宋" w:hAnsi="仿宋" w:eastAsia="仿宋"/>
                <w:b/>
                <w:dstrike/>
                <w:sz w:val="24"/>
                <w:highlight w:val="none"/>
                <w:lang w:eastAsia="zh-CN"/>
              </w:rPr>
              <w:t>一</w:t>
            </w:r>
            <w:r>
              <w:rPr>
                <w:rFonts w:hint="eastAsia" w:ascii="仿宋" w:hAnsi="仿宋" w:eastAsia="仿宋"/>
                <w:b/>
                <w:sz w:val="24"/>
                <w:highlight w:val="none"/>
                <w:u w:val="single"/>
                <w:lang w:eastAsia="zh-CN"/>
              </w:rPr>
              <w:t>九</w:t>
            </w:r>
            <w:r>
              <w:rPr>
                <w:rFonts w:hint="eastAsia" w:ascii="仿宋" w:hAnsi="仿宋" w:eastAsia="仿宋"/>
                <w:b/>
                <w:sz w:val="24"/>
                <w:highlight w:val="none"/>
              </w:rPr>
              <w:t>条</w:t>
            </w:r>
            <w:r>
              <w:rPr>
                <w:rFonts w:hint="eastAsia" w:ascii="仿宋" w:hAnsi="仿宋" w:eastAsia="仿宋"/>
                <w:sz w:val="24"/>
                <w:highlight w:val="none"/>
              </w:rPr>
              <w:t xml:space="preserve"> 出现下列情况之一的，交易所可以取消有关会员资产作为保证金的额度：</w:t>
            </w:r>
          </w:p>
          <w:p>
            <w:pPr>
              <w:ind w:firstLine="480" w:firstLineChars="200"/>
              <w:rPr>
                <w:rFonts w:ascii="仿宋" w:hAnsi="仿宋" w:eastAsia="仿宋"/>
                <w:sz w:val="24"/>
                <w:highlight w:val="none"/>
              </w:rPr>
            </w:pPr>
            <w:r>
              <w:rPr>
                <w:rFonts w:hint="eastAsia" w:ascii="仿宋" w:hAnsi="仿宋" w:eastAsia="仿宋"/>
                <w:sz w:val="24"/>
                <w:highlight w:val="none"/>
              </w:rPr>
              <w:t>（一）使用资产作为保证金的会员、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机构运用资金出现较大风险并有可能危及交易所合法权益的；</w:t>
            </w:r>
          </w:p>
          <w:p>
            <w:pPr>
              <w:ind w:firstLine="480" w:firstLineChars="200"/>
              <w:rPr>
                <w:rFonts w:ascii="仿宋" w:hAnsi="仿宋" w:eastAsia="仿宋"/>
                <w:sz w:val="24"/>
                <w:highlight w:val="none"/>
              </w:rPr>
            </w:pPr>
            <w:r>
              <w:rPr>
                <w:rFonts w:hint="eastAsia" w:ascii="仿宋" w:hAnsi="仿宋" w:eastAsia="仿宋"/>
                <w:sz w:val="24"/>
                <w:highlight w:val="none"/>
              </w:rPr>
              <w:t>（二）作为保证金的资产出现瑕疵或者发生重大风险的；</w:t>
            </w:r>
          </w:p>
          <w:p>
            <w:pPr>
              <w:ind w:firstLine="480" w:firstLineChars="200"/>
              <w:rPr>
                <w:rFonts w:ascii="仿宋" w:hAnsi="仿宋" w:eastAsia="仿宋"/>
                <w:sz w:val="24"/>
                <w:highlight w:val="none"/>
              </w:rPr>
            </w:pPr>
            <w:r>
              <w:rPr>
                <w:rFonts w:hint="eastAsia" w:ascii="仿宋" w:hAnsi="仿宋" w:eastAsia="仿宋"/>
                <w:sz w:val="24"/>
                <w:highlight w:val="none"/>
              </w:rPr>
              <w:t>（三）交易所认为必要的其他情形。</w:t>
            </w:r>
          </w:p>
          <w:p>
            <w:pPr>
              <w:ind w:firstLine="480" w:firstLineChars="200"/>
              <w:rPr>
                <w:rFonts w:ascii="仿宋" w:hAnsi="仿宋" w:eastAsia="仿宋"/>
                <w:sz w:val="24"/>
                <w:highlight w:val="none"/>
              </w:rPr>
            </w:pPr>
            <w:r>
              <w:rPr>
                <w:rFonts w:hint="eastAsia" w:ascii="仿宋" w:hAnsi="仿宋" w:eastAsia="仿宋"/>
                <w:sz w:val="24"/>
                <w:highlight w:val="none"/>
              </w:rPr>
              <w:t>交易所取消会员资产作为保证金的额度后，会员保证金不足的，会员应当补足。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第六十</w:t>
            </w:r>
            <w:r>
              <w:rPr>
                <w:rFonts w:hint="eastAsia" w:ascii="仿宋" w:hAnsi="仿宋" w:eastAsia="仿宋"/>
                <w:b/>
                <w:sz w:val="24"/>
                <w:highlight w:val="none"/>
                <w:lang w:eastAsia="zh-CN"/>
              </w:rPr>
              <w:t>四</w:t>
            </w:r>
            <w:r>
              <w:rPr>
                <w:rFonts w:hint="eastAsia" w:ascii="仿宋" w:hAnsi="仿宋" w:eastAsia="仿宋"/>
                <w:b/>
                <w:sz w:val="24"/>
                <w:highlight w:val="none"/>
              </w:rPr>
              <w:t>条</w:t>
            </w:r>
            <w:r>
              <w:rPr>
                <w:rFonts w:hint="eastAsia" w:ascii="仿宋" w:hAnsi="仿宋" w:eastAsia="仿宋"/>
                <w:sz w:val="24"/>
                <w:highlight w:val="none"/>
              </w:rPr>
              <w:t xml:space="preserve"> 会员办理资产提取或者解除质押的，应当弥补相应的保证金。</w:t>
            </w:r>
          </w:p>
          <w:p>
            <w:pPr>
              <w:ind w:firstLine="480" w:firstLineChars="200"/>
              <w:rPr>
                <w:rFonts w:ascii="仿宋" w:hAnsi="仿宋" w:eastAsia="仿宋"/>
                <w:sz w:val="24"/>
                <w:highlight w:val="none"/>
              </w:rPr>
            </w:pPr>
            <w:r>
              <w:rPr>
                <w:rFonts w:hint="eastAsia" w:ascii="仿宋" w:hAnsi="仿宋" w:eastAsia="仿宋"/>
                <w:sz w:val="24"/>
                <w:highlight w:val="none"/>
              </w:rPr>
              <w:t>会员办理资产作为保证金</w:t>
            </w:r>
            <w:r>
              <w:rPr>
                <w:rFonts w:hint="eastAsia" w:ascii="仿宋" w:hAnsi="仿宋" w:eastAsia="仿宋"/>
                <w:sz w:val="24"/>
                <w:highlight w:val="none"/>
                <w:lang w:val="en-US" w:eastAsia="zh-CN"/>
              </w:rPr>
              <w:t>相关</w:t>
            </w:r>
            <w:r>
              <w:rPr>
                <w:rFonts w:hint="eastAsia" w:ascii="仿宋" w:hAnsi="仿宋" w:eastAsia="仿宋"/>
                <w:sz w:val="24"/>
                <w:highlight w:val="none"/>
              </w:rPr>
              <w:t>业务的，办理时间为每个工作日的14：30之前。</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dstrike/>
                <w:sz w:val="24"/>
                <w:highlight w:val="none"/>
              </w:rPr>
              <w:t>六十</w:t>
            </w:r>
            <w:r>
              <w:rPr>
                <w:rFonts w:hint="eastAsia" w:ascii="仿宋" w:hAnsi="仿宋" w:eastAsia="仿宋"/>
                <w:b/>
                <w:dstrike/>
                <w:sz w:val="24"/>
                <w:highlight w:val="none"/>
                <w:lang w:eastAsia="zh-CN"/>
              </w:rPr>
              <w:t>四</w:t>
            </w:r>
            <w:r>
              <w:rPr>
                <w:rFonts w:hint="eastAsia" w:ascii="仿宋" w:hAnsi="仿宋" w:eastAsia="仿宋"/>
                <w:b/>
                <w:sz w:val="24"/>
                <w:highlight w:val="none"/>
                <w:u w:val="single"/>
              </w:rPr>
              <w:t>七十</w:t>
            </w:r>
            <w:r>
              <w:rPr>
                <w:rFonts w:hint="eastAsia" w:ascii="仿宋" w:hAnsi="仿宋" w:eastAsia="仿宋"/>
                <w:b/>
                <w:sz w:val="24"/>
                <w:highlight w:val="none"/>
                <w:u w:val="single"/>
                <w:lang w:eastAsia="zh-CN"/>
              </w:rPr>
              <w:t>二</w:t>
            </w:r>
            <w:r>
              <w:rPr>
                <w:rFonts w:hint="eastAsia" w:ascii="仿宋" w:hAnsi="仿宋" w:eastAsia="仿宋"/>
                <w:b/>
                <w:sz w:val="24"/>
                <w:highlight w:val="none"/>
              </w:rPr>
              <w:t>条</w:t>
            </w:r>
            <w:r>
              <w:rPr>
                <w:rFonts w:hint="eastAsia" w:ascii="仿宋" w:hAnsi="仿宋" w:eastAsia="仿宋"/>
                <w:sz w:val="24"/>
                <w:highlight w:val="none"/>
              </w:rPr>
              <w:t xml:space="preserve"> 会员办理资产提取或者解除质押的，应当弥补相应的保证金。</w:t>
            </w:r>
          </w:p>
          <w:p>
            <w:pPr>
              <w:ind w:firstLine="480" w:firstLineChars="200"/>
              <w:rPr>
                <w:rFonts w:ascii="仿宋" w:hAnsi="仿宋" w:eastAsia="仿宋"/>
                <w:sz w:val="24"/>
                <w:highlight w:val="none"/>
              </w:rPr>
            </w:pPr>
            <w:r>
              <w:rPr>
                <w:rFonts w:hint="eastAsia" w:ascii="仿宋" w:hAnsi="仿宋" w:eastAsia="仿宋"/>
                <w:dstrike/>
                <w:sz w:val="24"/>
                <w:highlight w:val="none"/>
              </w:rPr>
              <w:t>会员办理资产作为保证金</w:t>
            </w:r>
            <w:r>
              <w:rPr>
                <w:rFonts w:hint="eastAsia" w:ascii="仿宋" w:hAnsi="仿宋" w:eastAsia="仿宋"/>
                <w:dstrike/>
                <w:sz w:val="24"/>
                <w:highlight w:val="none"/>
                <w:lang w:val="en-US" w:eastAsia="zh-CN"/>
              </w:rPr>
              <w:t>相关</w:t>
            </w:r>
            <w:r>
              <w:rPr>
                <w:rFonts w:hint="eastAsia" w:ascii="仿宋" w:hAnsi="仿宋" w:eastAsia="仿宋"/>
                <w:dstrike/>
                <w:sz w:val="24"/>
                <w:highlight w:val="none"/>
              </w:rPr>
              <w:t>业务的，办理时间为每个工作日的14：30之前。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Arial"/>
                <w:b/>
                <w:sz w:val="24"/>
                <w:highlight w:val="none"/>
              </w:rPr>
            </w:pPr>
            <w:r>
              <w:rPr>
                <w:rFonts w:hint="eastAsia" w:ascii="仿宋" w:hAnsi="仿宋" w:eastAsia="仿宋"/>
                <w:b/>
                <w:sz w:val="24"/>
                <w:highlight w:val="none"/>
              </w:rPr>
              <w:t>第</w:t>
            </w:r>
            <w:r>
              <w:rPr>
                <w:rFonts w:hint="eastAsia" w:ascii="仿宋" w:hAnsi="仿宋" w:eastAsia="仿宋"/>
                <w:b/>
                <w:dstrike/>
                <w:sz w:val="24"/>
                <w:highlight w:val="none"/>
              </w:rPr>
              <w:t>七</w:t>
            </w:r>
            <w:r>
              <w:rPr>
                <w:rFonts w:hint="eastAsia" w:ascii="仿宋" w:hAnsi="仿宋" w:eastAsia="仿宋"/>
                <w:b/>
                <w:sz w:val="24"/>
                <w:highlight w:val="none"/>
                <w:u w:val="single"/>
              </w:rPr>
              <w:t>八</w:t>
            </w:r>
            <w:r>
              <w:rPr>
                <w:rFonts w:hint="eastAsia" w:ascii="仿宋" w:hAnsi="仿宋" w:eastAsia="仿宋"/>
                <w:b/>
                <w:sz w:val="24"/>
                <w:highlight w:val="none"/>
              </w:rPr>
              <w:t>章</w:t>
            </w:r>
            <w:r>
              <w:rPr>
                <w:rFonts w:ascii="Calibri" w:hAnsi="Calibri" w:eastAsia="仿宋" w:cs="Calibri"/>
                <w:b/>
                <w:sz w:val="24"/>
                <w:highlight w:val="none"/>
              </w:rPr>
              <w:t> </w:t>
            </w:r>
            <w:r>
              <w:rPr>
                <w:rFonts w:hint="eastAsia" w:ascii="仿宋" w:hAnsi="仿宋" w:eastAsia="仿宋"/>
                <w:b/>
                <w:sz w:val="24"/>
                <w:highlight w:val="none"/>
              </w:rPr>
              <w:t>风险与责任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462"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sz w:val="24"/>
                <w:highlight w:val="none"/>
                <w:lang w:eastAsia="zh-CN"/>
              </w:rPr>
              <w:t>六十八</w:t>
            </w:r>
            <w:r>
              <w:rPr>
                <w:rFonts w:hint="eastAsia" w:ascii="仿宋" w:hAnsi="仿宋" w:eastAsia="仿宋"/>
                <w:b/>
                <w:sz w:val="24"/>
                <w:highlight w:val="none"/>
              </w:rPr>
              <w:t>条</w:t>
            </w:r>
            <w:r>
              <w:rPr>
                <w:rFonts w:hint="eastAsia" w:ascii="仿宋" w:hAnsi="仿宋" w:eastAsia="仿宋"/>
                <w:sz w:val="24"/>
                <w:highlight w:val="none"/>
              </w:rPr>
              <w:t xml:space="preserve"> 期货交易风险防范实行分级负责制度。交易所防范会员风险，会员防范其客户、境外经纪机构的风险，境外经纪机构防范其客户的风险。</w:t>
            </w:r>
          </w:p>
        </w:tc>
        <w:tc>
          <w:tcPr>
            <w:tcW w:w="253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w:t>
            </w:r>
            <w:r>
              <w:rPr>
                <w:rFonts w:hint="eastAsia" w:ascii="仿宋" w:hAnsi="仿宋" w:eastAsia="仿宋"/>
                <w:b/>
                <w:dstrike/>
                <w:sz w:val="24"/>
                <w:highlight w:val="none"/>
                <w:lang w:eastAsia="zh-CN"/>
              </w:rPr>
              <w:t>六十八</w:t>
            </w:r>
            <w:r>
              <w:rPr>
                <w:rFonts w:hint="eastAsia" w:ascii="仿宋" w:hAnsi="仿宋" w:eastAsia="仿宋"/>
                <w:b/>
                <w:sz w:val="24"/>
                <w:highlight w:val="none"/>
                <w:u w:val="single"/>
              </w:rPr>
              <w:t>七十</w:t>
            </w:r>
            <w:r>
              <w:rPr>
                <w:rFonts w:hint="eastAsia" w:ascii="仿宋" w:hAnsi="仿宋" w:eastAsia="仿宋"/>
                <w:b/>
                <w:sz w:val="24"/>
                <w:highlight w:val="none"/>
                <w:u w:val="single"/>
                <w:lang w:eastAsia="zh-CN"/>
              </w:rPr>
              <w:t>六</w:t>
            </w:r>
            <w:r>
              <w:rPr>
                <w:rFonts w:hint="eastAsia" w:ascii="仿宋" w:hAnsi="仿宋" w:eastAsia="仿宋"/>
                <w:b/>
                <w:sz w:val="24"/>
                <w:highlight w:val="none"/>
              </w:rPr>
              <w:t>条</w:t>
            </w:r>
            <w:r>
              <w:rPr>
                <w:rFonts w:hint="eastAsia" w:ascii="仿宋" w:hAnsi="仿宋" w:eastAsia="仿宋"/>
                <w:sz w:val="24"/>
                <w:highlight w:val="none"/>
              </w:rPr>
              <w:t xml:space="preserve"> 期货交易风险防范实行分级负责制度。交易所防范会员风险，会员防范其</w:t>
            </w:r>
            <w:r>
              <w:rPr>
                <w:rFonts w:hint="eastAsia" w:ascii="仿宋" w:hAnsi="仿宋" w:eastAsia="仿宋"/>
                <w:dstrike/>
                <w:sz w:val="24"/>
                <w:highlight w:val="none"/>
              </w:rPr>
              <w:t>客户、境外经纪机构</w:t>
            </w:r>
            <w:r>
              <w:rPr>
                <w:rFonts w:hint="eastAsia" w:ascii="仿宋" w:hAnsi="仿宋" w:eastAsia="仿宋"/>
                <w:b/>
                <w:sz w:val="24"/>
                <w:highlight w:val="none"/>
                <w:u w:val="single"/>
              </w:rPr>
              <w:t>结算交割委托人</w:t>
            </w:r>
            <w:r>
              <w:rPr>
                <w:rFonts w:hint="eastAsia" w:ascii="仿宋" w:hAnsi="仿宋" w:eastAsia="仿宋"/>
                <w:sz w:val="24"/>
                <w:highlight w:val="none"/>
              </w:rPr>
              <w:t>的风险，</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机构防范其客户的风险。</w:t>
            </w:r>
          </w:p>
        </w:tc>
      </w:tr>
    </w:tbl>
    <w:p>
      <w:pPr>
        <w:spacing w:after="240"/>
        <w:jc w:val="center"/>
        <w:rPr>
          <w:rFonts w:ascii="黑体" w:hAnsi="黑体" w:eastAsia="黑体"/>
          <w:kern w:val="0"/>
          <w:sz w:val="44"/>
          <w:szCs w:val="44"/>
          <w:highlight w:val="none"/>
        </w:rPr>
      </w:pPr>
      <w:r>
        <w:rPr>
          <w:rFonts w:hint="default" w:ascii="黑体" w:hAnsi="黑体" w:eastAsia="黑体" w:cs="黑体"/>
          <w:sz w:val="32"/>
          <w:szCs w:val="32"/>
          <w:highlight w:val="none"/>
          <w:lang w:val="en-US" w:eastAsia="zh-CN"/>
        </w:rPr>
        <w:br w:type="page"/>
      </w:r>
      <w:r>
        <w:rPr>
          <w:rFonts w:hint="eastAsia" w:ascii="黑体" w:hAnsi="黑体" w:eastAsia="黑体"/>
          <w:kern w:val="0"/>
          <w:sz w:val="44"/>
          <w:szCs w:val="44"/>
          <w:highlight w:val="none"/>
        </w:rPr>
        <w:t>郑州商品交易所期货结算管理办法</w:t>
      </w:r>
    </w:p>
    <w:p>
      <w:pPr>
        <w:spacing w:before="240" w:after="24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ind w:firstLine="480" w:firstLineChars="200"/>
        <w:rPr>
          <w:rFonts w:ascii="宋体" w:hAnsi="宋体" w:cs="宋体"/>
          <w:kern w:val="2"/>
          <w:sz w:val="24"/>
          <w:highlight w:val="none"/>
        </w:rPr>
      </w:pPr>
    </w:p>
    <w:p>
      <w:pPr>
        <w:suppressAutoHyphens/>
        <w:bidi w:val="0"/>
        <w:spacing w:line="360" w:lineRule="auto"/>
        <w:jc w:val="center"/>
        <w:outlineLvl w:val="1"/>
        <w:rPr>
          <w:rFonts w:ascii="Arial" w:hAnsi="Arial" w:cs="Arial"/>
          <w:color w:val="000000"/>
          <w:kern w:val="0"/>
          <w:sz w:val="32"/>
          <w:szCs w:val="32"/>
          <w:highlight w:val="none"/>
        </w:rPr>
      </w:pPr>
      <w:r>
        <w:rPr>
          <w:rFonts w:hint="eastAsia" w:ascii="黑体" w:hAnsi="宋体" w:eastAsia="黑体" w:cs="黑体"/>
          <w:bCs/>
          <w:color w:val="000000"/>
          <w:kern w:val="0"/>
          <w:sz w:val="32"/>
          <w:szCs w:val="32"/>
          <w:highlight w:val="none"/>
        </w:rPr>
        <w:t>第一章  总 则</w:t>
      </w:r>
    </w:p>
    <w:p>
      <w:pPr>
        <w:widowControl/>
        <w:suppressAutoHyphens/>
        <w:bidi w:val="0"/>
        <w:spacing w:line="360" w:lineRule="auto"/>
        <w:ind w:firstLine="560" w:firstLineChars="200"/>
        <w:jc w:val="left"/>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第一条</w:t>
      </w:r>
      <w:r>
        <w:rPr>
          <w:rFonts w:hint="eastAsia" w:ascii="宋体" w:hAnsi="宋体" w:cs="宋体"/>
          <w:color w:val="000000"/>
          <w:kern w:val="0"/>
          <w:sz w:val="28"/>
          <w:szCs w:val="28"/>
          <w:highlight w:val="none"/>
        </w:rPr>
        <w:t xml:space="preserve">  为规范郑州商品交易所(以下简称交易所)期货交易的结算行为，保护期货交易当事人的合法权益和社会公众利益，防范和化解期货市场风险，根据《郑州商品交易所交易规则》，制定本办法。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第二条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kern w:val="0"/>
          <w:sz w:val="28"/>
          <w:szCs w:val="28"/>
          <w:highlight w:val="none"/>
        </w:rPr>
        <w:t>结算是指根据交易结果和交易所有关规定对会员保证金、盈亏、手续费、交割货款及其他有关款项进行计算、划拨的业务活动。</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第三条</w:t>
      </w:r>
      <w:r>
        <w:rPr>
          <w:rFonts w:hint="eastAsia" w:ascii="宋体" w:hAnsi="宋体" w:cs="宋体"/>
          <w:color w:val="000000"/>
          <w:kern w:val="0"/>
          <w:sz w:val="28"/>
          <w:szCs w:val="28"/>
          <w:highlight w:val="none"/>
        </w:rPr>
        <w:t xml:space="preserve">  交易所作为中央对手方，统一组织期货交易的结算。结算实行保证金制度、当日无负债结算制度和风险准备金制度等。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第四条</w:t>
      </w:r>
      <w:r>
        <w:rPr>
          <w:rFonts w:hint="eastAsia" w:ascii="宋体" w:hAnsi="宋体" w:cs="宋体"/>
          <w:color w:val="000000"/>
          <w:kern w:val="0"/>
          <w:sz w:val="28"/>
          <w:szCs w:val="28"/>
          <w:highlight w:val="none"/>
        </w:rPr>
        <w:t xml:space="preserve">  交易所实行全员结算制度。交易所对会员进行结算，期货公司会员对其客户、委托其结算的境外特殊参与者、委托其交易结算的境外中介机构（前述客户、境外特殊参与者、境外中介机构统称为结算交割委托人）进行结算，境外特殊经纪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机构对其客户进行结算。</w:t>
      </w:r>
    </w:p>
    <w:p>
      <w:pPr>
        <w:widowControl/>
        <w:suppressAutoHyphens/>
        <w:bidi w:val="0"/>
        <w:spacing w:line="360" w:lineRule="auto"/>
        <w:ind w:firstLine="560" w:firstLineChars="200"/>
        <w:jc w:val="left"/>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第五条</w:t>
      </w:r>
      <w:r>
        <w:rPr>
          <w:rFonts w:hint="eastAsia" w:ascii="宋体" w:hAnsi="宋体" w:cs="宋体"/>
          <w:color w:val="000000"/>
          <w:kern w:val="0"/>
          <w:sz w:val="28"/>
          <w:szCs w:val="28"/>
          <w:highlight w:val="none"/>
        </w:rPr>
        <w:t xml:space="preserve">  交易所的期货结算业务按本办法进行。交易所、会员、境外特殊参与者、境外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机构、客户和期货保证金指定存管银行（以下简称存管银行）及</w:t>
      </w:r>
      <w:r>
        <w:rPr>
          <w:rFonts w:hint="eastAsia" w:ascii="宋体" w:hAnsi="宋体" w:cs="宋体"/>
          <w:color w:val="000000"/>
          <w:kern w:val="0"/>
          <w:sz w:val="28"/>
          <w:szCs w:val="28"/>
          <w:highlight w:val="none"/>
          <w:lang w:eastAsia="zh-CN"/>
        </w:rPr>
        <w:t>相关</w:t>
      </w:r>
      <w:r>
        <w:rPr>
          <w:rFonts w:hint="eastAsia" w:ascii="宋体" w:hAnsi="宋体" w:cs="宋体"/>
          <w:color w:val="000000"/>
          <w:kern w:val="0"/>
          <w:sz w:val="28"/>
          <w:szCs w:val="28"/>
          <w:highlight w:val="none"/>
        </w:rPr>
        <w:t>工作人员应当遵守本办法。</w:t>
      </w:r>
    </w:p>
    <w:p>
      <w:pPr>
        <w:suppressAutoHyphens/>
        <w:bidi w:val="0"/>
        <w:spacing w:line="360" w:lineRule="auto"/>
        <w:jc w:val="center"/>
        <w:outlineLvl w:val="1"/>
        <w:rPr>
          <w:rFonts w:ascii="Arial" w:hAnsi="Arial" w:cs="Arial"/>
          <w:color w:val="000000"/>
          <w:kern w:val="0"/>
          <w:sz w:val="32"/>
          <w:szCs w:val="32"/>
          <w:highlight w:val="none"/>
        </w:rPr>
      </w:pPr>
      <w:r>
        <w:rPr>
          <w:rFonts w:hint="eastAsia" w:ascii="黑体" w:hAnsi="宋体" w:eastAsia="黑体" w:cs="黑体"/>
          <w:bCs/>
          <w:color w:val="000000"/>
          <w:kern w:val="0"/>
          <w:sz w:val="32"/>
          <w:szCs w:val="32"/>
          <w:highlight w:val="none"/>
        </w:rPr>
        <w:t>第二章  结算机构</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第六条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kern w:val="0"/>
          <w:sz w:val="28"/>
          <w:szCs w:val="28"/>
          <w:highlight w:val="none"/>
        </w:rPr>
        <w:t>结算机构包括交易所和会员的结算部门。</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第七条</w:t>
      </w:r>
      <w:r>
        <w:rPr>
          <w:rFonts w:hint="eastAsia" w:ascii="宋体" w:hAnsi="宋体" w:cs="宋体"/>
          <w:color w:val="000000"/>
          <w:kern w:val="0"/>
          <w:sz w:val="28"/>
          <w:szCs w:val="28"/>
          <w:highlight w:val="none"/>
        </w:rPr>
        <w:t xml:space="preserve">  交易所结算部门负责期货交易、交割的统一结算，保证金管理，风险准备金管理以及结算风险的防范。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所有在交易所交易系统中成交的合约必须通过结算部门进行统一结算。</w:t>
      </w:r>
    </w:p>
    <w:p>
      <w:pPr>
        <w:widowControl/>
        <w:suppressAutoHyphens/>
        <w:bidi w:val="0"/>
        <w:snapToGrid w:val="0"/>
        <w:spacing w:line="360" w:lineRule="auto"/>
        <w:ind w:firstLine="565" w:firstLineChars="202"/>
        <w:jc w:val="left"/>
        <w:rPr>
          <w:rFonts w:ascii="宋体" w:hAnsi="宋体"/>
          <w:color w:val="000000"/>
          <w:kern w:val="0"/>
          <w:sz w:val="28"/>
          <w:highlight w:val="none"/>
        </w:rPr>
      </w:pPr>
      <w:r>
        <w:rPr>
          <w:rFonts w:hint="eastAsia" w:ascii="黑体" w:hAnsi="宋体" w:eastAsia="黑体" w:cs="黑体"/>
          <w:color w:val="000000"/>
          <w:kern w:val="0"/>
          <w:sz w:val="28"/>
          <w:szCs w:val="28"/>
          <w:highlight w:val="none"/>
        </w:rPr>
        <w:t>第八条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olor w:val="000000"/>
          <w:kern w:val="0"/>
          <w:sz w:val="28"/>
          <w:highlight w:val="none"/>
        </w:rPr>
        <w:t>交易所结算部门的主要职责：</w:t>
      </w:r>
    </w:p>
    <w:p>
      <w:pPr>
        <w:widowControl/>
        <w:suppressAutoHyphens/>
        <w:bidi w:val="0"/>
        <w:snapToGrid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（一）编制会员的结算账表；</w:t>
      </w:r>
    </w:p>
    <w:p>
      <w:pPr>
        <w:widowControl/>
        <w:suppressAutoHyphens/>
        <w:bidi w:val="0"/>
        <w:snapToGrid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（二）办理资金往来汇划业务；</w:t>
      </w:r>
    </w:p>
    <w:p>
      <w:pPr>
        <w:widowControl/>
        <w:suppressAutoHyphens/>
        <w:bidi w:val="0"/>
        <w:snapToGrid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（三）统计、登记和报告交易结算情况；</w:t>
      </w:r>
    </w:p>
    <w:p>
      <w:pPr>
        <w:widowControl/>
        <w:suppressAutoHyphens/>
        <w:bidi w:val="0"/>
        <w:snapToGrid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（四）处理会员交易中的账款纠纷；</w:t>
      </w:r>
    </w:p>
    <w:p>
      <w:pPr>
        <w:widowControl/>
        <w:suppressAutoHyphens/>
        <w:bidi w:val="0"/>
        <w:snapToGrid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（五）办理交割结算业务；</w:t>
      </w:r>
    </w:p>
    <w:p>
      <w:pPr>
        <w:widowControl/>
        <w:suppressAutoHyphens/>
        <w:bidi w:val="0"/>
        <w:snapToGrid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（六）控制结算风险；</w:t>
      </w:r>
    </w:p>
    <w:p>
      <w:pPr>
        <w:widowControl/>
        <w:suppressAutoHyphens/>
        <w:bidi w:val="0"/>
        <w:snapToGrid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（七）按规定管理保证金；</w:t>
      </w:r>
    </w:p>
    <w:p>
      <w:pPr>
        <w:widowControl/>
        <w:suppressAutoHyphens/>
        <w:bidi w:val="0"/>
        <w:snapToGrid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（八）按规定办理其他结算业务。</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第九条</w:t>
      </w:r>
      <w:r>
        <w:rPr>
          <w:rFonts w:hint="eastAsia" w:ascii="宋体" w:hAnsi="宋体" w:cs="宋体"/>
          <w:color w:val="000000"/>
          <w:kern w:val="0"/>
          <w:sz w:val="28"/>
          <w:szCs w:val="28"/>
          <w:highlight w:val="none"/>
        </w:rPr>
        <w:t xml:space="preserve"> 交易所依据业务规则对会员、境外特殊参与者、境外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机构和客户涉及期货交易的相关资料，包括交易记录、结算资料、财务报表及相关的凭证和账册等进行检查时，会员、境外特殊参与者、境外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机构和客户应当予以配合。</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第十条</w:t>
      </w:r>
      <w:r>
        <w:rPr>
          <w:rFonts w:hint="eastAsia" w:ascii="宋体" w:hAnsi="宋体" w:cs="宋体"/>
          <w:color w:val="000000"/>
          <w:kern w:val="0"/>
          <w:sz w:val="28"/>
          <w:szCs w:val="28"/>
          <w:highlight w:val="none"/>
        </w:rPr>
        <w:t xml:space="preserve">  会员应当设立结算部门。期货公司会员结算部门负责会员与交易所、会员与</w:t>
      </w:r>
      <w:r>
        <w:rPr>
          <w:rFonts w:hint="eastAsia" w:ascii="宋体" w:hAnsi="宋体" w:eastAsia="宋体" w:cs="宋体"/>
          <w:b w:val="0"/>
          <w:color w:val="000000"/>
          <w:kern w:val="0"/>
          <w:sz w:val="28"/>
          <w:szCs w:val="28"/>
          <w:highlight w:val="none"/>
          <w:u w:val="none"/>
        </w:rPr>
        <w:t>结算交割委托人</w:t>
      </w:r>
      <w:r>
        <w:rPr>
          <w:rFonts w:hint="eastAsia" w:ascii="宋体" w:hAnsi="宋体" w:cs="宋体"/>
          <w:color w:val="000000"/>
          <w:kern w:val="0"/>
          <w:sz w:val="28"/>
          <w:szCs w:val="28"/>
          <w:highlight w:val="none"/>
        </w:rPr>
        <w:t xml:space="preserve">之间的结算工作；非期货公司会员结算部门负责会员与交易所之间的结算工作。 </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会员结算部门应当妥善保管交易记录、结算资料、财务报表及相关凭证、账册，以备查询和核实。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第十一条</w:t>
      </w:r>
      <w:r>
        <w:rPr>
          <w:rFonts w:hint="eastAsia" w:ascii="宋体" w:hAnsi="宋体" w:cs="宋体"/>
          <w:color w:val="000000"/>
          <w:spacing w:val="-12"/>
          <w:kern w:val="0"/>
          <w:sz w:val="28"/>
          <w:szCs w:val="28"/>
          <w:highlight w:val="none"/>
        </w:rPr>
        <w:t xml:space="preserve">  结算相关主体及其工作人员应当保守与结算业务有关的商业秘密。</w:t>
      </w:r>
    </w:p>
    <w:p>
      <w:pPr>
        <w:suppressAutoHyphens/>
        <w:bidi w:val="0"/>
        <w:spacing w:line="360" w:lineRule="auto"/>
        <w:jc w:val="center"/>
        <w:outlineLvl w:val="1"/>
        <w:rPr>
          <w:rFonts w:ascii="Arial" w:hAnsi="Arial" w:cs="Arial"/>
          <w:color w:val="000000"/>
          <w:kern w:val="0"/>
          <w:sz w:val="32"/>
          <w:szCs w:val="32"/>
          <w:highlight w:val="none"/>
        </w:rPr>
      </w:pPr>
      <w:r>
        <w:rPr>
          <w:rFonts w:hint="eastAsia" w:ascii="黑体" w:hAnsi="宋体" w:eastAsia="黑体" w:cs="黑体"/>
          <w:bCs/>
          <w:color w:val="000000"/>
          <w:kern w:val="0"/>
          <w:sz w:val="32"/>
          <w:szCs w:val="32"/>
          <w:highlight w:val="none"/>
        </w:rPr>
        <w:t>第三章  保证金</w:t>
      </w:r>
    </w:p>
    <w:p>
      <w:pPr>
        <w:widowControl/>
        <w:suppressAutoHyphens/>
        <w:bidi w:val="0"/>
        <w:spacing w:line="360" w:lineRule="auto"/>
        <w:jc w:val="center"/>
        <w:rPr>
          <w:rFonts w:ascii="黑体" w:hAnsi="黑体" w:eastAsia="黑体" w:cs="Arial"/>
          <w:color w:val="000000"/>
          <w:kern w:val="0"/>
          <w:szCs w:val="21"/>
          <w:highlight w:val="none"/>
        </w:rPr>
      </w:pPr>
      <w:r>
        <w:rPr>
          <w:rFonts w:hint="eastAsia" w:ascii="黑体" w:hAnsi="黑体" w:eastAsia="黑体" w:cs="宋体"/>
          <w:bCs/>
          <w:color w:val="000000"/>
          <w:kern w:val="0"/>
          <w:sz w:val="28"/>
          <w:szCs w:val="28"/>
          <w:highlight w:val="none"/>
        </w:rPr>
        <w:t>第一节  保证金账户开立与管理</w:t>
      </w:r>
    </w:p>
    <w:p>
      <w:pPr>
        <w:widowControl/>
        <w:suppressAutoHyphens/>
        <w:bidi w:val="0"/>
        <w:spacing w:line="360" w:lineRule="auto"/>
        <w:ind w:firstLine="560" w:firstLineChars="200"/>
        <w:rPr>
          <w:rFonts w:ascii="宋体" w:hAnsi="宋体" w:cs="黑体"/>
          <w:color w:val="000000"/>
          <w:kern w:val="0"/>
          <w:sz w:val="28"/>
          <w:szCs w:val="28"/>
          <w:highlight w:val="none"/>
        </w:rPr>
      </w:pPr>
      <w:r>
        <w:rPr>
          <w:rFonts w:hint="eastAsia" w:ascii="黑体" w:hAnsi="宋体" w:eastAsia="黑体" w:cs="黑体"/>
          <w:color w:val="000000"/>
          <w:kern w:val="0"/>
          <w:sz w:val="28"/>
          <w:szCs w:val="28"/>
          <w:highlight w:val="none"/>
        </w:rPr>
        <w:t xml:space="preserve">第十二条  </w:t>
      </w:r>
      <w:r>
        <w:rPr>
          <w:rFonts w:hint="eastAsia" w:ascii="宋体" w:hAnsi="宋体" w:cs="黑体"/>
          <w:color w:val="000000"/>
          <w:kern w:val="0"/>
          <w:sz w:val="28"/>
          <w:szCs w:val="28"/>
          <w:highlight w:val="none"/>
        </w:rPr>
        <w:t>存管银行是指由交易所指定、协助交易所办理期货交易结算业务的银行业金融机构。</w:t>
      </w:r>
    </w:p>
    <w:p>
      <w:pPr>
        <w:widowControl/>
        <w:suppressAutoHyphens/>
        <w:bidi w:val="0"/>
        <w:spacing w:line="360" w:lineRule="auto"/>
        <w:ind w:firstLine="560" w:firstLineChars="200"/>
        <w:rPr>
          <w:rFonts w:ascii="宋体" w:hAnsi="宋体" w:cs="黑体"/>
          <w:color w:val="000000"/>
          <w:kern w:val="0"/>
          <w:sz w:val="28"/>
          <w:szCs w:val="28"/>
          <w:highlight w:val="none"/>
        </w:rPr>
      </w:pPr>
      <w:r>
        <w:rPr>
          <w:rFonts w:hint="eastAsia" w:ascii="宋体" w:hAnsi="宋体" w:cs="黑体"/>
          <w:color w:val="000000"/>
          <w:kern w:val="0"/>
          <w:sz w:val="28"/>
          <w:szCs w:val="28"/>
          <w:highlight w:val="none"/>
        </w:rPr>
        <w:t>交易所有权对存管银行的期货结算业务进行监督。</w:t>
      </w:r>
    </w:p>
    <w:p>
      <w:pPr>
        <w:widowControl/>
        <w:suppressAutoHyphens/>
        <w:bidi w:val="0"/>
        <w:spacing w:line="360" w:lineRule="auto"/>
        <w:ind w:firstLine="560" w:firstLineChars="200"/>
        <w:rPr>
          <w:rFonts w:ascii="宋体" w:hAnsi="宋体" w:cs="黑体"/>
          <w:color w:val="000000"/>
          <w:kern w:val="0"/>
          <w:sz w:val="28"/>
          <w:szCs w:val="28"/>
          <w:highlight w:val="none"/>
        </w:rPr>
      </w:pPr>
      <w:r>
        <w:rPr>
          <w:rFonts w:hint="eastAsia" w:ascii="宋体" w:hAnsi="宋体" w:cs="黑体"/>
          <w:color w:val="000000"/>
          <w:kern w:val="0"/>
          <w:sz w:val="28"/>
          <w:szCs w:val="28"/>
          <w:highlight w:val="none"/>
        </w:rPr>
        <w:t>存管银行应当遵守《郑州商品交易所指定存管银行管理办法》及交易所其他有关规定。</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第十三条</w:t>
      </w:r>
      <w:r>
        <w:rPr>
          <w:rFonts w:hint="eastAsia" w:ascii="宋体" w:hAnsi="宋体" w:cs="宋体"/>
          <w:color w:val="000000"/>
          <w:kern w:val="0"/>
          <w:sz w:val="28"/>
          <w:szCs w:val="28"/>
          <w:highlight w:val="none"/>
        </w:rPr>
        <w:t xml:space="preserve">  交易所根据业务需要在存管银行开设不同币种的专用结算账户，用于存放会员的保证金及相关款项。 </w:t>
      </w:r>
    </w:p>
    <w:p>
      <w:pPr>
        <w:widowControl/>
        <w:suppressAutoHyphens/>
        <w:bidi w:val="0"/>
        <w:spacing w:line="360" w:lineRule="auto"/>
        <w:ind w:firstLine="560" w:firstLineChars="200"/>
        <w:rPr>
          <w:rFonts w:hint="eastAsia" w:ascii="宋体" w:hAnsi="宋体" w:cs="宋体"/>
          <w:color w:val="000000"/>
          <w:kern w:val="0"/>
          <w:sz w:val="28"/>
          <w:szCs w:val="28"/>
          <w:highlight w:val="none"/>
        </w:rPr>
      </w:pPr>
      <w:r>
        <w:rPr>
          <w:rFonts w:hint="eastAsia" w:ascii="黑体" w:hAnsi="宋体" w:eastAsia="黑体" w:cs="黑体"/>
          <w:color w:val="000000"/>
          <w:kern w:val="0"/>
          <w:sz w:val="28"/>
          <w:szCs w:val="28"/>
          <w:highlight w:val="none"/>
        </w:rPr>
        <w:t>第十四条</w:t>
      </w:r>
      <w:r>
        <w:rPr>
          <w:rFonts w:hint="eastAsia" w:ascii="宋体" w:hAnsi="宋体" w:cs="宋体"/>
          <w:color w:val="000000"/>
          <w:kern w:val="0"/>
          <w:sz w:val="28"/>
          <w:szCs w:val="28"/>
          <w:highlight w:val="none"/>
        </w:rPr>
        <w:t xml:space="preserve">  会员应当在存管银行开设业务需要币种的专用账户，用于存放保证金及相关款项。其中，会员在</w:t>
      </w:r>
      <w:r>
        <w:rPr>
          <w:rFonts w:hint="eastAsia" w:ascii="宋体" w:hAnsi="宋体" w:cs="宋体"/>
          <w:color w:val="000000"/>
          <w:kern w:val="0"/>
          <w:sz w:val="28"/>
          <w:szCs w:val="28"/>
          <w:highlight w:val="none"/>
          <w:lang w:eastAsia="zh-CN"/>
        </w:rPr>
        <w:t>交易所指定</w:t>
      </w:r>
      <w:r>
        <w:rPr>
          <w:rFonts w:hint="eastAsia" w:ascii="宋体" w:hAnsi="宋体" w:cs="宋体"/>
          <w:color w:val="000000"/>
          <w:kern w:val="0"/>
          <w:sz w:val="28"/>
          <w:szCs w:val="28"/>
          <w:highlight w:val="none"/>
        </w:rPr>
        <w:t>存管银行分支机构开设</w:t>
      </w:r>
      <w:r>
        <w:rPr>
          <w:rFonts w:hint="eastAsia" w:ascii="宋体" w:hAnsi="宋体" w:cs="宋体"/>
          <w:color w:val="000000"/>
          <w:kern w:val="0"/>
          <w:sz w:val="28"/>
          <w:szCs w:val="28"/>
          <w:highlight w:val="none"/>
          <w:lang w:eastAsia="zh-CN"/>
        </w:rPr>
        <w:t>并向交易所备案登记</w:t>
      </w:r>
      <w:r>
        <w:rPr>
          <w:rFonts w:hint="eastAsia" w:ascii="宋体" w:hAnsi="宋体" w:cs="宋体"/>
          <w:color w:val="000000"/>
          <w:kern w:val="0"/>
          <w:sz w:val="28"/>
          <w:szCs w:val="28"/>
          <w:highlight w:val="none"/>
        </w:rPr>
        <w:t>的保证金专用账户为会员专用资金账户。</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lang w:val="en-US" w:eastAsia="zh-CN"/>
        </w:rPr>
        <w:t>期货公司</w:t>
      </w:r>
      <w:r>
        <w:rPr>
          <w:rFonts w:hint="eastAsia" w:ascii="宋体" w:hAnsi="宋体" w:cs="宋体"/>
          <w:color w:val="000000"/>
          <w:kern w:val="0"/>
          <w:sz w:val="28"/>
          <w:szCs w:val="28"/>
          <w:highlight w:val="none"/>
          <w:lang w:eastAsia="zh-CN"/>
        </w:rPr>
        <w:t>会员应当至少指定两家存管银行人民币账户作为会员专用资金账户。</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第十五条</w:t>
      </w:r>
      <w:r>
        <w:rPr>
          <w:rFonts w:hint="eastAsia" w:ascii="宋体" w:hAnsi="宋体" w:cs="宋体"/>
          <w:color w:val="000000"/>
          <w:kern w:val="0"/>
          <w:sz w:val="28"/>
          <w:szCs w:val="28"/>
          <w:highlight w:val="none"/>
        </w:rPr>
        <w:t xml:space="preserve">  交易所与会员之间期货业务资金的往来通过交易所专用结算账户和会员专用资金账户办理。</w:t>
      </w:r>
    </w:p>
    <w:p>
      <w:pPr>
        <w:widowControl/>
        <w:suppressAutoHyphens/>
        <w:bidi w:val="0"/>
        <w:spacing w:line="360" w:lineRule="auto"/>
        <w:ind w:firstLine="560" w:firstLineChars="200"/>
        <w:rPr>
          <w:rFonts w:hint="eastAsia" w:ascii="宋体" w:hAnsi="宋体" w:cs="宋体"/>
          <w:color w:val="000000"/>
          <w:kern w:val="0"/>
          <w:sz w:val="28"/>
          <w:szCs w:val="28"/>
          <w:highlight w:val="none"/>
        </w:rPr>
      </w:pPr>
      <w:r>
        <w:rPr>
          <w:rFonts w:hint="eastAsia" w:ascii="黑体" w:hAnsi="宋体" w:eastAsia="黑体" w:cs="黑体"/>
          <w:color w:val="000000"/>
          <w:kern w:val="0"/>
          <w:sz w:val="28"/>
          <w:szCs w:val="28"/>
          <w:highlight w:val="none"/>
        </w:rPr>
        <w:t>第十六条</w:t>
      </w:r>
      <w:r>
        <w:rPr>
          <w:rFonts w:hint="eastAsia" w:ascii="宋体" w:hAnsi="宋体" w:cs="宋体"/>
          <w:color w:val="000000"/>
          <w:kern w:val="0"/>
          <w:sz w:val="28"/>
          <w:szCs w:val="28"/>
          <w:highlight w:val="none"/>
        </w:rPr>
        <w:t xml:space="preserve">  交易所对会员存入交易所专用结算账户的保证金实行分账管理，为每一会员设立内部明细账户，按日序时登记核算每一会员出入金、盈亏、保证金、手续费等。 </w:t>
      </w:r>
    </w:p>
    <w:p>
      <w:pPr>
        <w:widowControl/>
        <w:suppressAutoHyphens/>
        <w:bidi w:val="0"/>
        <w:spacing w:line="360" w:lineRule="auto"/>
        <w:ind w:firstLine="560" w:firstLineChars="200"/>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会员每接受一家境外特殊参与者委托结算的，交易所为会员提供另行设立受托结算内部明细账户的服务，按日序时登记核算每一境外特殊参与者出入金、盈亏、保证金、手续费等。</w:t>
      </w:r>
    </w:p>
    <w:p>
      <w:pPr>
        <w:widowControl/>
        <w:suppressAutoHyphens/>
        <w:bidi w:val="0"/>
        <w:spacing w:line="360" w:lineRule="auto"/>
        <w:ind w:firstLine="560" w:firstLineChars="200"/>
        <w:rPr>
          <w:rFonts w:ascii="宋体" w:hAnsi="宋体" w:cs="宋体"/>
          <w:b/>
          <w:color w:val="000000"/>
          <w:kern w:val="0"/>
          <w:sz w:val="28"/>
          <w:szCs w:val="28"/>
          <w:highlight w:val="none"/>
        </w:rPr>
      </w:pPr>
      <w:r>
        <w:rPr>
          <w:rFonts w:hint="eastAsia" w:ascii="黑体" w:hAnsi="宋体" w:eastAsia="黑体" w:cs="黑体"/>
          <w:color w:val="000000"/>
          <w:kern w:val="0"/>
          <w:sz w:val="28"/>
          <w:szCs w:val="28"/>
          <w:highlight w:val="none"/>
        </w:rPr>
        <w:t>第十七条</w:t>
      </w:r>
      <w:r>
        <w:rPr>
          <w:rFonts w:hint="eastAsia" w:ascii="宋体" w:hAnsi="宋体" w:cs="宋体"/>
          <w:color w:val="000000"/>
          <w:kern w:val="0"/>
          <w:sz w:val="28"/>
          <w:szCs w:val="28"/>
          <w:highlight w:val="none"/>
        </w:rPr>
        <w:t xml:space="preserve">  期货公司会员应当对其客户、境外特殊参与者、境外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机构的保证金实行分账管理，为每一客户、境外特殊参与者、境外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机构设立明细账户，按日序时登记核算每一客户、</w:t>
      </w:r>
      <w:r>
        <w:rPr>
          <w:rFonts w:hint="eastAsia" w:ascii="宋体" w:hAnsi="宋体" w:eastAsia="宋体" w:cs="宋体"/>
          <w:b w:val="0"/>
          <w:color w:val="000000"/>
          <w:kern w:val="0"/>
          <w:sz w:val="28"/>
          <w:szCs w:val="28"/>
          <w:highlight w:val="none"/>
          <w:u w:val="none"/>
        </w:rPr>
        <w:t>境外特殊参与者、</w:t>
      </w:r>
      <w:r>
        <w:rPr>
          <w:rFonts w:hint="eastAsia" w:ascii="宋体" w:hAnsi="宋体" w:cs="宋体"/>
          <w:color w:val="000000"/>
          <w:kern w:val="0"/>
          <w:sz w:val="28"/>
          <w:szCs w:val="28"/>
          <w:highlight w:val="none"/>
        </w:rPr>
        <w:t>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机构出入金、盈亏、保证金、手续费等。期货公司会员通过保证金专用账户与客户、境外特殊参与者、境外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机构进行期货业务资金往来。</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期货公司</w:t>
      </w:r>
      <w:r>
        <w:rPr>
          <w:rFonts w:ascii="宋体" w:hAnsi="宋体" w:cs="宋体"/>
          <w:color w:val="000000"/>
          <w:kern w:val="0"/>
          <w:sz w:val="28"/>
          <w:szCs w:val="28"/>
          <w:highlight w:val="none"/>
        </w:rPr>
        <w:t>会员可以以</w:t>
      </w:r>
      <w:r>
        <w:rPr>
          <w:rFonts w:hint="eastAsia" w:ascii="宋体" w:hAnsi="宋体" w:cs="宋体"/>
          <w:color w:val="000000"/>
          <w:kern w:val="0"/>
          <w:sz w:val="28"/>
          <w:szCs w:val="28"/>
          <w:highlight w:val="none"/>
        </w:rPr>
        <w:t>境外特殊经纪参与者、</w:t>
      </w:r>
      <w:r>
        <w:rPr>
          <w:rFonts w:ascii="宋体" w:hAnsi="宋体" w:cs="宋体"/>
          <w:color w:val="000000"/>
          <w:kern w:val="0"/>
          <w:sz w:val="28"/>
          <w:szCs w:val="28"/>
          <w:highlight w:val="none"/>
        </w:rPr>
        <w:t>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w:t>
      </w:r>
      <w:r>
        <w:rPr>
          <w:rFonts w:ascii="宋体" w:hAnsi="宋体" w:cs="宋体"/>
          <w:color w:val="000000"/>
          <w:kern w:val="0"/>
          <w:sz w:val="28"/>
          <w:szCs w:val="28"/>
          <w:highlight w:val="none"/>
        </w:rPr>
        <w:t>的名义在内部开设综合资金账户，允许其将一个及以上境外客户的资金合并在综合资金账户中。</w:t>
      </w:r>
      <w:r>
        <w:rPr>
          <w:rFonts w:hint="eastAsia" w:ascii="宋体" w:hAnsi="宋体" w:cs="宋体"/>
          <w:color w:val="000000"/>
          <w:kern w:val="0"/>
          <w:sz w:val="28"/>
          <w:szCs w:val="28"/>
          <w:highlight w:val="none"/>
        </w:rPr>
        <w:t>期货公司</w:t>
      </w:r>
      <w:r>
        <w:rPr>
          <w:rFonts w:ascii="宋体" w:hAnsi="宋体" w:cs="宋体"/>
          <w:color w:val="000000"/>
          <w:kern w:val="0"/>
          <w:sz w:val="28"/>
          <w:szCs w:val="28"/>
          <w:highlight w:val="none"/>
        </w:rPr>
        <w:t>会员对</w:t>
      </w:r>
      <w:r>
        <w:rPr>
          <w:rFonts w:hint="eastAsia" w:ascii="宋体" w:hAnsi="宋体" w:cs="宋体"/>
          <w:color w:val="000000"/>
          <w:kern w:val="0"/>
          <w:sz w:val="28"/>
          <w:szCs w:val="28"/>
          <w:highlight w:val="none"/>
        </w:rPr>
        <w:t>境外特殊经纪参与者、</w:t>
      </w:r>
      <w:r>
        <w:rPr>
          <w:rFonts w:ascii="宋体" w:hAnsi="宋体" w:cs="宋体"/>
          <w:color w:val="000000"/>
          <w:kern w:val="0"/>
          <w:sz w:val="28"/>
          <w:szCs w:val="28"/>
          <w:highlight w:val="none"/>
        </w:rPr>
        <w:t>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w:t>
      </w:r>
      <w:r>
        <w:rPr>
          <w:rFonts w:ascii="宋体" w:hAnsi="宋体" w:cs="宋体"/>
          <w:color w:val="000000"/>
          <w:kern w:val="0"/>
          <w:sz w:val="28"/>
          <w:szCs w:val="28"/>
          <w:highlight w:val="none"/>
        </w:rPr>
        <w:t>通过综合资金账户进行统一结算和风险控制。</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境外特殊经纪参与者、</w:t>
      </w:r>
      <w:r>
        <w:rPr>
          <w:rFonts w:ascii="宋体" w:hAnsi="宋体" w:cs="宋体"/>
          <w:color w:val="000000"/>
          <w:kern w:val="0"/>
          <w:sz w:val="28"/>
          <w:szCs w:val="28"/>
          <w:highlight w:val="none"/>
        </w:rPr>
        <w:t>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 xml:space="preserve">机构应当对其每个境外客户所交付的保证金实行分账管理，为每一境外客户设立明细账户，按日序时登记核算每一境外客户出入金、盈亏、保证金、手续费等。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第十八条</w:t>
      </w:r>
      <w:r>
        <w:rPr>
          <w:rFonts w:hint="eastAsia" w:ascii="宋体" w:hAnsi="宋体" w:cs="宋体"/>
          <w:color w:val="000000"/>
          <w:kern w:val="0"/>
          <w:sz w:val="28"/>
          <w:szCs w:val="28"/>
          <w:highlight w:val="none"/>
        </w:rPr>
        <w:t xml:space="preserve">  会员指定专用资金账户时，应当通过资金管理系统向交易所进行备案登记。 </w:t>
      </w:r>
    </w:p>
    <w:p>
      <w:pPr>
        <w:widowControl/>
        <w:suppressAutoHyphens/>
        <w:bidi w:val="0"/>
        <w:spacing w:line="360" w:lineRule="auto"/>
        <w:ind w:firstLine="544" w:firstLineChars="200"/>
        <w:rPr>
          <w:rFonts w:ascii="Arial" w:hAnsi="Arial" w:cs="Arial"/>
          <w:color w:val="000000"/>
          <w:kern w:val="0"/>
          <w:szCs w:val="21"/>
          <w:highlight w:val="none"/>
        </w:rPr>
      </w:pPr>
      <w:r>
        <w:rPr>
          <w:rFonts w:hint="eastAsia" w:ascii="宋体" w:hAnsi="宋体" w:cs="宋体"/>
          <w:color w:val="000000"/>
          <w:spacing w:val="-4"/>
          <w:kern w:val="0"/>
          <w:sz w:val="28"/>
          <w:szCs w:val="28"/>
          <w:highlight w:val="none"/>
        </w:rPr>
        <w:t xml:space="preserve">交易所有权在不通知会员的情况下，通过存管银行从会员的专用资金账户中收取各项应收款项，并且有权随时查询该账户的资金情况。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十九</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会员专用资金账户信息发生变更或注销时，应当通过资金管理系统向交易所变更或解除备案登记。</w:t>
      </w:r>
    </w:p>
    <w:p>
      <w:pPr>
        <w:widowControl/>
        <w:suppressAutoHyphens/>
        <w:bidi w:val="0"/>
        <w:spacing w:line="360" w:lineRule="auto"/>
        <w:jc w:val="center"/>
        <w:rPr>
          <w:rFonts w:ascii="黑体" w:hAnsi="黑体" w:eastAsia="黑体" w:cs="Arial"/>
          <w:color w:val="000000"/>
          <w:kern w:val="0"/>
          <w:szCs w:val="21"/>
          <w:highlight w:val="none"/>
        </w:rPr>
      </w:pPr>
      <w:r>
        <w:rPr>
          <w:rFonts w:hint="eastAsia" w:ascii="黑体" w:hAnsi="黑体" w:eastAsia="黑体" w:cs="宋体"/>
          <w:bCs/>
          <w:color w:val="000000"/>
          <w:kern w:val="0"/>
          <w:sz w:val="28"/>
          <w:szCs w:val="28"/>
          <w:highlight w:val="none"/>
        </w:rPr>
        <w:t>第二节  保证金管理</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黑体" w:hAnsi="宋体" w:eastAsia="黑体" w:cs="黑体"/>
          <w:color w:val="000000"/>
          <w:kern w:val="0"/>
          <w:sz w:val="28"/>
          <w:szCs w:val="28"/>
          <w:highlight w:val="none"/>
        </w:rPr>
        <w:t>第二十条</w:t>
      </w:r>
      <w:r>
        <w:rPr>
          <w:rFonts w:hint="eastAsia" w:ascii="宋体" w:hAnsi="宋体" w:cs="宋体"/>
          <w:color w:val="000000"/>
          <w:kern w:val="0"/>
          <w:sz w:val="28"/>
          <w:szCs w:val="28"/>
          <w:highlight w:val="none"/>
        </w:rPr>
        <w:t xml:space="preserve">  保证金分为结算准备金和交易保证金。</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人民币作为交易所结算币种。经交易所批准，会员可用外汇资金、标准仓单、中华人民共和国财政部在境内发行的记账式国债等价值稳定、流动性强的资产作为保证金。</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黑体" w:hAnsi="宋体" w:eastAsia="黑体" w:cs="黑体"/>
          <w:color w:val="000000"/>
          <w:kern w:val="0"/>
          <w:sz w:val="28"/>
          <w:szCs w:val="28"/>
          <w:highlight w:val="none"/>
        </w:rPr>
        <w:t>第二十</w:t>
      </w:r>
      <w:r>
        <w:rPr>
          <w:rFonts w:hint="eastAsia" w:ascii="黑体" w:hAnsi="宋体" w:eastAsia="黑体" w:cs="黑体"/>
          <w:color w:val="000000"/>
          <w:kern w:val="0"/>
          <w:sz w:val="28"/>
          <w:szCs w:val="28"/>
          <w:highlight w:val="none"/>
          <w:lang w:eastAsia="zh-CN"/>
        </w:rPr>
        <w:t>一</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结算准备金是指会员为了交易结算在交易所专用结算账户中预先准备的资金，是未被合约占用的保证金。 </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期货公司会员的结算准备金的最低余额为200万元；非期货公司会员的结算准备金最低余额为50万元。</w:t>
      </w:r>
    </w:p>
    <w:p>
      <w:pPr>
        <w:widowControl/>
        <w:suppressAutoHyphens/>
        <w:bidi w:val="0"/>
        <w:spacing w:line="360" w:lineRule="auto"/>
        <w:ind w:firstLine="560" w:firstLineChars="200"/>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会员接受境外特殊参与者委托结算、接受境外中介机构委托交易结算的，会员相应的受托结算内部明细账户的结算准备金最低余额由交易所另行通知。</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会员结算准备金最低余额应当以人民币自有资金缴纳。</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第二十</w:t>
      </w:r>
      <w:r>
        <w:rPr>
          <w:rFonts w:hint="eastAsia" w:ascii="黑体" w:hAnsi="宋体" w:eastAsia="黑体" w:cs="黑体"/>
          <w:color w:val="000000"/>
          <w:kern w:val="0"/>
          <w:sz w:val="28"/>
          <w:szCs w:val="28"/>
          <w:highlight w:val="none"/>
          <w:lang w:eastAsia="zh-CN"/>
        </w:rPr>
        <w:t>二</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交易所根据会员当日结算准备金中的货币资金部分，以不低于中国人民银行公布的同期银行活期存款利率计算利息，并在每年3月、6月、9月、12月存管银行支付利息后的下一个交易日内，将利息转入会员结算准备金。具体执行利率由交易所确定、调整并公布。</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第二十</w:t>
      </w:r>
      <w:r>
        <w:rPr>
          <w:rFonts w:hint="eastAsia" w:ascii="黑体" w:hAnsi="宋体" w:eastAsia="黑体" w:cs="黑体"/>
          <w:color w:val="000000"/>
          <w:kern w:val="0"/>
          <w:sz w:val="28"/>
          <w:szCs w:val="28"/>
          <w:highlight w:val="none"/>
          <w:lang w:eastAsia="zh-CN"/>
        </w:rPr>
        <w:t>三</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交易保证金是指会员在交易所专用结算账户中确保合约履行的资金，是已被合约占用的保证金。买卖双方成交后，交易所按持仓合约价值的规定比率或交易所规定的其他方式收取交易保证金。</w:t>
      </w:r>
    </w:p>
    <w:p>
      <w:pPr>
        <w:widowControl/>
        <w:suppressAutoHyphens/>
        <w:bidi w:val="0"/>
        <w:spacing w:line="360" w:lineRule="auto"/>
        <w:ind w:firstLine="560" w:firstLineChars="200"/>
        <w:jc w:val="left"/>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在下列情况下，交易所可以单边收取交易保证金：</w:t>
      </w:r>
    </w:p>
    <w:p>
      <w:pPr>
        <w:widowControl/>
        <w:suppressAutoHyphens/>
        <w:bidi w:val="0"/>
        <w:spacing w:line="360" w:lineRule="auto"/>
        <w:ind w:firstLine="560" w:firstLineChars="200"/>
        <w:jc w:val="left"/>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（一）同一客户在同一会员、境外特殊经纪参与者处的同一合约月份双向持仓，按照保证金金额较大的一边收取；</w:t>
      </w:r>
    </w:p>
    <w:p>
      <w:pPr>
        <w:widowControl/>
        <w:suppressAutoHyphens/>
        <w:bidi w:val="0"/>
        <w:spacing w:line="360" w:lineRule="auto"/>
        <w:ind w:firstLine="560" w:firstLineChars="200"/>
        <w:jc w:val="left"/>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（二）非期货公司会员、境外特殊非经纪参与者同一合约月份的双向持仓，按照保证金金额较大的一边收取；</w:t>
      </w:r>
    </w:p>
    <w:p>
      <w:pPr>
        <w:widowControl/>
        <w:suppressAutoHyphens/>
        <w:bidi w:val="0"/>
        <w:spacing w:line="360" w:lineRule="auto"/>
        <w:ind w:firstLine="560" w:firstLineChars="200"/>
        <w:jc w:val="left"/>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（三）交易所认为必要的其他情况。</w:t>
      </w:r>
    </w:p>
    <w:p>
      <w:pPr>
        <w:widowControl/>
        <w:suppressAutoHyphens/>
        <w:bidi w:val="0"/>
        <w:spacing w:line="360" w:lineRule="auto"/>
        <w:ind w:firstLine="562"/>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第二十</w:t>
      </w:r>
      <w:r>
        <w:rPr>
          <w:rFonts w:hint="eastAsia" w:ascii="黑体" w:hAnsi="宋体" w:eastAsia="黑体" w:cs="黑体"/>
          <w:color w:val="000000"/>
          <w:kern w:val="0"/>
          <w:sz w:val="28"/>
          <w:szCs w:val="28"/>
          <w:highlight w:val="none"/>
          <w:lang w:eastAsia="zh-CN"/>
        </w:rPr>
        <w:t>四</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各品种期货合约的交易保证金比例及不同阶段的交易保证金比例按交易所有关规定执行。</w:t>
      </w:r>
    </w:p>
    <w:p>
      <w:pPr>
        <w:widowControl/>
        <w:suppressAutoHyphens/>
        <w:bidi w:val="0"/>
        <w:spacing w:line="360" w:lineRule="auto"/>
        <w:ind w:firstLine="562" w:firstLineChars="0"/>
        <w:rPr>
          <w:rFonts w:hint="eastAsia" w:ascii="宋体" w:hAnsi="宋体" w:eastAsia="宋体" w:cs="宋体"/>
          <w:color w:val="000000"/>
          <w:kern w:val="0"/>
          <w:sz w:val="28"/>
          <w:szCs w:val="28"/>
          <w:highlight w:val="none"/>
        </w:rPr>
      </w:pPr>
      <w:r>
        <w:rPr>
          <w:rFonts w:hint="eastAsia" w:ascii="黑体" w:hAnsi="宋体" w:eastAsia="黑体" w:cs="黑体"/>
          <w:color w:val="000000"/>
          <w:kern w:val="0"/>
          <w:sz w:val="28"/>
          <w:szCs w:val="28"/>
          <w:highlight w:val="none"/>
        </w:rPr>
        <w:t xml:space="preserve">第二十五条 </w:t>
      </w:r>
      <w:r>
        <w:rPr>
          <w:rFonts w:hint="eastAsia" w:ascii="宋体" w:hAnsi="宋体" w:eastAsia="宋体" w:cs="宋体"/>
          <w:color w:val="000000"/>
          <w:kern w:val="0"/>
          <w:sz w:val="28"/>
          <w:szCs w:val="28"/>
          <w:highlight w:val="none"/>
        </w:rPr>
        <w:t>持有标准仓单的卖方会员向交易所提交折抵头寸申请并征得同意后，与其标准仓单所示数量相同的卖持仓（不含按照本办法规定已经取得交易保证金优惠的持仓）交易保证金在结算时不再收取。会员向交易所提交申请之前须取得结算交割委托人授权。最后交易日闭市前，需要配对交割的仓单处于折抵状态的，卖方会员应当根据结算交割委托人的交割意向解除其相应的仓单折抵，并向交易所提交拟集中交割的仓单数量，方可释放卖方保证金。</w:t>
      </w:r>
    </w:p>
    <w:p>
      <w:pPr>
        <w:widowControl/>
        <w:suppressAutoHyphens/>
        <w:bidi w:val="0"/>
        <w:spacing w:line="360" w:lineRule="auto"/>
        <w:ind w:firstLine="562" w:firstLineChars="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夜盘交易小节，交易所不受理标准仓单折抵等业务。</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黑体" w:hAnsi="宋体" w:eastAsia="黑体" w:cs="黑体"/>
          <w:color w:val="000000"/>
          <w:kern w:val="0"/>
          <w:sz w:val="28"/>
          <w:szCs w:val="28"/>
          <w:highlight w:val="none"/>
        </w:rPr>
        <w:t>第二十</w:t>
      </w:r>
      <w:r>
        <w:rPr>
          <w:rFonts w:hint="eastAsia" w:ascii="黑体" w:hAnsi="宋体" w:eastAsia="黑体" w:cs="黑体"/>
          <w:color w:val="000000"/>
          <w:kern w:val="0"/>
          <w:sz w:val="28"/>
          <w:szCs w:val="28"/>
          <w:highlight w:val="none"/>
          <w:lang w:eastAsia="zh-CN"/>
        </w:rPr>
        <w:t>六</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交易所结合成交数量、成交金额、开仓数量、平仓数量、持仓数量、申报数量、撤单数量、申报撤单比等因素制定交易手续费的计收标准。交易所可以根据市场情况，调整部分或者全部合约的交易手续费计收标准。</w:t>
      </w:r>
    </w:p>
    <w:p>
      <w:pPr>
        <w:widowControl/>
        <w:suppressAutoHyphens/>
        <w:bidi w:val="0"/>
        <w:spacing w:line="360" w:lineRule="auto"/>
        <w:ind w:firstLine="560" w:firstLineChars="200"/>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交易所可以对会员应缴纳的交易手续费进行减收，减收方案由交易所另行制定并根据市场情况进行调整。会员应当根据法律、法规、规章以及交易所有关规定，规范使用交易所减收的交易手续费，不得对交易所认定的高频交易者进行手续费减收</w:t>
      </w:r>
      <w:r>
        <w:rPr>
          <w:rFonts w:hint="eastAsia" w:ascii="宋体" w:hAnsi="宋体" w:cs="宋体"/>
          <w:color w:val="000000"/>
          <w:kern w:val="0"/>
          <w:sz w:val="28"/>
          <w:szCs w:val="28"/>
          <w:highlight w:val="none"/>
          <w:lang w:eastAsia="zh-CN"/>
        </w:rPr>
        <w:t>。</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第二十</w:t>
      </w:r>
      <w:r>
        <w:rPr>
          <w:rFonts w:hint="eastAsia" w:ascii="黑体" w:hAnsi="宋体" w:eastAsia="黑体" w:cs="黑体"/>
          <w:color w:val="000000"/>
          <w:kern w:val="0"/>
          <w:sz w:val="28"/>
          <w:szCs w:val="28"/>
          <w:highlight w:val="none"/>
          <w:lang w:eastAsia="zh-CN"/>
        </w:rPr>
        <w:t>七</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期货公司会员向</w:t>
      </w:r>
      <w:r>
        <w:rPr>
          <w:rFonts w:hint="eastAsia" w:ascii="宋体" w:hAnsi="宋体" w:eastAsia="宋体" w:cs="宋体"/>
          <w:b w:val="0"/>
          <w:color w:val="000000"/>
          <w:kern w:val="0"/>
          <w:sz w:val="28"/>
          <w:szCs w:val="28"/>
          <w:highlight w:val="none"/>
          <w:u w:val="none"/>
        </w:rPr>
        <w:t>结算交割委托人</w:t>
      </w:r>
      <w:r>
        <w:rPr>
          <w:rFonts w:hint="eastAsia" w:ascii="宋体" w:hAnsi="宋体" w:cs="宋体"/>
          <w:color w:val="000000"/>
          <w:kern w:val="0"/>
          <w:sz w:val="28"/>
          <w:szCs w:val="28"/>
          <w:highlight w:val="none"/>
        </w:rPr>
        <w:t>收取的保证金属于</w:t>
      </w:r>
      <w:r>
        <w:rPr>
          <w:rFonts w:hint="eastAsia" w:ascii="宋体" w:hAnsi="宋体" w:eastAsia="宋体" w:cs="宋体"/>
          <w:b w:val="0"/>
          <w:color w:val="000000"/>
          <w:kern w:val="0"/>
          <w:sz w:val="28"/>
          <w:szCs w:val="28"/>
          <w:highlight w:val="none"/>
          <w:u w:val="none"/>
        </w:rPr>
        <w:t>结算交割委托人</w:t>
      </w:r>
      <w:r>
        <w:rPr>
          <w:rFonts w:hint="eastAsia" w:ascii="宋体" w:hAnsi="宋体" w:cs="宋体"/>
          <w:color w:val="000000"/>
          <w:kern w:val="0"/>
          <w:sz w:val="28"/>
          <w:szCs w:val="28"/>
          <w:highlight w:val="none"/>
        </w:rPr>
        <w:t>所有，禁止挪作他用。</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第二十</w:t>
      </w:r>
      <w:r>
        <w:rPr>
          <w:rFonts w:hint="eastAsia" w:ascii="黑体" w:hAnsi="宋体" w:eastAsia="黑体" w:cs="黑体"/>
          <w:color w:val="000000"/>
          <w:kern w:val="0"/>
          <w:sz w:val="28"/>
          <w:szCs w:val="28"/>
          <w:highlight w:val="none"/>
          <w:lang w:eastAsia="zh-CN"/>
        </w:rPr>
        <w:t>八</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期货公司会员向结算交割委托人收取的交易保证金不得低于交易所向会员收取的交易保证金。 </w:t>
      </w:r>
    </w:p>
    <w:p>
      <w:pPr>
        <w:suppressAutoHyphens/>
        <w:bidi w:val="0"/>
        <w:spacing w:line="360" w:lineRule="auto"/>
        <w:jc w:val="center"/>
        <w:outlineLvl w:val="1"/>
        <w:rPr>
          <w:rFonts w:ascii="Arial" w:hAnsi="Arial" w:cs="Arial"/>
          <w:color w:val="000000"/>
          <w:kern w:val="0"/>
          <w:sz w:val="32"/>
          <w:szCs w:val="32"/>
          <w:highlight w:val="none"/>
        </w:rPr>
      </w:pPr>
      <w:r>
        <w:rPr>
          <w:rFonts w:hint="eastAsia" w:ascii="黑体" w:hAnsi="宋体" w:eastAsia="黑体" w:cs="黑体"/>
          <w:bCs/>
          <w:color w:val="000000"/>
          <w:kern w:val="0"/>
          <w:sz w:val="32"/>
          <w:szCs w:val="32"/>
          <w:highlight w:val="none"/>
        </w:rPr>
        <w:t>第四章</w:t>
      </w:r>
      <w:r>
        <w:rPr>
          <w:rFonts w:hint="eastAsia" w:ascii="黑体" w:hAnsi="宋体" w:eastAsia="黑体" w:cs="黑体"/>
          <w:bCs/>
          <w:color w:val="000000"/>
          <w:kern w:val="0"/>
          <w:sz w:val="32"/>
          <w:szCs w:val="32"/>
          <w:highlight w:val="none"/>
          <w:lang w:val="en-US" w:eastAsia="zh-CN"/>
        </w:rPr>
        <w:t xml:space="preserve">  </w:t>
      </w:r>
      <w:r>
        <w:rPr>
          <w:rFonts w:hint="eastAsia" w:ascii="黑体" w:hAnsi="宋体" w:eastAsia="黑体" w:cs="黑体"/>
          <w:bCs/>
          <w:color w:val="000000"/>
          <w:kern w:val="0"/>
          <w:sz w:val="32"/>
          <w:szCs w:val="32"/>
          <w:highlight w:val="none"/>
        </w:rPr>
        <w:t>交易结算</w:t>
      </w:r>
    </w:p>
    <w:p>
      <w:pPr>
        <w:widowControl/>
        <w:suppressAutoHyphens/>
        <w:bidi w:val="0"/>
        <w:spacing w:line="360" w:lineRule="auto"/>
        <w:jc w:val="center"/>
        <w:rPr>
          <w:rFonts w:ascii="黑体" w:hAnsi="黑体" w:eastAsia="黑体" w:cs="Arial"/>
          <w:color w:val="000000"/>
          <w:kern w:val="0"/>
          <w:szCs w:val="21"/>
          <w:highlight w:val="none"/>
        </w:rPr>
      </w:pPr>
      <w:r>
        <w:rPr>
          <w:rFonts w:hint="eastAsia" w:ascii="黑体" w:hAnsi="黑体" w:eastAsia="黑体" w:cs="宋体"/>
          <w:bCs/>
          <w:color w:val="000000"/>
          <w:kern w:val="0"/>
          <w:sz w:val="28"/>
          <w:szCs w:val="28"/>
          <w:highlight w:val="none"/>
        </w:rPr>
        <w:t>第一节  当日结算</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二十九</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交易所实行当日无负债结算制度。</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每日交易结束后</w:t>
      </w:r>
      <w:r>
        <w:rPr>
          <w:rFonts w:hint="eastAsia" w:ascii="宋体" w:hAnsi="Times New Roman" w:cs="宋体"/>
          <w:color w:val="000000"/>
          <w:kern w:val="0"/>
          <w:sz w:val="28"/>
          <w:szCs w:val="28"/>
          <w:highlight w:val="none"/>
        </w:rPr>
        <w:t>,</w:t>
      </w:r>
      <w:r>
        <w:rPr>
          <w:rFonts w:hint="eastAsia" w:ascii="宋体" w:hAnsi="宋体" w:cs="宋体"/>
          <w:color w:val="000000"/>
          <w:kern w:val="0"/>
          <w:sz w:val="28"/>
          <w:szCs w:val="28"/>
          <w:highlight w:val="none"/>
        </w:rPr>
        <w:t xml:space="preserve">交易所按当日结算价结算所有合约的盈亏、交易保证金，收取手续费等费用，对应收应付的款项同时划转，相应增加或者减少会员的结算准备金。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当日有成交价格的期货合约，其当日结算价是指该合约当日成交价格按照成交量的加权平均价。违法违规交易行为影响当日结算价格公平产生的，交易所有权消除违法违规交易行为的不利影响。当日无成交价格的期货合约，其当日结算价按照下列方法确定：</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（一）当日收盘时交易所计算机系统中该合约有买、卖双方报价的，按照最优的买方报价、卖方报价和该合约上一交易日的结算价格三者中居中的一个价格为该无成交合约的当日结算价。</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（二）当日该合约收盘前连续五分钟报价保持停板价格的，则以该停板价格为该无成交合约的当日结算价。</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（三）除上述第（一）、（二）项之外的其他情况，该无成交价格期货合约的当日结算价按照下列方法确定：</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1、当日无成交合约其当日前一有成交的最近月份合约结算价的涨跌幅度（%）小于等于当日无成交合约当日涨跌停板的，则当日无成交合约结算价＝该合约上一交易日的结算价</w:t>
      </w:r>
      <w:r>
        <w:rPr>
          <w:rFonts w:hint="eastAsia" w:ascii="宋体" w:hAnsi="Times New Roman" w:cs="宋体"/>
          <w:color w:val="000000"/>
          <w:kern w:val="0"/>
          <w:sz w:val="28"/>
          <w:szCs w:val="28"/>
          <w:highlight w:val="none"/>
        </w:rPr>
        <w:t>×</w:t>
      </w:r>
      <w:r>
        <w:rPr>
          <w:rFonts w:hint="eastAsia" w:ascii="宋体" w:hAnsi="宋体" w:cs="宋体"/>
          <w:color w:val="000000"/>
          <w:kern w:val="0"/>
          <w:sz w:val="28"/>
          <w:szCs w:val="28"/>
          <w:highlight w:val="none"/>
        </w:rPr>
        <w:t>（1±该合约当日前一有成交的最近月份合约结算价的涨跌幅度）；当日无成交合约前面所有月份合约不存在或没有成交的，则取该品种最活跃月份合约为参照，结算价的确定方法同上。</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2、当日无成交合约其当日前一有成交的最近月份合约结算价的涨跌幅度（%）大于当日无成交合约当日的涨跌停板，则当日无成交合约结算价＝该合约上一交易日的结算价×（1±该合约的当日涨跌停板）；当日无成交合约前面所有月份合约不存在或没有成交的，则取该品种最活跃月份合约为参照，结算价的确定方法同上。</w:t>
      </w:r>
    </w:p>
    <w:p>
      <w:pPr>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3、当日无成交合约前面所有月份合约当日均不存在或没有成交，并且最活跃月份合约当日也没有成交的，则当日无成交合约结算价＝上一交易日该合约的结算价。当上述方法确定的结算价明显偏离公允价格的，交易所可调整结算价，同时价幅参照新上市期货合约管理。</w:t>
      </w:r>
    </w:p>
    <w:p>
      <w:pPr>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最活跃月份合约是指当日“成交量×交易单位”的值最大的合约,若存在两个及以上合约“成交量×交易单位”的值一致的情况，则取其中最近到期月份合约为最活跃月份合约。</w:t>
      </w:r>
    </w:p>
    <w:p>
      <w:pPr>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新上市合约连续三个交易日无成交，交易所可另外调整结算价。</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三十</w:t>
      </w:r>
      <w:r>
        <w:rPr>
          <w:rFonts w:hint="eastAsia" w:ascii="黑体" w:hAnsi="宋体" w:eastAsia="黑体" w:cs="黑体"/>
          <w:color w:val="000000"/>
          <w:kern w:val="0"/>
          <w:sz w:val="28"/>
          <w:szCs w:val="28"/>
          <w:highlight w:val="none"/>
        </w:rPr>
        <w:t xml:space="preserve">条 </w:t>
      </w:r>
      <w:r>
        <w:rPr>
          <w:rFonts w:hint="eastAsia" w:ascii="宋体" w:hAnsi="宋体" w:cs="宋体"/>
          <w:color w:val="000000"/>
          <w:kern w:val="0"/>
          <w:sz w:val="28"/>
          <w:szCs w:val="28"/>
          <w:highlight w:val="none"/>
        </w:rPr>
        <w:t xml:space="preserve"> 交易所结算部门根据会员的平仓、持仓情况及各期货合约的当日结算价计算各个会员的当日盈亏，当日盈亏 = 平仓盈亏 + 持仓盈亏 + 交割差额。</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 xml:space="preserve">(一) 结算部门根据会员平仓合约计算会员平仓盈亏。平仓盈亏的计算公式如下： </w:t>
      </w:r>
    </w:p>
    <w:p>
      <w:pPr>
        <w:widowControl/>
        <w:suppressAutoHyphens/>
        <w:bidi w:val="0"/>
        <w:spacing w:line="360" w:lineRule="auto"/>
        <w:ind w:firstLine="520" w:firstLineChars="200"/>
        <w:rPr>
          <w:rFonts w:ascii="Arial" w:hAnsi="Arial" w:cs="Arial"/>
          <w:color w:val="000000"/>
          <w:kern w:val="0"/>
          <w:szCs w:val="21"/>
          <w:highlight w:val="none"/>
        </w:rPr>
      </w:pPr>
      <w:r>
        <w:rPr>
          <w:rFonts w:hint="eastAsia" w:ascii="宋体" w:hAnsi="宋体" w:cs="宋体"/>
          <w:color w:val="000000"/>
          <w:spacing w:val="-10"/>
          <w:kern w:val="0"/>
          <w:sz w:val="28"/>
          <w:szCs w:val="28"/>
          <w:highlight w:val="none"/>
        </w:rPr>
        <w:t xml:space="preserve">平仓盈亏 = 平历史仓盈亏 + 平当日仓盈亏 </w:t>
      </w:r>
    </w:p>
    <w:p>
      <w:pPr>
        <w:widowControl/>
        <w:suppressAutoHyphens/>
        <w:bidi w:val="0"/>
        <w:spacing w:line="360" w:lineRule="auto"/>
        <w:ind w:firstLine="520" w:firstLineChars="200"/>
        <w:rPr>
          <w:rFonts w:ascii="Arial" w:hAnsi="Arial" w:cs="Arial"/>
          <w:color w:val="000000"/>
          <w:kern w:val="0"/>
          <w:szCs w:val="21"/>
          <w:highlight w:val="none"/>
        </w:rPr>
      </w:pPr>
      <w:r>
        <w:rPr>
          <w:rFonts w:hint="eastAsia" w:ascii="宋体" w:hAnsi="宋体" w:cs="宋体"/>
          <w:color w:val="000000"/>
          <w:spacing w:val="-10"/>
          <w:kern w:val="0"/>
          <w:sz w:val="28"/>
          <w:szCs w:val="28"/>
          <w:highlight w:val="none"/>
        </w:rPr>
        <w:t xml:space="preserve">平历史仓盈亏 = Σ [( 卖出平仓价－上一交易日结算价 ) ×卖出平仓量 ]+ Σ [( 上一交易日结算价－买入平仓价 ) ×买入平仓量 ] </w:t>
      </w:r>
    </w:p>
    <w:p>
      <w:pPr>
        <w:widowControl/>
        <w:suppressAutoHyphens/>
        <w:bidi w:val="0"/>
        <w:spacing w:line="360" w:lineRule="auto"/>
        <w:ind w:firstLine="520" w:firstLineChars="200"/>
        <w:rPr>
          <w:rFonts w:ascii="Arial" w:hAnsi="Arial" w:cs="Arial"/>
          <w:color w:val="000000"/>
          <w:kern w:val="0"/>
          <w:szCs w:val="21"/>
          <w:highlight w:val="none"/>
        </w:rPr>
      </w:pPr>
      <w:r>
        <w:rPr>
          <w:rFonts w:hint="eastAsia" w:ascii="宋体" w:hAnsi="宋体" w:cs="宋体"/>
          <w:color w:val="000000"/>
          <w:spacing w:val="-10"/>
          <w:kern w:val="0"/>
          <w:sz w:val="28"/>
          <w:szCs w:val="28"/>
          <w:highlight w:val="none"/>
        </w:rPr>
        <w:t xml:space="preserve">平当日仓盈亏 = Σ [( 当日卖出平仓价－当日买入开仓价 ) ×卖出平仓量 ]+ Σ [( 当日卖出开仓价－当日买入平仓价 ) ×买入平仓量 ]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 xml:space="preserve">（二） 结算部门根据会员持仓合约和当日结算价计算持仓盈亏。持仓盈亏的计算公式如下： </w:t>
      </w:r>
    </w:p>
    <w:p>
      <w:pPr>
        <w:widowControl/>
        <w:suppressAutoHyphens/>
        <w:bidi w:val="0"/>
        <w:spacing w:line="360" w:lineRule="auto"/>
        <w:ind w:firstLine="528" w:firstLineChars="200"/>
        <w:rPr>
          <w:rFonts w:ascii="Arial" w:hAnsi="Arial" w:cs="Arial"/>
          <w:color w:val="000000"/>
          <w:kern w:val="0"/>
          <w:szCs w:val="21"/>
          <w:highlight w:val="none"/>
        </w:rPr>
      </w:pPr>
      <w:r>
        <w:rPr>
          <w:rFonts w:hint="eastAsia" w:ascii="宋体" w:hAnsi="宋体" w:cs="宋体"/>
          <w:color w:val="000000"/>
          <w:spacing w:val="-8"/>
          <w:kern w:val="0"/>
          <w:sz w:val="28"/>
          <w:szCs w:val="28"/>
          <w:highlight w:val="none"/>
        </w:rPr>
        <w:t xml:space="preserve">持仓盈亏 = 历史持仓盈亏 + 当日开仓持仓盈亏 </w:t>
      </w:r>
    </w:p>
    <w:p>
      <w:pPr>
        <w:widowControl/>
        <w:suppressAutoHyphens/>
        <w:bidi w:val="0"/>
        <w:spacing w:line="360" w:lineRule="auto"/>
        <w:ind w:firstLine="528" w:firstLineChars="200"/>
        <w:rPr>
          <w:rFonts w:ascii="Arial" w:hAnsi="Arial" w:cs="Arial"/>
          <w:color w:val="000000"/>
          <w:kern w:val="0"/>
          <w:szCs w:val="21"/>
          <w:highlight w:val="none"/>
        </w:rPr>
      </w:pPr>
      <w:r>
        <w:rPr>
          <w:rFonts w:hint="eastAsia" w:ascii="宋体" w:hAnsi="宋体" w:cs="宋体"/>
          <w:color w:val="000000"/>
          <w:spacing w:val="-8"/>
          <w:kern w:val="0"/>
          <w:sz w:val="28"/>
          <w:szCs w:val="28"/>
          <w:highlight w:val="none"/>
        </w:rPr>
        <w:t xml:space="preserve">历史持仓盈亏 = Σ [( 上一交易日结算价－当日结算价 ) ×卖出历史持仓量 ]+ Σ [( 当日结算价－上一交易日结算价 ) ×买入历史持仓量 ] </w:t>
      </w:r>
    </w:p>
    <w:p>
      <w:pPr>
        <w:widowControl/>
        <w:suppressAutoHyphens/>
        <w:bidi w:val="0"/>
        <w:spacing w:line="360" w:lineRule="auto"/>
        <w:ind w:firstLine="528" w:firstLineChars="200"/>
        <w:rPr>
          <w:rFonts w:ascii="Arial" w:hAnsi="Arial" w:cs="Arial"/>
          <w:color w:val="000000"/>
          <w:kern w:val="0"/>
          <w:szCs w:val="21"/>
          <w:highlight w:val="none"/>
        </w:rPr>
      </w:pPr>
      <w:r>
        <w:rPr>
          <w:rFonts w:hint="eastAsia" w:ascii="宋体" w:hAnsi="宋体" w:cs="宋体"/>
          <w:color w:val="000000"/>
          <w:spacing w:val="-8"/>
          <w:kern w:val="0"/>
          <w:sz w:val="28"/>
          <w:szCs w:val="28"/>
          <w:highlight w:val="none"/>
        </w:rPr>
        <w:t xml:space="preserve">当日开仓持仓盈亏 = Σ [( 卖出开仓价－当日结算价 ) ×卖出开仓量 ]+ Σ [( 当日结算价－买入开仓价 ) ×买入开仓量 ] </w:t>
      </w:r>
    </w:p>
    <w:p>
      <w:pPr>
        <w:widowControl/>
        <w:suppressAutoHyphens/>
        <w:bidi w:val="0"/>
        <w:spacing w:line="360" w:lineRule="auto"/>
        <w:ind w:firstLine="528" w:firstLineChars="200"/>
        <w:rPr>
          <w:rFonts w:ascii="Arial" w:hAnsi="Arial" w:cs="Arial"/>
          <w:color w:val="000000"/>
          <w:kern w:val="0"/>
          <w:szCs w:val="21"/>
          <w:highlight w:val="none"/>
        </w:rPr>
      </w:pPr>
      <w:r>
        <w:rPr>
          <w:rFonts w:hint="eastAsia" w:ascii="宋体" w:hAnsi="宋体" w:cs="宋体"/>
          <w:color w:val="000000"/>
          <w:spacing w:val="-8"/>
          <w:kern w:val="0"/>
          <w:sz w:val="28"/>
          <w:szCs w:val="28"/>
          <w:highlight w:val="none"/>
        </w:rPr>
        <w:t xml:space="preserve">（三） 结算部门根据会员交割配对合约、当日结算价和交割结算价计算交割差额。交割差额的计算公式如下： </w:t>
      </w:r>
    </w:p>
    <w:p>
      <w:pPr>
        <w:widowControl/>
        <w:suppressAutoHyphens/>
        <w:bidi w:val="0"/>
        <w:spacing w:line="360" w:lineRule="auto"/>
        <w:ind w:firstLine="528" w:firstLineChars="200"/>
        <w:rPr>
          <w:rFonts w:ascii="Arial" w:hAnsi="Arial" w:cs="Arial"/>
          <w:color w:val="000000"/>
          <w:kern w:val="0"/>
          <w:szCs w:val="21"/>
          <w:highlight w:val="none"/>
        </w:rPr>
      </w:pPr>
      <w:r>
        <w:rPr>
          <w:rFonts w:hint="eastAsia" w:ascii="宋体" w:hAnsi="宋体" w:cs="宋体"/>
          <w:color w:val="000000"/>
          <w:spacing w:val="-8"/>
          <w:kern w:val="0"/>
          <w:sz w:val="28"/>
          <w:szCs w:val="28"/>
          <w:highlight w:val="none"/>
        </w:rPr>
        <w:t xml:space="preserve">交割差额 = Σ [( 当日结算价－交割结算价 ) ×卖出配对量 ]+ Σ [( 交割结算价－当日结算价 ) ×买入配对量 ]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第三十</w:t>
      </w:r>
      <w:r>
        <w:rPr>
          <w:rFonts w:hint="eastAsia" w:ascii="黑体" w:hAnsi="宋体" w:eastAsia="黑体" w:cs="黑体"/>
          <w:color w:val="000000"/>
          <w:kern w:val="0"/>
          <w:sz w:val="28"/>
          <w:szCs w:val="28"/>
          <w:highlight w:val="none"/>
          <w:lang w:eastAsia="zh-CN"/>
        </w:rPr>
        <w:t>一</w:t>
      </w:r>
      <w:r>
        <w:rPr>
          <w:rFonts w:hint="eastAsia" w:ascii="黑体" w:hAnsi="宋体" w:eastAsia="黑体" w:cs="黑体"/>
          <w:color w:val="000000"/>
          <w:kern w:val="0"/>
          <w:sz w:val="28"/>
          <w:szCs w:val="28"/>
          <w:highlight w:val="none"/>
        </w:rPr>
        <w:t xml:space="preserve">条 </w:t>
      </w:r>
      <w:r>
        <w:rPr>
          <w:rFonts w:hint="eastAsia" w:ascii="宋体" w:hAnsi="宋体" w:cs="宋体"/>
          <w:color w:val="000000"/>
          <w:kern w:val="0"/>
          <w:sz w:val="28"/>
          <w:szCs w:val="28"/>
          <w:highlight w:val="none"/>
        </w:rPr>
        <w:t xml:space="preserve">当日盈亏在每日结算时进行划转，当日盈利划入会员结算准备金，当日亏损从会员结算准备金中扣划。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 xml:space="preserve">当日结算时的交易保证金超过上一交易日结算时的交易保证金部分从会员结算准备金中扣划。当日结算时的交易保证金低于上一交易日结算时的交易保证金部分划入会员结算准备金。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 xml:space="preserve">手续费等各项费用从会员的结算准备金中扣划。盈亏、费用、货款、税金和期权权利金等款项应当以人民币货币资金支付。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第三十</w:t>
      </w:r>
      <w:r>
        <w:rPr>
          <w:rFonts w:hint="eastAsia" w:ascii="黑体" w:hAnsi="宋体" w:eastAsia="黑体" w:cs="黑体"/>
          <w:color w:val="000000"/>
          <w:kern w:val="0"/>
          <w:sz w:val="28"/>
          <w:szCs w:val="28"/>
          <w:highlight w:val="none"/>
          <w:lang w:eastAsia="zh-CN"/>
        </w:rPr>
        <w:t>二</w:t>
      </w:r>
      <w:r>
        <w:rPr>
          <w:rFonts w:hint="eastAsia" w:ascii="黑体" w:hAnsi="宋体" w:eastAsia="黑体" w:cs="黑体"/>
          <w:color w:val="000000"/>
          <w:kern w:val="0"/>
          <w:sz w:val="28"/>
          <w:szCs w:val="28"/>
          <w:highlight w:val="none"/>
        </w:rPr>
        <w:t xml:space="preserve">条 </w:t>
      </w:r>
      <w:r>
        <w:rPr>
          <w:rFonts w:hint="eastAsia" w:ascii="宋体" w:hAnsi="宋体" w:cs="宋体"/>
          <w:color w:val="000000"/>
          <w:kern w:val="0"/>
          <w:sz w:val="28"/>
          <w:szCs w:val="28"/>
          <w:highlight w:val="none"/>
        </w:rPr>
        <w:t xml:space="preserve"> 结算准备金余额的具体计算公式如下： </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当日结算准备金余额 = 上一交易日结算准备金 + 上一交易日交易保证金－当日交易保证金 + 当日资产作为保证金的实际可用金额－上一交易日资产作为保证金的实际可用金额 + 当日盈亏+ 当日期权权利金收支+入金－出金－手续费等。</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资产作为保证金的实际可用金额的具体计算方法见本办法第</w:t>
      </w:r>
      <w:r>
        <w:rPr>
          <w:rFonts w:hint="eastAsia" w:ascii="宋体" w:hAnsi="宋体" w:cs="宋体"/>
          <w:color w:val="000000"/>
          <w:spacing w:val="-6"/>
          <w:kern w:val="0"/>
          <w:sz w:val="28"/>
          <w:szCs w:val="28"/>
          <w:highlight w:val="none"/>
          <w:lang w:eastAsia="zh-CN"/>
        </w:rPr>
        <w:t>七</w:t>
      </w:r>
      <w:r>
        <w:rPr>
          <w:rFonts w:hint="eastAsia" w:ascii="宋体" w:hAnsi="宋体" w:cs="宋体"/>
          <w:color w:val="000000"/>
          <w:spacing w:val="-6"/>
          <w:kern w:val="0"/>
          <w:sz w:val="28"/>
          <w:szCs w:val="28"/>
          <w:highlight w:val="none"/>
        </w:rPr>
        <w:t>章的有关规定。</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第三十</w:t>
      </w:r>
      <w:r>
        <w:rPr>
          <w:rFonts w:hint="eastAsia" w:ascii="黑体" w:hAnsi="宋体" w:eastAsia="黑体" w:cs="黑体"/>
          <w:color w:val="000000"/>
          <w:kern w:val="0"/>
          <w:sz w:val="28"/>
          <w:szCs w:val="28"/>
          <w:highlight w:val="none"/>
          <w:lang w:eastAsia="zh-CN"/>
        </w:rPr>
        <w:t>三</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当日结算完毕后，交易所通过会员服务系统向会员发送结算结果。会员任一内部明细账户的结算准备金低于最低余额时，该结算结果即视为交易所向会员发出的追加保证金通知。</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交易所发出追加保证金的通知后，可以通过存管银行从会员的专用资金账户中扣划人民币或用外汇资金强制换汇方式补足。</w:t>
      </w:r>
    </w:p>
    <w:p>
      <w:pPr>
        <w:widowControl/>
        <w:suppressAutoHyphens/>
        <w:bidi w:val="0"/>
        <w:spacing w:line="360" w:lineRule="auto"/>
        <w:ind w:firstLine="544" w:firstLineChars="200"/>
        <w:rPr>
          <w:rFonts w:hint="eastAsia" w:ascii="宋体" w:hAnsi="宋体" w:cs="宋体"/>
          <w:color w:val="000000"/>
          <w:spacing w:val="-4"/>
          <w:kern w:val="0"/>
          <w:sz w:val="28"/>
          <w:szCs w:val="28"/>
          <w:highlight w:val="none"/>
        </w:rPr>
      </w:pPr>
      <w:r>
        <w:rPr>
          <w:rFonts w:hint="eastAsia" w:ascii="宋体" w:hAnsi="宋体" w:cs="宋体"/>
          <w:color w:val="000000"/>
          <w:spacing w:val="-4"/>
          <w:kern w:val="0"/>
          <w:sz w:val="28"/>
          <w:szCs w:val="28"/>
          <w:highlight w:val="none"/>
        </w:rPr>
        <w:t>会员必须在下一个交易日开市前补足至结算准备金最低余额。未补足的，按照下列方法处理：</w:t>
      </w:r>
    </w:p>
    <w:p>
      <w:pPr>
        <w:widowControl/>
        <w:suppressAutoHyphens/>
        <w:bidi w:val="0"/>
        <w:spacing w:line="360" w:lineRule="auto"/>
        <w:ind w:firstLine="544" w:firstLineChars="200"/>
        <w:rPr>
          <w:rFonts w:hint="eastAsia" w:ascii="宋体" w:hAnsi="宋体" w:cs="宋体"/>
          <w:color w:val="000000"/>
          <w:spacing w:val="-4"/>
          <w:kern w:val="0"/>
          <w:sz w:val="28"/>
          <w:szCs w:val="28"/>
          <w:highlight w:val="none"/>
        </w:rPr>
      </w:pPr>
      <w:r>
        <w:rPr>
          <w:rFonts w:hint="eastAsia" w:ascii="宋体" w:hAnsi="宋体" w:cs="宋体"/>
          <w:color w:val="000000"/>
          <w:spacing w:val="-4"/>
          <w:kern w:val="0"/>
          <w:sz w:val="28"/>
          <w:szCs w:val="28"/>
          <w:highlight w:val="none"/>
        </w:rPr>
        <w:t>（一）会员在交易所的任一内部明细账户的结算准备金余额大于或等于零且低于结算准备金最低余额的，该账户对应的会员或者境外特殊参与者不得开新仓；</w:t>
      </w:r>
    </w:p>
    <w:p>
      <w:pPr>
        <w:widowControl/>
        <w:suppressAutoHyphens/>
        <w:bidi w:val="0"/>
        <w:spacing w:line="360" w:lineRule="auto"/>
        <w:ind w:firstLine="544" w:firstLineChars="200"/>
        <w:rPr>
          <w:rFonts w:hint="eastAsia" w:ascii="宋体" w:hAnsi="宋体" w:cs="宋体"/>
          <w:color w:val="000000"/>
          <w:spacing w:val="-4"/>
          <w:kern w:val="0"/>
          <w:sz w:val="28"/>
          <w:szCs w:val="28"/>
          <w:highlight w:val="none"/>
        </w:rPr>
      </w:pPr>
      <w:r>
        <w:rPr>
          <w:rFonts w:hint="eastAsia" w:ascii="宋体" w:hAnsi="宋体" w:cs="宋体"/>
          <w:color w:val="000000"/>
          <w:spacing w:val="-4"/>
          <w:kern w:val="0"/>
          <w:sz w:val="28"/>
          <w:szCs w:val="28"/>
          <w:highlight w:val="none"/>
        </w:rPr>
        <w:t>（二）会员在交易所的任一内部明细账户的结算准备金余额小于零的，交易所将按有关规定对该会员强行平仓。</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 xml:space="preserve">交易所可根据市场风险和保证金变动情况，在交易期间发出追加保证金通知，会员须在通知规定的时间内补足保证金。会员在交易所的任一内部明细账户的结算准备金未按时补足且余额小于零的，交易所有权对该会员强行平仓。 </w:t>
      </w:r>
    </w:p>
    <w:p>
      <w:pPr>
        <w:widowControl/>
        <w:suppressAutoHyphens/>
        <w:bidi w:val="0"/>
        <w:spacing w:line="360" w:lineRule="auto"/>
        <w:jc w:val="center"/>
        <w:rPr>
          <w:rFonts w:ascii="黑体" w:hAnsi="黑体" w:eastAsia="黑体" w:cs="Arial"/>
          <w:color w:val="000000"/>
          <w:kern w:val="0"/>
          <w:szCs w:val="21"/>
          <w:highlight w:val="none"/>
        </w:rPr>
      </w:pPr>
      <w:r>
        <w:rPr>
          <w:rFonts w:hint="eastAsia" w:ascii="黑体" w:hAnsi="黑体" w:eastAsia="黑体" w:cs="宋体"/>
          <w:bCs/>
          <w:color w:val="000000"/>
          <w:kern w:val="0"/>
          <w:sz w:val="28"/>
          <w:szCs w:val="28"/>
          <w:highlight w:val="none"/>
        </w:rPr>
        <w:t>第二节  出入金</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黑体" w:hAnsi="宋体" w:eastAsia="黑体" w:cs="黑体"/>
          <w:color w:val="000000"/>
          <w:kern w:val="0"/>
          <w:sz w:val="28"/>
          <w:szCs w:val="28"/>
          <w:highlight w:val="none"/>
        </w:rPr>
        <w:t>第三十</w:t>
      </w:r>
      <w:r>
        <w:rPr>
          <w:rFonts w:hint="eastAsia" w:ascii="黑体" w:hAnsi="宋体" w:eastAsia="黑体" w:cs="黑体"/>
          <w:color w:val="000000"/>
          <w:kern w:val="0"/>
          <w:sz w:val="28"/>
          <w:szCs w:val="28"/>
          <w:highlight w:val="none"/>
          <w:lang w:eastAsia="zh-CN"/>
        </w:rPr>
        <w:t>四</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会员入金可通过资金管理系统或交易所认可的其他转账方式向交易所专用结算账户划入资金。会员划入的资金，经交易所确认到账后，及时增加会员的保证金。</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黑体" w:hAnsi="宋体" w:eastAsia="黑体" w:cs="黑体"/>
          <w:color w:val="000000"/>
          <w:kern w:val="0"/>
          <w:sz w:val="28"/>
          <w:szCs w:val="28"/>
          <w:highlight w:val="none"/>
        </w:rPr>
        <w:t>第三十</w:t>
      </w:r>
      <w:r>
        <w:rPr>
          <w:rFonts w:hint="eastAsia" w:ascii="黑体" w:hAnsi="宋体" w:eastAsia="黑体" w:cs="黑体"/>
          <w:color w:val="000000"/>
          <w:kern w:val="0"/>
          <w:sz w:val="28"/>
          <w:szCs w:val="28"/>
          <w:highlight w:val="none"/>
          <w:lang w:eastAsia="zh-CN"/>
        </w:rPr>
        <w:t>五</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kern w:val="0"/>
          <w:sz w:val="28"/>
          <w:szCs w:val="28"/>
          <w:highlight w:val="none"/>
        </w:rPr>
        <w:t>会员出金须在每交易日上午8：30至下午3时之间，通过资金管理系统提出申请，经交易所审核后办理；特殊情况下无法使用资金管理系统出金的，会员应向交易所提交加盖公章的委托出金授权书或采用交易所认可的其他方式办理。交易所可根据业务发展需要，变更会员出金方式或流程。</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夜盘交易小节，交易所不受理出金申请、不办理出金业务。</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第三十</w:t>
      </w:r>
      <w:r>
        <w:rPr>
          <w:rFonts w:hint="eastAsia" w:ascii="黑体" w:hAnsi="宋体" w:eastAsia="黑体" w:cs="黑体"/>
          <w:color w:val="000000"/>
          <w:kern w:val="0"/>
          <w:sz w:val="28"/>
          <w:szCs w:val="28"/>
          <w:highlight w:val="none"/>
          <w:lang w:eastAsia="zh-CN"/>
        </w:rPr>
        <w:t>六</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会员的出金标准为：</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（一）</w:t>
      </w:r>
      <w:r>
        <w:rPr>
          <w:rFonts w:ascii="宋体" w:hAnsi="宋体" w:cs="宋体"/>
          <w:color w:val="000000"/>
          <w:spacing w:val="-6"/>
          <w:kern w:val="0"/>
          <w:sz w:val="28"/>
          <w:szCs w:val="28"/>
          <w:highlight w:val="none"/>
        </w:rPr>
        <w:t>当交易保证金实有货币资金部分大于等于资产作为保证金金额</w:t>
      </w:r>
      <w:r>
        <w:rPr>
          <w:rFonts w:hint="eastAsia" w:ascii="宋体" w:hAnsi="宋体" w:cs="宋体"/>
          <w:color w:val="000000"/>
          <w:spacing w:val="-6"/>
          <w:kern w:val="0"/>
          <w:sz w:val="28"/>
          <w:szCs w:val="28"/>
          <w:highlight w:val="none"/>
        </w:rPr>
        <w:t>（外汇作为保证金金额除外）</w:t>
      </w:r>
      <w:r>
        <w:rPr>
          <w:rFonts w:ascii="宋体" w:hAnsi="宋体" w:cs="宋体"/>
          <w:color w:val="000000"/>
          <w:spacing w:val="-6"/>
          <w:kern w:val="0"/>
          <w:sz w:val="28"/>
          <w:szCs w:val="28"/>
          <w:highlight w:val="none"/>
        </w:rPr>
        <w:t>的25%时，可出金额＝结算准备金－结算准备金最低余额</w:t>
      </w:r>
      <w:r>
        <w:rPr>
          <w:rFonts w:hint="eastAsia" w:ascii="宋体" w:hAnsi="宋体" w:cs="宋体"/>
          <w:color w:val="000000"/>
          <w:spacing w:val="-6"/>
          <w:kern w:val="0"/>
          <w:sz w:val="28"/>
          <w:szCs w:val="28"/>
          <w:highlight w:val="none"/>
        </w:rPr>
        <w:t>；</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（二）</w:t>
      </w:r>
      <w:r>
        <w:rPr>
          <w:rFonts w:ascii="宋体" w:hAnsi="宋体" w:cs="宋体"/>
          <w:color w:val="000000"/>
          <w:spacing w:val="-6"/>
          <w:kern w:val="0"/>
          <w:sz w:val="28"/>
          <w:szCs w:val="28"/>
          <w:highlight w:val="none"/>
        </w:rPr>
        <w:t>当交易保证金实有货币资金部分小于资产作为保证金金额</w:t>
      </w:r>
      <w:r>
        <w:rPr>
          <w:rFonts w:hint="eastAsia" w:ascii="宋体" w:hAnsi="宋体" w:cs="宋体"/>
          <w:color w:val="000000"/>
          <w:spacing w:val="-6"/>
          <w:kern w:val="0"/>
          <w:sz w:val="28"/>
          <w:szCs w:val="28"/>
          <w:highlight w:val="none"/>
        </w:rPr>
        <w:t>（外汇作为保证金金额除外）</w:t>
      </w:r>
      <w:r>
        <w:rPr>
          <w:rFonts w:ascii="宋体" w:hAnsi="宋体" w:cs="宋体"/>
          <w:color w:val="000000"/>
          <w:spacing w:val="-6"/>
          <w:kern w:val="0"/>
          <w:sz w:val="28"/>
          <w:szCs w:val="28"/>
          <w:highlight w:val="none"/>
        </w:rPr>
        <w:t>的25%时，可出金额＝结算准备金实有货币资金部分－</w:t>
      </w:r>
      <w:r>
        <w:rPr>
          <w:rFonts w:hint="eastAsia" w:ascii="宋体" w:hAnsi="宋体" w:cs="宋体"/>
          <w:color w:val="000000"/>
          <w:spacing w:val="-6"/>
          <w:kern w:val="0"/>
          <w:sz w:val="28"/>
          <w:szCs w:val="28"/>
          <w:highlight w:val="none"/>
        </w:rPr>
        <w:t>[</w:t>
      </w:r>
      <w:r>
        <w:rPr>
          <w:rFonts w:ascii="宋体" w:hAnsi="宋体" w:cs="宋体"/>
          <w:color w:val="000000"/>
          <w:spacing w:val="-6"/>
          <w:kern w:val="0"/>
          <w:sz w:val="28"/>
          <w:szCs w:val="28"/>
          <w:highlight w:val="none"/>
        </w:rPr>
        <w:t>资产作为保证金金额</w:t>
      </w:r>
      <w:r>
        <w:rPr>
          <w:rFonts w:hint="eastAsia" w:ascii="宋体" w:hAnsi="宋体" w:cs="宋体"/>
          <w:color w:val="000000"/>
          <w:spacing w:val="-6"/>
          <w:kern w:val="0"/>
          <w:sz w:val="28"/>
          <w:szCs w:val="28"/>
          <w:highlight w:val="none"/>
        </w:rPr>
        <w:t>（外汇作为保证金金额除外）</w:t>
      </w:r>
      <w:r>
        <w:rPr>
          <w:rFonts w:ascii="宋体" w:hAnsi="宋体" w:cs="宋体"/>
          <w:color w:val="000000"/>
          <w:spacing w:val="-6"/>
          <w:kern w:val="0"/>
          <w:sz w:val="28"/>
          <w:szCs w:val="28"/>
          <w:highlight w:val="none"/>
        </w:rPr>
        <w:t>×25%-交易保证金实有货币资金部分</w:t>
      </w:r>
      <w:r>
        <w:rPr>
          <w:rFonts w:hint="eastAsia" w:ascii="宋体" w:hAnsi="宋体" w:cs="宋体"/>
          <w:color w:val="000000"/>
          <w:spacing w:val="-6"/>
          <w:kern w:val="0"/>
          <w:sz w:val="28"/>
          <w:szCs w:val="28"/>
          <w:highlight w:val="none"/>
        </w:rPr>
        <w:t>]</w:t>
      </w:r>
      <w:r>
        <w:rPr>
          <w:rFonts w:ascii="宋体" w:hAnsi="宋体" w:cs="宋体"/>
          <w:color w:val="000000"/>
          <w:spacing w:val="-6"/>
          <w:kern w:val="0"/>
          <w:sz w:val="28"/>
          <w:szCs w:val="28"/>
          <w:highlight w:val="none"/>
        </w:rPr>
        <w:t>－结算准备金最低余额</w:t>
      </w:r>
      <w:r>
        <w:rPr>
          <w:rFonts w:hint="eastAsia" w:ascii="宋体" w:hAnsi="宋体" w:cs="宋体"/>
          <w:color w:val="000000"/>
          <w:spacing w:val="-6"/>
          <w:kern w:val="0"/>
          <w:sz w:val="28"/>
          <w:szCs w:val="28"/>
          <w:highlight w:val="none"/>
        </w:rPr>
        <w:t>。</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实有货币资金指实有人民币资金和外汇资金价值按照折扣比率折算后的人民币金额之和，外汇资金的折算方法见本办法第</w:t>
      </w:r>
      <w:r>
        <w:rPr>
          <w:rFonts w:hint="eastAsia" w:ascii="宋体" w:hAnsi="宋体" w:cs="宋体"/>
          <w:color w:val="000000"/>
          <w:kern w:val="0"/>
          <w:sz w:val="28"/>
          <w:szCs w:val="28"/>
          <w:highlight w:val="none"/>
          <w:lang w:eastAsia="zh-CN"/>
        </w:rPr>
        <w:t>七</w:t>
      </w:r>
      <w:r>
        <w:rPr>
          <w:rFonts w:hint="eastAsia" w:ascii="宋体" w:hAnsi="宋体" w:cs="宋体"/>
          <w:color w:val="000000"/>
          <w:kern w:val="0"/>
          <w:sz w:val="28"/>
          <w:szCs w:val="28"/>
          <w:highlight w:val="none"/>
        </w:rPr>
        <w:t>章有关规定。</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外汇资金折算的人民币金额不可以人民币方式出金，外汇可出金额以交存的外汇资金为限。</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交易所可根据市场风险状况对会员出金标准做适当调整。</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第三十</w:t>
      </w:r>
      <w:r>
        <w:rPr>
          <w:rFonts w:hint="eastAsia" w:ascii="黑体" w:hAnsi="宋体" w:eastAsia="黑体" w:cs="黑体"/>
          <w:color w:val="000000"/>
          <w:kern w:val="0"/>
          <w:sz w:val="28"/>
          <w:szCs w:val="28"/>
          <w:highlight w:val="none"/>
          <w:lang w:eastAsia="zh-CN"/>
        </w:rPr>
        <w:t>七</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kern w:val="0"/>
          <w:sz w:val="28"/>
          <w:szCs w:val="28"/>
          <w:highlight w:val="none"/>
        </w:rPr>
        <w:t>会员、境外特殊参与者、境外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机构或者客户有下列情况之一的，交易所可以限制会员出金，要求会员限制其客户、境外特殊参与者、境外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机构出金，以及要求境外特殊经纪参与者、境外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 xml:space="preserve">机构配合限制客户出金：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 xml:space="preserve">（一）涉嫌重大违规，经交易所立案调查的； </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（二）因投诉、举报、交易纠纷等被司法部门、交易所或者其他有关部门正式立案调查，且正处在调查期间的； </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（三）交易所认为市场出现重大风险的；</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（四）会员未在规定的时间内补足人民币至结算准备金最低余额或不配合交易所为其客户、境外特殊经纪参与者、境外</w:t>
      </w:r>
      <w:r>
        <w:rPr>
          <w:rFonts w:hint="eastAsia" w:ascii="宋体" w:hAnsi="宋体" w:cs="宋体"/>
          <w:color w:val="000000"/>
          <w:kern w:val="0"/>
          <w:sz w:val="28"/>
          <w:szCs w:val="28"/>
          <w:highlight w:val="none"/>
          <w:lang w:eastAsia="zh-CN"/>
        </w:rPr>
        <w:t>中介</w:t>
      </w:r>
      <w:r>
        <w:rPr>
          <w:rFonts w:hint="eastAsia" w:ascii="宋体" w:hAnsi="宋体" w:cs="宋体"/>
          <w:color w:val="000000"/>
          <w:kern w:val="0"/>
          <w:sz w:val="28"/>
          <w:szCs w:val="28"/>
          <w:highlight w:val="none"/>
        </w:rPr>
        <w:t>机构进行结购汇的；</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（五）交易所认为必要的其他情况。</w:t>
      </w:r>
    </w:p>
    <w:p>
      <w:pPr>
        <w:widowControl/>
        <w:suppressAutoHyphens/>
        <w:bidi w:val="0"/>
        <w:spacing w:line="360" w:lineRule="auto"/>
        <w:jc w:val="center"/>
        <w:rPr>
          <w:rFonts w:ascii="黑体" w:hAnsi="黑体" w:eastAsia="黑体" w:cs="Arial"/>
          <w:color w:val="000000"/>
          <w:kern w:val="0"/>
          <w:szCs w:val="21"/>
          <w:highlight w:val="none"/>
        </w:rPr>
      </w:pPr>
      <w:r>
        <w:rPr>
          <w:rFonts w:hint="eastAsia" w:ascii="黑体" w:hAnsi="黑体" w:eastAsia="黑体" w:cs="宋体"/>
          <w:bCs/>
          <w:color w:val="000000"/>
          <w:kern w:val="0"/>
          <w:sz w:val="28"/>
          <w:szCs w:val="28"/>
          <w:highlight w:val="none"/>
        </w:rPr>
        <w:t>第三节  结算数据</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第三十</w:t>
      </w:r>
      <w:r>
        <w:rPr>
          <w:rFonts w:hint="eastAsia" w:ascii="黑体" w:hAnsi="宋体" w:eastAsia="黑体" w:cs="黑体"/>
          <w:color w:val="000000"/>
          <w:kern w:val="0"/>
          <w:sz w:val="28"/>
          <w:szCs w:val="28"/>
          <w:highlight w:val="none"/>
          <w:lang w:eastAsia="zh-CN"/>
        </w:rPr>
        <w:t>八</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当日交易结束后</w:t>
      </w:r>
      <w:r>
        <w:rPr>
          <w:rFonts w:hint="eastAsia" w:ascii="宋体" w:hAnsi="宋体" w:cs="宋体"/>
          <w:b/>
          <w:bCs/>
          <w:color w:val="000000"/>
          <w:kern w:val="0"/>
          <w:sz w:val="28"/>
          <w:szCs w:val="28"/>
          <w:highlight w:val="none"/>
        </w:rPr>
        <w:t>，</w:t>
      </w:r>
      <w:r>
        <w:rPr>
          <w:rFonts w:hint="eastAsia" w:ascii="宋体" w:hAnsi="宋体" w:cs="宋体"/>
          <w:color w:val="000000"/>
          <w:kern w:val="0"/>
          <w:sz w:val="28"/>
          <w:szCs w:val="28"/>
          <w:highlight w:val="none"/>
        </w:rPr>
        <w:t>交易所对每一会员的盈亏、交易手续费、保证金等款项进行结算。交易所采用发放纸质结算单据或电子结算单据等方式向会员提供当日结算数据。结算数据是会员核对当日有关交易并对结算交割委托人结算的依据。因特殊情况不能按时提供结算数据的，交易所另行通知提供结算数据的时间。</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三十九</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会员应当每天及时获取交易所提供的结算数据，做好核对工作，并应当妥善保存至少20年，但对有关期货交易存在争议的，应保存至该争议消除时为止。</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四十</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会员对结算结果有异议的，应当在下一交易日开市前30分钟以书面形式通知交易所。如遇特殊情况，会员可在下一交易日开市后 2 小时内以书面形式通知交易所。在规定时间内，会员没有对结算结果提出异议的，视作已认可结算结果的正确性。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第四十</w:t>
      </w:r>
      <w:r>
        <w:rPr>
          <w:rFonts w:hint="eastAsia" w:ascii="黑体" w:hAnsi="宋体" w:eastAsia="黑体" w:cs="黑体"/>
          <w:color w:val="000000"/>
          <w:kern w:val="0"/>
          <w:sz w:val="28"/>
          <w:szCs w:val="28"/>
          <w:highlight w:val="none"/>
          <w:lang w:eastAsia="zh-CN"/>
        </w:rPr>
        <w:t>一</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交易所在每月月初向会员提供上月的《郑州商品交易所保证金结算核对单》，作为会员核查交易账簿记录的依据。 </w:t>
      </w:r>
    </w:p>
    <w:p>
      <w:pPr>
        <w:widowControl/>
        <w:suppressAutoHyphens/>
        <w:bidi w:val="0"/>
        <w:spacing w:line="360" w:lineRule="auto"/>
        <w:jc w:val="center"/>
        <w:rPr>
          <w:rFonts w:ascii="黑体" w:hAnsi="黑体" w:eastAsia="黑体" w:cs="Arial"/>
          <w:color w:val="000000"/>
          <w:kern w:val="0"/>
          <w:szCs w:val="21"/>
          <w:highlight w:val="none"/>
        </w:rPr>
      </w:pPr>
      <w:r>
        <w:rPr>
          <w:rFonts w:hint="eastAsia" w:ascii="黑体" w:hAnsi="黑体" w:eastAsia="黑体" w:cs="宋体"/>
          <w:bCs/>
          <w:color w:val="000000"/>
          <w:kern w:val="0"/>
          <w:sz w:val="28"/>
          <w:szCs w:val="28"/>
          <w:highlight w:val="none"/>
        </w:rPr>
        <w:t>第四节  移仓</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第四十</w:t>
      </w:r>
      <w:r>
        <w:rPr>
          <w:rFonts w:hint="eastAsia" w:ascii="黑体" w:hAnsi="宋体" w:eastAsia="黑体" w:cs="黑体"/>
          <w:color w:val="000000"/>
          <w:kern w:val="0"/>
          <w:sz w:val="28"/>
          <w:szCs w:val="28"/>
          <w:highlight w:val="none"/>
          <w:lang w:eastAsia="zh-CN"/>
        </w:rPr>
        <w:t>二</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会员</w:t>
      </w:r>
      <w:r>
        <w:rPr>
          <w:rFonts w:hint="eastAsia" w:ascii="宋体" w:hAnsi="宋体"/>
          <w:color w:val="000000"/>
          <w:kern w:val="0"/>
          <w:sz w:val="28"/>
          <w:highlight w:val="none"/>
        </w:rPr>
        <w:t>发生下列情形之一的，可以申请移仓</w:t>
      </w:r>
      <w:r>
        <w:rPr>
          <w:rFonts w:hint="eastAsia" w:ascii="宋体" w:hAnsi="宋体" w:cs="宋体"/>
          <w:color w:val="000000"/>
          <w:kern w:val="0"/>
          <w:sz w:val="28"/>
          <w:szCs w:val="28"/>
          <w:highlight w:val="none"/>
        </w:rPr>
        <w:t>：</w:t>
      </w:r>
    </w:p>
    <w:p>
      <w:pPr>
        <w:widowControl/>
        <w:suppressAutoHyphens/>
        <w:bidi w:val="0"/>
        <w:spacing w:line="360" w:lineRule="auto"/>
        <w:ind w:firstLine="560" w:firstLineChars="200"/>
        <w:jc w:val="left"/>
        <w:rPr>
          <w:rFonts w:ascii="Arial" w:hAnsi="Arial" w:cs="Arial"/>
          <w:color w:val="000000"/>
          <w:kern w:val="0"/>
          <w:szCs w:val="21"/>
          <w:highlight w:val="none"/>
        </w:rPr>
      </w:pPr>
      <w:r>
        <w:rPr>
          <w:rFonts w:hint="eastAsia" w:ascii="宋体" w:hAnsi="宋体" w:cs="宋体"/>
          <w:color w:val="000000"/>
          <w:kern w:val="0"/>
          <w:sz w:val="28"/>
          <w:szCs w:val="28"/>
          <w:highlight w:val="none"/>
        </w:rPr>
        <w:t>（一）</w:t>
      </w:r>
      <w:r>
        <w:rPr>
          <w:rFonts w:hint="eastAsia" w:ascii="宋体" w:hAnsi="宋体"/>
          <w:color w:val="000000"/>
          <w:kern w:val="0"/>
          <w:sz w:val="28"/>
          <w:highlight w:val="none"/>
        </w:rPr>
        <w:t>因故不能从事期货业务，或者发生经监管部门批准的合并、分立、破产的</w:t>
      </w:r>
      <w:r>
        <w:rPr>
          <w:rFonts w:hint="eastAsia" w:ascii="宋体" w:hAnsi="宋体" w:cs="宋体"/>
          <w:color w:val="000000"/>
          <w:kern w:val="0"/>
          <w:sz w:val="28"/>
          <w:szCs w:val="28"/>
          <w:highlight w:val="none"/>
        </w:rPr>
        <w:t>；</w:t>
      </w:r>
    </w:p>
    <w:p>
      <w:pPr>
        <w:widowControl/>
        <w:suppressAutoHyphens/>
        <w:bidi w:val="0"/>
        <w:spacing w:line="360" w:lineRule="auto"/>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（二）违反《郑州商品交易所期货交易风险控制管理办法》，引发交易、交割违规、违约风险的；</w:t>
      </w:r>
    </w:p>
    <w:p>
      <w:pPr>
        <w:widowControl/>
        <w:suppressAutoHyphens/>
        <w:bidi w:val="0"/>
        <w:spacing w:line="360" w:lineRule="auto"/>
        <w:ind w:firstLine="560" w:firstLineChars="200"/>
        <w:jc w:val="left"/>
        <w:rPr>
          <w:rFonts w:ascii="宋体" w:hAnsi="宋体" w:cs="Arial"/>
          <w:color w:val="000000"/>
          <w:kern w:val="0"/>
          <w:szCs w:val="21"/>
          <w:highlight w:val="none"/>
        </w:rPr>
      </w:pPr>
      <w:r>
        <w:rPr>
          <w:rFonts w:hint="eastAsia" w:ascii="宋体" w:hAnsi="宋体"/>
          <w:color w:val="000000"/>
          <w:kern w:val="0"/>
          <w:sz w:val="28"/>
          <w:highlight w:val="none"/>
        </w:rPr>
        <w:t>（三）变更委托</w:t>
      </w:r>
      <w:r>
        <w:rPr>
          <w:rFonts w:hint="eastAsia" w:ascii="宋体" w:hAnsi="宋体"/>
          <w:color w:val="000000"/>
          <w:kern w:val="0"/>
          <w:sz w:val="28"/>
          <w:highlight w:val="none"/>
          <w:lang w:eastAsia="zh-CN"/>
        </w:rPr>
        <w:t>结算</w:t>
      </w:r>
      <w:r>
        <w:rPr>
          <w:rFonts w:hint="eastAsia" w:ascii="宋体" w:hAnsi="宋体"/>
          <w:color w:val="000000"/>
          <w:kern w:val="0"/>
          <w:sz w:val="28"/>
          <w:highlight w:val="none"/>
        </w:rPr>
        <w:t>关系的；</w:t>
      </w:r>
    </w:p>
    <w:p>
      <w:pPr>
        <w:widowControl/>
        <w:suppressAutoHyphens/>
        <w:bidi w:val="0"/>
        <w:spacing w:line="360" w:lineRule="auto"/>
        <w:ind w:firstLine="560" w:firstLineChars="200"/>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（四）交易所认可的其他情形。</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在会员出现破产等重大经营危机但未申请移仓的特殊情形下，为保护客户权益，交易所可以启动移仓。</w:t>
      </w:r>
    </w:p>
    <w:p>
      <w:pPr>
        <w:widowControl/>
        <w:suppressAutoHyphens/>
        <w:bidi w:val="0"/>
        <w:spacing w:line="360" w:lineRule="auto"/>
        <w:ind w:firstLine="560" w:firstLineChars="200"/>
        <w:jc w:val="left"/>
        <w:rPr>
          <w:rFonts w:ascii="宋体" w:hAnsi="宋体"/>
          <w:color w:val="000000"/>
          <w:kern w:val="0"/>
          <w:sz w:val="28"/>
          <w:highlight w:val="none"/>
        </w:rPr>
      </w:pPr>
      <w:r>
        <w:rPr>
          <w:rFonts w:hint="eastAsia" w:ascii="黑体" w:hAnsi="宋体" w:eastAsia="黑体" w:cs="黑体"/>
          <w:color w:val="000000"/>
          <w:kern w:val="0"/>
          <w:sz w:val="28"/>
          <w:szCs w:val="28"/>
          <w:highlight w:val="none"/>
        </w:rPr>
        <w:t>第四十</w:t>
      </w:r>
      <w:r>
        <w:rPr>
          <w:rFonts w:hint="eastAsia" w:ascii="黑体" w:hAnsi="宋体" w:eastAsia="黑体" w:cs="黑体"/>
          <w:color w:val="000000"/>
          <w:kern w:val="0"/>
          <w:sz w:val="28"/>
          <w:szCs w:val="28"/>
          <w:highlight w:val="none"/>
          <w:lang w:eastAsia="zh-CN"/>
        </w:rPr>
        <w:t>三</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olor w:val="000000"/>
          <w:kern w:val="0"/>
          <w:sz w:val="28"/>
          <w:highlight w:val="none"/>
        </w:rPr>
        <w:t>交易所办理本办法第四十</w:t>
      </w:r>
      <w:r>
        <w:rPr>
          <w:rFonts w:hint="eastAsia" w:ascii="宋体" w:hAnsi="宋体"/>
          <w:color w:val="000000"/>
          <w:kern w:val="0"/>
          <w:sz w:val="28"/>
          <w:highlight w:val="none"/>
          <w:lang w:eastAsia="zh-CN"/>
        </w:rPr>
        <w:t>二</w:t>
      </w:r>
      <w:r>
        <w:rPr>
          <w:rFonts w:hint="eastAsia" w:ascii="宋体" w:hAnsi="宋体"/>
          <w:color w:val="000000"/>
          <w:kern w:val="0"/>
          <w:sz w:val="28"/>
          <w:highlight w:val="none"/>
        </w:rPr>
        <w:t>条规定的移仓的，可以要求提供移入和移出会员同意移仓的声明书、客户同意移仓的声明书、变更委托结算关系声明书、相关持仓的详细清单等一项或者多项移仓申请材料。</w:t>
      </w:r>
    </w:p>
    <w:p>
      <w:pPr>
        <w:widowControl/>
        <w:suppressAutoHyphens/>
        <w:bidi w:val="0"/>
        <w:snapToGrid/>
        <w:spacing w:line="360" w:lineRule="auto"/>
        <w:ind w:firstLine="560" w:firstLineChars="200"/>
        <w:jc w:val="left"/>
        <w:rPr>
          <w:rFonts w:hint="eastAsia" w:ascii="宋体" w:hAnsi="宋体" w:cs="宋体"/>
          <w:color w:val="000000"/>
          <w:kern w:val="0"/>
          <w:sz w:val="28"/>
          <w:szCs w:val="28"/>
          <w:highlight w:val="none"/>
        </w:rPr>
      </w:pPr>
      <w:r>
        <w:rPr>
          <w:rFonts w:hint="eastAsia" w:ascii="宋体" w:hAnsi="宋体"/>
          <w:color w:val="000000"/>
          <w:kern w:val="0"/>
          <w:sz w:val="28"/>
          <w:highlight w:val="none"/>
        </w:rPr>
        <w:t>移仓申请经批准后，交易所与会员约定具体的移仓日</w:t>
      </w:r>
      <w:r>
        <w:rPr>
          <w:rFonts w:hint="eastAsia" w:ascii="宋体" w:hAnsi="宋体" w:cs="宋体"/>
          <w:color w:val="000000"/>
          <w:kern w:val="0"/>
          <w:sz w:val="28"/>
          <w:szCs w:val="28"/>
          <w:highlight w:val="none"/>
        </w:rPr>
        <w:t>。</w:t>
      </w:r>
    </w:p>
    <w:p>
      <w:pPr>
        <w:widowControl/>
        <w:suppressAutoHyphens/>
        <w:bidi w:val="0"/>
        <w:snapToGrid/>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移仓日当日结算完成后，交易所为会员实施移仓，并提供移仓前和移仓后的相关结算报表由会员确认。相关会员应当核对并确认相关结算报表，一经确认，不得更改。</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宋体" w:hAnsi="宋体"/>
          <w:color w:val="000000"/>
          <w:kern w:val="0"/>
          <w:sz w:val="28"/>
          <w:highlight w:val="none"/>
        </w:rPr>
        <w:t>移仓内容仅包括持仓，不包括当日的盈亏、交易手续费、保证金等其他款项</w:t>
      </w:r>
      <w:r>
        <w:rPr>
          <w:rFonts w:hint="eastAsia" w:ascii="宋体" w:hAnsi="宋体" w:cs="宋体"/>
          <w:color w:val="000000"/>
          <w:kern w:val="0"/>
          <w:sz w:val="28"/>
          <w:szCs w:val="28"/>
          <w:highlight w:val="none"/>
        </w:rPr>
        <w:t>。</w:t>
      </w:r>
    </w:p>
    <w:p>
      <w:pPr>
        <w:widowControl/>
        <w:suppressAutoHyphens/>
        <w:bidi w:val="0"/>
        <w:spacing w:line="360" w:lineRule="auto"/>
        <w:ind w:firstLine="560" w:firstLineChars="200"/>
        <w:jc w:val="left"/>
        <w:rPr>
          <w:rFonts w:ascii="宋体" w:hAnsi="宋体"/>
          <w:color w:val="000000"/>
          <w:kern w:val="0"/>
          <w:sz w:val="28"/>
          <w:highlight w:val="none"/>
        </w:rPr>
      </w:pPr>
      <w:r>
        <w:rPr>
          <w:rFonts w:hint="eastAsia" w:ascii="黑体" w:hAnsi="宋体" w:eastAsia="黑体" w:cs="黑体"/>
          <w:color w:val="000000"/>
          <w:kern w:val="0"/>
          <w:sz w:val="28"/>
          <w:szCs w:val="28"/>
          <w:highlight w:val="none"/>
        </w:rPr>
        <w:t>第四十</w:t>
      </w:r>
      <w:r>
        <w:rPr>
          <w:rFonts w:hint="eastAsia" w:ascii="黑体" w:hAnsi="宋体" w:eastAsia="黑体" w:cs="黑体"/>
          <w:color w:val="000000"/>
          <w:kern w:val="0"/>
          <w:sz w:val="28"/>
          <w:szCs w:val="28"/>
          <w:highlight w:val="none"/>
          <w:lang w:eastAsia="zh-CN"/>
        </w:rPr>
        <w:t>四</w:t>
      </w:r>
      <w:r>
        <w:rPr>
          <w:rFonts w:hint="eastAsia" w:ascii="黑体" w:hAnsi="宋体" w:eastAsia="黑体" w:cs="黑体"/>
          <w:color w:val="000000"/>
          <w:kern w:val="0"/>
          <w:sz w:val="28"/>
          <w:szCs w:val="28"/>
          <w:highlight w:val="none"/>
        </w:rPr>
        <w:t>条</w:t>
      </w:r>
      <w:r>
        <w:rPr>
          <w:rFonts w:hint="eastAsia" w:ascii="宋体" w:hAnsi="宋体"/>
          <w:color w:val="000000"/>
          <w:kern w:val="0"/>
          <w:sz w:val="28"/>
          <w:highlight w:val="none"/>
        </w:rPr>
        <w:t xml:space="preserve">  客户发生下列情形之一的，可以申请移仓：</w:t>
      </w:r>
    </w:p>
    <w:p>
      <w:pPr>
        <w:widowControl/>
        <w:suppressAutoHyphens/>
        <w:bidi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（一）同一客户通过不同期货公司会员从事期货交易的；</w:t>
      </w:r>
    </w:p>
    <w:p>
      <w:pPr>
        <w:widowControl/>
        <w:suppressAutoHyphens/>
        <w:bidi w:val="0"/>
        <w:spacing w:line="360" w:lineRule="auto"/>
        <w:ind w:firstLine="560" w:firstLineChars="200"/>
        <w:jc w:val="left"/>
        <w:rPr>
          <w:rFonts w:hint="eastAsia" w:ascii="宋体" w:hAnsi="宋体"/>
          <w:color w:val="000000"/>
          <w:kern w:val="0"/>
          <w:sz w:val="28"/>
          <w:highlight w:val="none"/>
        </w:rPr>
      </w:pPr>
      <w:r>
        <w:rPr>
          <w:rFonts w:hint="eastAsia" w:ascii="宋体" w:hAnsi="宋体"/>
          <w:color w:val="000000"/>
          <w:kern w:val="0"/>
          <w:sz w:val="28"/>
          <w:highlight w:val="none"/>
        </w:rPr>
        <w:t>（二）同一客户通过不同境外特殊经纪参与者从事期货交易的；</w:t>
      </w:r>
    </w:p>
    <w:p>
      <w:pPr>
        <w:widowControl/>
        <w:suppressAutoHyphens/>
        <w:bidi w:val="0"/>
        <w:spacing w:line="360" w:lineRule="auto"/>
        <w:ind w:firstLine="560" w:firstLineChars="200"/>
        <w:jc w:val="left"/>
        <w:rPr>
          <w:rFonts w:hint="eastAsia" w:ascii="宋体" w:hAnsi="宋体"/>
          <w:color w:val="000000"/>
          <w:kern w:val="0"/>
          <w:sz w:val="28"/>
          <w:highlight w:val="none"/>
        </w:rPr>
      </w:pPr>
      <w:r>
        <w:rPr>
          <w:rFonts w:hint="eastAsia" w:ascii="宋体" w:hAnsi="宋体"/>
          <w:color w:val="000000"/>
          <w:kern w:val="0"/>
          <w:sz w:val="28"/>
          <w:highlight w:val="none"/>
        </w:rPr>
        <w:t>（三）同一客户分别通过期货公司会员和境外特殊经纪参与者从事期货交易的；</w:t>
      </w:r>
    </w:p>
    <w:p>
      <w:pPr>
        <w:widowControl/>
        <w:suppressAutoHyphens/>
        <w:bidi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w:t>
      </w:r>
      <w:r>
        <w:rPr>
          <w:rFonts w:hint="eastAsia" w:ascii="宋体" w:hAnsi="宋体"/>
          <w:color w:val="000000"/>
          <w:kern w:val="0"/>
          <w:sz w:val="28"/>
          <w:highlight w:val="none"/>
          <w:lang w:eastAsia="zh-CN"/>
        </w:rPr>
        <w:t>四</w:t>
      </w:r>
      <w:r>
        <w:rPr>
          <w:rFonts w:hint="eastAsia" w:ascii="宋体" w:hAnsi="宋体"/>
          <w:color w:val="000000"/>
          <w:kern w:val="0"/>
          <w:sz w:val="28"/>
          <w:highlight w:val="none"/>
        </w:rPr>
        <w:t>）交易所认可的其他情形。</w:t>
      </w:r>
    </w:p>
    <w:p>
      <w:pPr>
        <w:widowControl/>
        <w:suppressAutoHyphens/>
        <w:bidi w:val="0"/>
        <w:spacing w:line="360" w:lineRule="auto"/>
        <w:ind w:firstLine="560" w:firstLineChars="200"/>
        <w:rPr>
          <w:rFonts w:ascii="宋体" w:hAnsi="宋体"/>
          <w:color w:val="000000"/>
          <w:kern w:val="0"/>
          <w:sz w:val="28"/>
          <w:highlight w:val="none"/>
        </w:rPr>
      </w:pPr>
      <w:r>
        <w:rPr>
          <w:rFonts w:hint="eastAsia" w:ascii="宋体" w:hAnsi="宋体"/>
          <w:color w:val="000000"/>
          <w:kern w:val="0"/>
          <w:sz w:val="28"/>
          <w:highlight w:val="none"/>
        </w:rPr>
        <w:t>非期货公司会员或者境外特殊非经纪参与者移仓可以参照本条办理。</w:t>
      </w:r>
    </w:p>
    <w:p>
      <w:pPr>
        <w:widowControl/>
        <w:suppressAutoHyphens/>
        <w:bidi w:val="0"/>
        <w:spacing w:line="360" w:lineRule="auto"/>
        <w:ind w:firstLine="560" w:firstLineChars="200"/>
        <w:jc w:val="left"/>
        <w:rPr>
          <w:rFonts w:ascii="宋体" w:hAnsi="宋体"/>
          <w:color w:val="000000"/>
          <w:kern w:val="0"/>
          <w:sz w:val="28"/>
          <w:highlight w:val="none"/>
        </w:rPr>
      </w:pPr>
      <w:r>
        <w:rPr>
          <w:rFonts w:hint="eastAsia" w:ascii="黑体" w:hAnsi="宋体" w:eastAsia="黑体" w:cs="黑体"/>
          <w:color w:val="000000"/>
          <w:kern w:val="0"/>
          <w:sz w:val="28"/>
          <w:szCs w:val="28"/>
          <w:highlight w:val="none"/>
        </w:rPr>
        <w:t>第四十</w:t>
      </w:r>
      <w:r>
        <w:rPr>
          <w:rFonts w:hint="eastAsia" w:ascii="黑体" w:hAnsi="宋体" w:eastAsia="黑体" w:cs="黑体"/>
          <w:color w:val="000000"/>
          <w:kern w:val="0"/>
          <w:sz w:val="28"/>
          <w:szCs w:val="28"/>
          <w:highlight w:val="none"/>
          <w:lang w:eastAsia="zh-CN"/>
        </w:rPr>
        <w:t>五</w:t>
      </w:r>
      <w:r>
        <w:rPr>
          <w:rFonts w:hint="eastAsia" w:ascii="黑体" w:hAnsi="宋体" w:eastAsia="黑体" w:cs="黑体"/>
          <w:color w:val="000000"/>
          <w:kern w:val="0"/>
          <w:sz w:val="28"/>
          <w:szCs w:val="28"/>
          <w:highlight w:val="none"/>
        </w:rPr>
        <w:t>条</w:t>
      </w:r>
      <w:r>
        <w:rPr>
          <w:rFonts w:hint="eastAsia" w:ascii="宋体" w:hAnsi="宋体"/>
          <w:color w:val="000000"/>
          <w:kern w:val="0"/>
          <w:sz w:val="28"/>
          <w:highlight w:val="none"/>
        </w:rPr>
        <w:t xml:space="preserve">  本办法第四十</w:t>
      </w:r>
      <w:r>
        <w:rPr>
          <w:rFonts w:hint="eastAsia" w:ascii="宋体" w:hAnsi="宋体"/>
          <w:color w:val="000000"/>
          <w:kern w:val="0"/>
          <w:sz w:val="28"/>
          <w:highlight w:val="none"/>
          <w:lang w:eastAsia="zh-CN"/>
        </w:rPr>
        <w:t>四</w:t>
      </w:r>
      <w:r>
        <w:rPr>
          <w:rFonts w:hint="eastAsia" w:ascii="宋体" w:hAnsi="宋体"/>
          <w:color w:val="000000"/>
          <w:kern w:val="0"/>
          <w:sz w:val="28"/>
          <w:highlight w:val="none"/>
        </w:rPr>
        <w:t>条规定的移仓由客户、境外特殊非经纪参与者通过移出会员提出申请或者由非期货公司会员自行提出申请，经移入会员确认后提交至交易所。</w:t>
      </w:r>
    </w:p>
    <w:p>
      <w:pPr>
        <w:widowControl/>
        <w:suppressAutoHyphens/>
        <w:bidi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交易所在申请的当日内予以审批，并在当日下午闭市后办理移仓。</w:t>
      </w:r>
    </w:p>
    <w:p>
      <w:pPr>
        <w:widowControl/>
        <w:suppressAutoHyphens/>
        <w:bidi w:val="0"/>
        <w:spacing w:line="360" w:lineRule="auto"/>
        <w:ind w:firstLine="560" w:firstLineChars="200"/>
        <w:jc w:val="left"/>
        <w:rPr>
          <w:rFonts w:ascii="宋体" w:hAnsi="宋体"/>
          <w:color w:val="000000"/>
          <w:kern w:val="0"/>
          <w:sz w:val="28"/>
          <w:highlight w:val="none"/>
        </w:rPr>
      </w:pPr>
      <w:r>
        <w:rPr>
          <w:rFonts w:hint="eastAsia" w:ascii="宋体" w:hAnsi="宋体"/>
          <w:color w:val="000000"/>
          <w:kern w:val="0"/>
          <w:sz w:val="28"/>
          <w:highlight w:val="none"/>
        </w:rPr>
        <w:t>移仓内容包括客户</w:t>
      </w:r>
      <w:r>
        <w:rPr>
          <w:rFonts w:hint="eastAsia" w:ascii="宋体" w:hAnsi="宋体"/>
          <w:color w:val="000000"/>
          <w:kern w:val="0"/>
          <w:sz w:val="28"/>
          <w:highlight w:val="none"/>
          <w:lang w:eastAsia="zh-CN"/>
        </w:rPr>
        <w:t>、</w:t>
      </w:r>
      <w:r>
        <w:rPr>
          <w:rFonts w:hint="eastAsia" w:ascii="宋体" w:hAnsi="宋体"/>
          <w:color w:val="000000"/>
          <w:kern w:val="0"/>
          <w:sz w:val="28"/>
          <w:highlight w:val="none"/>
        </w:rPr>
        <w:t>非期货公司会员或者境外特殊非经纪参与者某一合约的持仓和需要转移的保证金。转移的保证金应当为人民币或者外汇资金。</w:t>
      </w:r>
    </w:p>
    <w:p>
      <w:pPr>
        <w:widowControl/>
        <w:suppressAutoHyphens/>
        <w:bidi w:val="0"/>
        <w:spacing w:line="360" w:lineRule="auto"/>
        <w:ind w:firstLine="560" w:firstLineChars="200"/>
        <w:rPr>
          <w:rFonts w:ascii="仿宋" w:hAnsi="仿宋" w:eastAsia="仿宋" w:cs="仿宋"/>
          <w:b/>
          <w:kern w:val="0"/>
          <w:sz w:val="24"/>
          <w:highlight w:val="none"/>
          <w:u w:val="single"/>
        </w:rPr>
      </w:pPr>
      <w:r>
        <w:rPr>
          <w:rFonts w:hint="eastAsia" w:ascii="宋体" w:hAnsi="宋体"/>
          <w:color w:val="000000"/>
          <w:kern w:val="0"/>
          <w:sz w:val="28"/>
          <w:highlight w:val="none"/>
        </w:rPr>
        <w:t>交易所从移入会员的结算准备金中扣划移仓手续费。移仓手续费标准由交易所另行公布。</w:t>
      </w:r>
    </w:p>
    <w:p>
      <w:pPr>
        <w:suppressAutoHyphens/>
        <w:bidi w:val="0"/>
        <w:spacing w:line="360" w:lineRule="auto"/>
        <w:jc w:val="center"/>
        <w:outlineLvl w:val="1"/>
        <w:rPr>
          <w:rFonts w:ascii="Arial" w:hAnsi="Arial" w:cs="Arial"/>
          <w:color w:val="000000"/>
          <w:kern w:val="0"/>
          <w:sz w:val="32"/>
          <w:szCs w:val="32"/>
          <w:highlight w:val="none"/>
        </w:rPr>
      </w:pPr>
      <w:r>
        <w:rPr>
          <w:rFonts w:hint="eastAsia" w:ascii="黑体" w:hAnsi="宋体" w:eastAsia="黑体" w:cs="黑体"/>
          <w:bCs/>
          <w:color w:val="000000"/>
          <w:kern w:val="0"/>
          <w:sz w:val="32"/>
          <w:szCs w:val="32"/>
          <w:highlight w:val="none"/>
        </w:rPr>
        <w:t>第五章  交割结算</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第四十</w:t>
      </w:r>
      <w:r>
        <w:rPr>
          <w:rFonts w:hint="eastAsia" w:ascii="黑体" w:hAnsi="宋体" w:eastAsia="黑体" w:cs="黑体"/>
          <w:color w:val="000000"/>
          <w:kern w:val="0"/>
          <w:sz w:val="28"/>
          <w:szCs w:val="28"/>
          <w:highlight w:val="none"/>
          <w:lang w:eastAsia="zh-CN"/>
        </w:rPr>
        <w:t>六</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olor w:val="000000"/>
          <w:kern w:val="0"/>
          <w:sz w:val="28"/>
          <w:highlight w:val="none"/>
        </w:rPr>
        <w:t>会员进行交割，应当按规定向交易所交纳交割手续费。具体标准由交易所确定、调整并公布</w:t>
      </w:r>
      <w:r>
        <w:rPr>
          <w:rFonts w:hint="eastAsia" w:ascii="宋体" w:hAnsi="宋体" w:cs="宋体"/>
          <w:color w:val="000000"/>
          <w:kern w:val="0"/>
          <w:sz w:val="28"/>
          <w:szCs w:val="28"/>
          <w:highlight w:val="none"/>
        </w:rPr>
        <w:t xml:space="preserve">。 </w:t>
      </w:r>
    </w:p>
    <w:p>
      <w:pPr>
        <w:widowControl/>
        <w:suppressAutoHyphens/>
        <w:bidi w:val="0"/>
        <w:spacing w:line="360" w:lineRule="auto"/>
        <w:ind w:firstLine="560" w:firstLineChars="200"/>
        <w:rPr>
          <w:rFonts w:ascii="宋体" w:hAnsi="宋体" w:cs="Arial"/>
          <w:color w:val="000000"/>
          <w:kern w:val="0"/>
          <w:szCs w:val="21"/>
          <w:highlight w:val="none"/>
        </w:rPr>
      </w:pPr>
      <w:r>
        <w:rPr>
          <w:rFonts w:hint="eastAsia" w:ascii="宋体" w:hAnsi="宋体"/>
          <w:color w:val="000000"/>
          <w:kern w:val="0"/>
          <w:sz w:val="28"/>
          <w:highlight w:val="none"/>
        </w:rPr>
        <w:t>交割手续费在配对日结算时由交易所直接从会员的结算准备金中扣划</w:t>
      </w:r>
      <w:r>
        <w:rPr>
          <w:rFonts w:hint="eastAsia" w:ascii="宋体" w:hAnsi="宋体" w:cs="宋体"/>
          <w:color w:val="000000"/>
          <w:kern w:val="0"/>
          <w:sz w:val="28"/>
          <w:szCs w:val="28"/>
          <w:highlight w:val="none"/>
        </w:rPr>
        <w:t>。</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第四十</w:t>
      </w:r>
      <w:r>
        <w:rPr>
          <w:rFonts w:hint="eastAsia" w:ascii="黑体" w:hAnsi="宋体" w:eastAsia="黑体" w:cs="黑体"/>
          <w:color w:val="000000"/>
          <w:kern w:val="0"/>
          <w:sz w:val="28"/>
          <w:szCs w:val="28"/>
          <w:highlight w:val="none"/>
          <w:lang w:eastAsia="zh-CN"/>
        </w:rPr>
        <w:t>七</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交割货款结算实行一收一付，同时划转。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第四十</w:t>
      </w:r>
      <w:r>
        <w:rPr>
          <w:rFonts w:hint="eastAsia" w:ascii="黑体" w:hAnsi="宋体" w:eastAsia="黑体" w:cs="黑体"/>
          <w:color w:val="000000"/>
          <w:kern w:val="0"/>
          <w:sz w:val="28"/>
          <w:szCs w:val="28"/>
          <w:highlight w:val="none"/>
          <w:lang w:eastAsia="zh-CN"/>
        </w:rPr>
        <w:t>八</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交割结算价的规定见《郑州商品交易所期货交割管理办法》有关规定。交割商品货款以交割结算价为基础，加减相应的升贴水和包装款。升贴水和包装款按交易所公布的标准结算。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四十九</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spacing w:val="-4"/>
          <w:kern w:val="0"/>
          <w:sz w:val="28"/>
          <w:szCs w:val="28"/>
          <w:highlight w:val="none"/>
        </w:rPr>
        <w:t xml:space="preserve">滚动交割配对日以及合约最后交易日结算时，交易所对会员交割月份相应持仓按交割结算价进行结算处理，产生的交割差额计入会员当日盈亏。 </w:t>
      </w:r>
    </w:p>
    <w:p>
      <w:pPr>
        <w:suppressAutoHyphens/>
        <w:bidi w:val="0"/>
        <w:spacing w:line="360" w:lineRule="auto"/>
        <w:jc w:val="center"/>
        <w:outlineLvl w:val="1"/>
        <w:rPr>
          <w:rFonts w:hint="eastAsia" w:ascii="黑体" w:hAnsi="宋体" w:eastAsia="黑体" w:cs="黑体"/>
          <w:bCs/>
          <w:color w:val="000000"/>
          <w:kern w:val="0"/>
          <w:sz w:val="32"/>
          <w:szCs w:val="32"/>
          <w:highlight w:val="none"/>
          <w:u w:val="none"/>
        </w:rPr>
      </w:pPr>
      <w:r>
        <w:rPr>
          <w:rFonts w:hint="eastAsia" w:ascii="黑体" w:hAnsi="宋体" w:eastAsia="黑体" w:cs="黑体"/>
          <w:bCs/>
          <w:color w:val="000000"/>
          <w:kern w:val="0"/>
          <w:sz w:val="32"/>
          <w:szCs w:val="32"/>
          <w:highlight w:val="none"/>
          <w:u w:val="none"/>
        </w:rPr>
        <w:t>第六章 委托结算</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第五十条</w:t>
      </w:r>
      <w:r>
        <w:rPr>
          <w:rFonts w:hint="eastAsia" w:ascii="宋体" w:hAnsi="宋体" w:eastAsia="宋体" w:cs="宋体"/>
          <w:b w:val="0"/>
          <w:color w:val="000000"/>
          <w:spacing w:val="-4"/>
          <w:kern w:val="0"/>
          <w:sz w:val="28"/>
          <w:szCs w:val="28"/>
          <w:highlight w:val="none"/>
          <w:u w:val="none"/>
        </w:rPr>
        <w:t xml:space="preserve"> 境外中介机构委托境外特殊经纪参与者进行交易结算，或者境外特殊参与者委托期货公司会员进行结算的，应当与其签订委托协议，并应当在办理业务前向交易所备案。</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一</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境外特殊参与者应当且只能委托一家会员进行结算。</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二</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会员与委托其结算的境外特殊参与者应当签署包括下列内容的委托结算的协议：</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（一）结算准备金最低余额和交易保证金收取标准；</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（二）办理作为保证金使用的资产及其费用标准；</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（三）风险管理措施、条件及程序；</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（四）账户类型及管理模式、结算流程，包括结算数据收取、查询和确认的时间和方式；</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（五）手续费标准；</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（六）通知事项、方式及时限；</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（七）不可归责于协议双方当事人所造成损失的情形及其处理方式；</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（八）协议变更和解除；</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（九）违约责任；</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（十）争议处理方式；</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（十一）其他事项。</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三</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具有下列情形之一的，交易所可以为会员和委托其结算的境外特殊参与者办理委托结算关系变更手续：</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（一）委托结算的协议期满后不再续约的；</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（二）委托结算的协议提前解除的；</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（三）会员因故不能为境外特殊参与者进行结算的；</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（四）交易所认定的其他情形。</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四</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具有第五十</w:t>
      </w:r>
      <w:r>
        <w:rPr>
          <w:rFonts w:hint="eastAsia" w:ascii="宋体" w:hAnsi="宋体" w:eastAsia="宋体" w:cs="宋体"/>
          <w:b w:val="0"/>
          <w:color w:val="000000"/>
          <w:spacing w:val="-4"/>
          <w:kern w:val="0"/>
          <w:sz w:val="28"/>
          <w:szCs w:val="28"/>
          <w:highlight w:val="none"/>
          <w:u w:val="none"/>
          <w:lang w:eastAsia="zh-CN"/>
        </w:rPr>
        <w:t>三</w:t>
      </w:r>
      <w:r>
        <w:rPr>
          <w:rFonts w:hint="eastAsia" w:ascii="宋体" w:hAnsi="宋体" w:eastAsia="宋体" w:cs="宋体"/>
          <w:b w:val="0"/>
          <w:color w:val="000000"/>
          <w:spacing w:val="-4"/>
          <w:kern w:val="0"/>
          <w:sz w:val="28"/>
          <w:szCs w:val="28"/>
          <w:highlight w:val="none"/>
          <w:u w:val="none"/>
        </w:rPr>
        <w:t>条第</w:t>
      </w:r>
      <w:r>
        <w:rPr>
          <w:rFonts w:hint="eastAsia" w:ascii="宋体" w:hAnsi="宋体" w:cs="宋体"/>
          <w:b w:val="0"/>
          <w:color w:val="000000"/>
          <w:spacing w:val="-4"/>
          <w:kern w:val="0"/>
          <w:sz w:val="28"/>
          <w:szCs w:val="28"/>
          <w:highlight w:val="none"/>
          <w:u w:val="none"/>
          <w:lang w:eastAsia="zh-CN"/>
        </w:rPr>
        <w:t>（</w:t>
      </w:r>
      <w:r>
        <w:rPr>
          <w:rFonts w:hint="eastAsia" w:ascii="宋体" w:hAnsi="宋体" w:eastAsia="宋体" w:cs="宋体"/>
          <w:b w:val="0"/>
          <w:color w:val="000000"/>
          <w:spacing w:val="-4"/>
          <w:kern w:val="0"/>
          <w:sz w:val="28"/>
          <w:szCs w:val="28"/>
          <w:highlight w:val="none"/>
          <w:u w:val="none"/>
        </w:rPr>
        <w:t>一</w:t>
      </w:r>
      <w:r>
        <w:rPr>
          <w:rFonts w:hint="eastAsia" w:ascii="宋体" w:hAnsi="宋体" w:cs="宋体"/>
          <w:b w:val="0"/>
          <w:color w:val="000000"/>
          <w:spacing w:val="-4"/>
          <w:kern w:val="0"/>
          <w:sz w:val="28"/>
          <w:szCs w:val="28"/>
          <w:highlight w:val="none"/>
          <w:u w:val="none"/>
          <w:lang w:eastAsia="zh-CN"/>
        </w:rPr>
        <w:t>）</w:t>
      </w:r>
      <w:r>
        <w:rPr>
          <w:rFonts w:hint="eastAsia" w:ascii="宋体" w:hAnsi="宋体" w:eastAsia="宋体" w:cs="宋体"/>
          <w:b w:val="0"/>
          <w:color w:val="000000"/>
          <w:spacing w:val="-4"/>
          <w:kern w:val="0"/>
          <w:sz w:val="28"/>
          <w:szCs w:val="28"/>
          <w:highlight w:val="none"/>
          <w:u w:val="none"/>
        </w:rPr>
        <w:t>项情形的，境外特殊参与者、移入和移出委托结算的会员应当在协议期满前10个交易日内，向交易所提交下列材料办理委托结算关系变更手续：</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（一）变更委托结算关系申请书；</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（二）境外特殊参与者和移入受托结算的会员签订的委托结算的协议；</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（三）交易所规定的其他材料。</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交易所收到完整材料后，在10个交易日内对申请材料进行审核。审核通过的，交易所通知变更委托结算关系的约定结算日。</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五</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具有第五十</w:t>
      </w:r>
      <w:r>
        <w:rPr>
          <w:rFonts w:hint="eastAsia" w:ascii="宋体" w:hAnsi="宋体" w:eastAsia="宋体" w:cs="宋体"/>
          <w:b w:val="0"/>
          <w:color w:val="000000"/>
          <w:spacing w:val="-4"/>
          <w:kern w:val="0"/>
          <w:sz w:val="28"/>
          <w:szCs w:val="28"/>
          <w:highlight w:val="none"/>
          <w:u w:val="none"/>
          <w:lang w:eastAsia="zh-CN"/>
        </w:rPr>
        <w:t>三</w:t>
      </w:r>
      <w:r>
        <w:rPr>
          <w:rFonts w:hint="eastAsia" w:ascii="宋体" w:hAnsi="宋体" w:eastAsia="宋体" w:cs="宋体"/>
          <w:b w:val="0"/>
          <w:color w:val="000000"/>
          <w:spacing w:val="-4"/>
          <w:kern w:val="0"/>
          <w:sz w:val="28"/>
          <w:szCs w:val="28"/>
          <w:highlight w:val="none"/>
          <w:u w:val="none"/>
        </w:rPr>
        <w:t>条第（二）、（三）项情形的，境外特殊参与者、移入和移出委托结算的会员除提交第五十</w:t>
      </w:r>
      <w:r>
        <w:rPr>
          <w:rFonts w:hint="eastAsia" w:ascii="宋体" w:hAnsi="宋体" w:eastAsia="宋体" w:cs="宋体"/>
          <w:b w:val="0"/>
          <w:color w:val="000000"/>
          <w:spacing w:val="-4"/>
          <w:kern w:val="0"/>
          <w:sz w:val="28"/>
          <w:szCs w:val="28"/>
          <w:highlight w:val="none"/>
          <w:u w:val="none"/>
          <w:lang w:eastAsia="zh-CN"/>
        </w:rPr>
        <w:t>四</w:t>
      </w:r>
      <w:r>
        <w:rPr>
          <w:rFonts w:hint="eastAsia" w:ascii="宋体" w:hAnsi="宋体" w:eastAsia="宋体" w:cs="宋体"/>
          <w:b w:val="0"/>
          <w:color w:val="000000"/>
          <w:spacing w:val="-4"/>
          <w:kern w:val="0"/>
          <w:sz w:val="28"/>
          <w:szCs w:val="28"/>
          <w:highlight w:val="none"/>
          <w:u w:val="none"/>
        </w:rPr>
        <w:t>条规定的材料外，还应当提交解除原委托结算关系的协议。交易所收到完整材料后，在10个交易日内对申请材料进行审核。审核通过的，交易所通知变更委托结算关系的约定结算日。</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黑体" w:hAnsi="黑体" w:eastAsia="黑体" w:cs="黑体"/>
          <w:b w:val="0"/>
          <w:color w:val="000000"/>
          <w:spacing w:val="-4"/>
          <w:kern w:val="0"/>
          <w:sz w:val="28"/>
          <w:szCs w:val="28"/>
          <w:highlight w:val="none"/>
          <w:u w:val="none"/>
        </w:rPr>
        <w:t>第五十</w:t>
      </w:r>
      <w:r>
        <w:rPr>
          <w:rFonts w:hint="eastAsia" w:ascii="黑体" w:hAnsi="黑体" w:eastAsia="黑体" w:cs="黑体"/>
          <w:b w:val="0"/>
          <w:color w:val="000000"/>
          <w:spacing w:val="-4"/>
          <w:kern w:val="0"/>
          <w:sz w:val="28"/>
          <w:szCs w:val="28"/>
          <w:highlight w:val="none"/>
          <w:u w:val="none"/>
          <w:lang w:eastAsia="zh-CN"/>
        </w:rPr>
        <w:t>六</w:t>
      </w:r>
      <w:r>
        <w:rPr>
          <w:rFonts w:hint="eastAsia" w:ascii="黑体" w:hAnsi="黑体" w:eastAsia="黑体" w:cs="黑体"/>
          <w:b w:val="0"/>
          <w:color w:val="000000"/>
          <w:spacing w:val="-4"/>
          <w:kern w:val="0"/>
          <w:sz w:val="28"/>
          <w:szCs w:val="28"/>
          <w:highlight w:val="none"/>
          <w:u w:val="none"/>
        </w:rPr>
        <w:t>条</w:t>
      </w:r>
      <w:r>
        <w:rPr>
          <w:rFonts w:hint="eastAsia" w:ascii="宋体" w:hAnsi="宋体" w:eastAsia="宋体" w:cs="宋体"/>
          <w:b w:val="0"/>
          <w:color w:val="000000"/>
          <w:spacing w:val="-4"/>
          <w:kern w:val="0"/>
          <w:sz w:val="28"/>
          <w:szCs w:val="28"/>
          <w:highlight w:val="none"/>
          <w:u w:val="none"/>
        </w:rPr>
        <w:t xml:space="preserve"> 交易所在约定结算日结算后办理委托结算关系变更，对持仓、相应明细账户中的保证金等其他款项进行移转，并提供移转清单。移入和移出受托的会员应当对移转清单核对确认，境外特殊参与者应当委托移入和移出的会员进行确认。</w:t>
      </w:r>
    </w:p>
    <w:p>
      <w:pPr>
        <w:widowControl/>
        <w:spacing w:line="360" w:lineRule="auto"/>
        <w:ind w:firstLine="544" w:firstLineChars="200"/>
        <w:rPr>
          <w:rFonts w:hint="eastAsia" w:ascii="宋体" w:hAnsi="宋体" w:eastAsia="宋体" w:cs="宋体"/>
          <w:b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在约定结算日结算后，市场出现重大风险或者交易所认定的其他情形的，交易所可以暂停办理委托结算关系变更手续。</w:t>
      </w:r>
    </w:p>
    <w:p>
      <w:pPr>
        <w:widowControl/>
        <w:suppressAutoHyphens/>
        <w:bidi w:val="0"/>
        <w:spacing w:line="360" w:lineRule="auto"/>
        <w:ind w:firstLine="544" w:firstLineChars="200"/>
        <w:jc w:val="left"/>
        <w:outlineLvl w:val="9"/>
        <w:rPr>
          <w:rFonts w:hint="eastAsia" w:ascii="宋体" w:hAnsi="宋体" w:eastAsia="宋体" w:cs="宋体"/>
          <w:bCs w:val="0"/>
          <w:color w:val="000000"/>
          <w:spacing w:val="-4"/>
          <w:kern w:val="0"/>
          <w:sz w:val="28"/>
          <w:szCs w:val="28"/>
          <w:highlight w:val="none"/>
          <w:u w:val="none"/>
        </w:rPr>
      </w:pPr>
      <w:r>
        <w:rPr>
          <w:rFonts w:hint="eastAsia" w:ascii="宋体" w:hAnsi="宋体" w:eastAsia="宋体" w:cs="宋体"/>
          <w:b w:val="0"/>
          <w:color w:val="000000"/>
          <w:spacing w:val="-4"/>
          <w:kern w:val="0"/>
          <w:sz w:val="28"/>
          <w:szCs w:val="28"/>
          <w:highlight w:val="none"/>
          <w:u w:val="none"/>
        </w:rPr>
        <w:t>境外特殊参与者、移入和移出委托结算的会员应当配合办理委托结算关系变更手续。在委托结算关系变更完成之前，移出委托结算的会员对其代为结算的持仓负有履约义务。</w:t>
      </w:r>
    </w:p>
    <w:p>
      <w:pPr>
        <w:suppressAutoHyphens/>
        <w:bidi w:val="0"/>
        <w:spacing w:line="360" w:lineRule="auto"/>
        <w:jc w:val="center"/>
        <w:outlineLvl w:val="1"/>
        <w:rPr>
          <w:rFonts w:ascii="Arial" w:hAnsi="Arial" w:cs="Arial"/>
          <w:color w:val="000000"/>
          <w:kern w:val="0"/>
          <w:sz w:val="32"/>
          <w:szCs w:val="32"/>
          <w:highlight w:val="none"/>
        </w:rPr>
      </w:pPr>
      <w:r>
        <w:rPr>
          <w:rFonts w:hint="eastAsia" w:ascii="黑体" w:hAnsi="宋体" w:eastAsia="黑体" w:cs="黑体"/>
          <w:bCs/>
          <w:color w:val="000000"/>
          <w:kern w:val="0"/>
          <w:sz w:val="32"/>
          <w:szCs w:val="32"/>
          <w:highlight w:val="none"/>
        </w:rPr>
        <w:t>第</w:t>
      </w:r>
      <w:r>
        <w:rPr>
          <w:rFonts w:hint="eastAsia" w:ascii="黑体" w:hAnsi="宋体" w:eastAsia="黑体" w:cs="黑体"/>
          <w:bCs/>
          <w:color w:val="000000"/>
          <w:kern w:val="0"/>
          <w:sz w:val="32"/>
          <w:szCs w:val="32"/>
          <w:highlight w:val="none"/>
          <w:lang w:eastAsia="zh-CN"/>
        </w:rPr>
        <w:t>七</w:t>
      </w:r>
      <w:r>
        <w:rPr>
          <w:rFonts w:hint="eastAsia" w:ascii="黑体" w:hAnsi="宋体" w:eastAsia="黑体" w:cs="黑体"/>
          <w:bCs/>
          <w:color w:val="000000"/>
          <w:kern w:val="0"/>
          <w:sz w:val="32"/>
          <w:szCs w:val="32"/>
          <w:highlight w:val="none"/>
        </w:rPr>
        <w:t xml:space="preserve">章  </w:t>
      </w:r>
      <w:r>
        <w:rPr>
          <w:rFonts w:ascii="黑体" w:hAnsi="宋体" w:eastAsia="黑体" w:cs="黑体"/>
          <w:bCs/>
          <w:color w:val="000000"/>
          <w:kern w:val="0"/>
          <w:sz w:val="32"/>
          <w:szCs w:val="32"/>
          <w:highlight w:val="none"/>
        </w:rPr>
        <w:t>资产作为保证金</w:t>
      </w:r>
    </w:p>
    <w:p>
      <w:pPr>
        <w:widowControl/>
        <w:suppressAutoHyphens/>
        <w:bidi w:val="0"/>
        <w:spacing w:line="360" w:lineRule="auto"/>
        <w:ind w:firstLine="560" w:firstLineChars="200"/>
        <w:rPr>
          <w:rFonts w:ascii="宋体" w:hAnsi="宋体" w:cs="宋体"/>
          <w:color w:val="000000"/>
          <w:spacing w:val="-6"/>
          <w:kern w:val="0"/>
          <w:sz w:val="28"/>
          <w:szCs w:val="28"/>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五十七</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spacing w:val="-6"/>
          <w:kern w:val="0"/>
          <w:sz w:val="28"/>
          <w:szCs w:val="28"/>
          <w:highlight w:val="none"/>
        </w:rPr>
        <w:t>客户、境外特殊参与者、境外</w:t>
      </w:r>
      <w:r>
        <w:rPr>
          <w:rFonts w:hint="eastAsia" w:ascii="宋体" w:hAnsi="宋体" w:cs="宋体"/>
          <w:color w:val="000000"/>
          <w:spacing w:val="-6"/>
          <w:kern w:val="0"/>
          <w:sz w:val="28"/>
          <w:szCs w:val="28"/>
          <w:highlight w:val="none"/>
          <w:lang w:eastAsia="zh-CN"/>
        </w:rPr>
        <w:t>中介</w:t>
      </w:r>
      <w:r>
        <w:rPr>
          <w:rFonts w:hint="eastAsia" w:ascii="宋体" w:hAnsi="宋体" w:cs="宋体"/>
          <w:color w:val="000000"/>
          <w:spacing w:val="-6"/>
          <w:kern w:val="0"/>
          <w:sz w:val="28"/>
          <w:szCs w:val="28"/>
          <w:highlight w:val="none"/>
        </w:rPr>
        <w:t>机构以资产作为保证金的，视为同意期货公司会员将其资产提交交易所作为保证金。</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客户、境外特殊参与者、境外</w:t>
      </w:r>
      <w:r>
        <w:rPr>
          <w:rFonts w:hint="eastAsia" w:ascii="宋体" w:hAnsi="宋体" w:cs="宋体"/>
          <w:color w:val="000000"/>
          <w:spacing w:val="-6"/>
          <w:kern w:val="0"/>
          <w:sz w:val="28"/>
          <w:szCs w:val="28"/>
          <w:highlight w:val="none"/>
          <w:lang w:eastAsia="zh-CN"/>
        </w:rPr>
        <w:t>中介</w:t>
      </w:r>
      <w:r>
        <w:rPr>
          <w:rFonts w:hint="eastAsia" w:ascii="宋体" w:hAnsi="宋体" w:cs="宋体"/>
          <w:color w:val="000000"/>
          <w:spacing w:val="-6"/>
          <w:kern w:val="0"/>
          <w:sz w:val="28"/>
          <w:szCs w:val="28"/>
          <w:highlight w:val="none"/>
        </w:rPr>
        <w:t>机构、会员以资产作为保证金的，视为授权交易所对相应资产进行划转或者作质押处理。</w:t>
      </w:r>
    </w:p>
    <w:p>
      <w:pPr>
        <w:widowControl/>
        <w:suppressAutoHyphens/>
        <w:bidi w:val="0"/>
        <w:spacing w:line="360" w:lineRule="auto"/>
        <w:ind w:firstLine="560" w:firstLineChars="200"/>
        <w:rPr>
          <w:rFonts w:ascii="宋体" w:hAnsi="宋体" w:cs="宋体"/>
          <w:color w:val="000000"/>
          <w:spacing w:val="-6"/>
          <w:kern w:val="0"/>
          <w:sz w:val="28"/>
          <w:szCs w:val="28"/>
          <w:highlight w:val="none"/>
        </w:rPr>
      </w:pPr>
      <w:r>
        <w:rPr>
          <w:rFonts w:hint="eastAsia" w:ascii="黑体" w:hAnsi="宋体" w:eastAsia="黑体" w:cs="黑体"/>
          <w:color w:val="000000"/>
          <w:kern w:val="0"/>
          <w:sz w:val="28"/>
          <w:szCs w:val="28"/>
          <w:highlight w:val="none"/>
        </w:rPr>
        <w:t>第五十</w:t>
      </w:r>
      <w:r>
        <w:rPr>
          <w:rFonts w:hint="eastAsia" w:ascii="黑体" w:hAnsi="宋体" w:eastAsia="黑体" w:cs="黑体"/>
          <w:color w:val="000000"/>
          <w:kern w:val="0"/>
          <w:sz w:val="28"/>
          <w:szCs w:val="28"/>
          <w:highlight w:val="none"/>
          <w:lang w:eastAsia="zh-CN"/>
        </w:rPr>
        <w:t>八</w:t>
      </w:r>
      <w:r>
        <w:rPr>
          <w:rFonts w:hint="eastAsia" w:ascii="黑体" w:hAnsi="宋体" w:eastAsia="黑体" w:cs="黑体"/>
          <w:color w:val="000000"/>
          <w:kern w:val="0"/>
          <w:sz w:val="28"/>
          <w:szCs w:val="28"/>
          <w:highlight w:val="none"/>
        </w:rPr>
        <w:t xml:space="preserve">条 </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spacing w:val="-6"/>
          <w:kern w:val="0"/>
          <w:sz w:val="28"/>
          <w:szCs w:val="28"/>
          <w:highlight w:val="none"/>
        </w:rPr>
        <w:t xml:space="preserve">经交易所批准，以下资产可以作为保证金： </w:t>
      </w:r>
    </w:p>
    <w:p>
      <w:pPr>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（一）标准仓单；</w:t>
      </w:r>
    </w:p>
    <w:p>
      <w:pPr>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（二）中华人民共和国财政部在境内发行的记账式国债；</w:t>
      </w:r>
    </w:p>
    <w:p>
      <w:pPr>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（三）外汇资金（币种类别、折算方式和适用范围由交易所另行公布）；</w:t>
      </w:r>
    </w:p>
    <w:p>
      <w:pPr>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（四）交易所认定的其他资产。</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作为保证金的有价证券具体由交易所确定并向市场公布。</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黑体" w:hAnsi="黑体" w:eastAsia="黑体" w:cs="宋体"/>
          <w:color w:val="000000"/>
          <w:spacing w:val="-6"/>
          <w:kern w:val="0"/>
          <w:sz w:val="28"/>
          <w:szCs w:val="28"/>
          <w:highlight w:val="none"/>
          <w:lang w:val="en-US" w:eastAsia="zh-CN" w:bidi="ar-SA"/>
        </w:rPr>
        <w:t xml:space="preserve">第五十九条 </w:t>
      </w:r>
      <w:r>
        <w:rPr>
          <w:rFonts w:hint="eastAsia" w:ascii="宋体" w:hAnsi="宋体" w:eastAsia="宋体" w:cs="宋体"/>
          <w:color w:val="000000"/>
          <w:spacing w:val="-6"/>
          <w:kern w:val="0"/>
          <w:sz w:val="28"/>
          <w:szCs w:val="28"/>
          <w:highlight w:val="none"/>
          <w:lang w:val="en-US" w:eastAsia="zh-CN" w:bidi="ar-SA"/>
        </w:rPr>
        <w:t xml:space="preserve"> 有价证券作为保证金按以下手续办理：</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（一）申请：客户、境外特殊参与者、境外</w:t>
      </w:r>
      <w:r>
        <w:rPr>
          <w:rFonts w:hint="eastAsia" w:ascii="宋体" w:hAnsi="宋体" w:cs="宋体"/>
          <w:color w:val="000000"/>
          <w:spacing w:val="-6"/>
          <w:kern w:val="0"/>
          <w:sz w:val="28"/>
          <w:szCs w:val="28"/>
          <w:highlight w:val="none"/>
          <w:lang w:val="en-US" w:eastAsia="zh-CN" w:bidi="ar-SA"/>
        </w:rPr>
        <w:t>中介</w:t>
      </w:r>
      <w:r>
        <w:rPr>
          <w:rFonts w:hint="eastAsia" w:ascii="宋体" w:hAnsi="宋体" w:eastAsia="宋体" w:cs="宋体"/>
          <w:color w:val="000000"/>
          <w:spacing w:val="-6"/>
          <w:kern w:val="0"/>
          <w:sz w:val="28"/>
          <w:szCs w:val="28"/>
          <w:highlight w:val="none"/>
          <w:lang w:val="en-US" w:eastAsia="zh-CN" w:bidi="ar-SA"/>
        </w:rPr>
        <w:t>机构应当通过会员办理有价证券作为保证金业务。会员办理有价证券作为保证金业务时，应当向交易所提出申请。</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会员以客户、境外特殊非经纪参与者的标准仓单办理作为保证金业务时，应同时提交经客户、境外特殊非经纪参与者签章的《郑州商品交易所资产所有人专项授权书》，并与交易所签订相关协议。</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（二）验证交存：</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1.会员将标准仓单通过电子仓单系统提交交易所办理交存手续，获交易所批准后，完成标准仓单作为保证金交存业务。</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2.以国债作为保证金的，客户、境外特殊非经纪参与者、非期货公司会员应当确保托管账户中存有数量足够的、无其他权利瑕疵的国债。交易所按照会员的申请委托托管机构进行国债划转或者质押登记，托管机构对国债进行划转或者质押登记后视为办理完成。</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3.其他有价证券的验证交存应当符合交易所的规定。</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ascii="黑体" w:hAnsi="黑体" w:eastAsia="黑体" w:cs="宋体"/>
          <w:color w:val="000000"/>
          <w:spacing w:val="-6"/>
          <w:kern w:val="0"/>
          <w:sz w:val="28"/>
          <w:szCs w:val="28"/>
          <w:highlight w:val="none"/>
          <w:lang w:val="en-US" w:eastAsia="zh-CN" w:bidi="ar-SA"/>
        </w:rPr>
        <w:t>第</w:t>
      </w:r>
      <w:r>
        <w:rPr>
          <w:rFonts w:hint="eastAsia" w:ascii="黑体" w:hAnsi="黑体" w:eastAsia="黑体" w:cs="宋体"/>
          <w:color w:val="000000"/>
          <w:spacing w:val="-6"/>
          <w:kern w:val="0"/>
          <w:sz w:val="28"/>
          <w:szCs w:val="28"/>
          <w:highlight w:val="none"/>
          <w:lang w:val="en-US" w:eastAsia="zh-CN" w:bidi="ar-SA"/>
        </w:rPr>
        <w:t xml:space="preserve">六十条 </w:t>
      </w:r>
      <w:r>
        <w:rPr>
          <w:rFonts w:hint="eastAsia" w:ascii="宋体" w:hAnsi="宋体" w:eastAsia="宋体" w:cs="宋体"/>
          <w:color w:val="000000"/>
          <w:spacing w:val="-6"/>
          <w:kern w:val="0"/>
          <w:sz w:val="28"/>
          <w:szCs w:val="28"/>
          <w:highlight w:val="none"/>
          <w:lang w:val="en-US" w:eastAsia="zh-CN" w:bidi="ar-SA"/>
        </w:rPr>
        <w:t xml:space="preserve"> 以标准仓单作为保证金的，作为保证金的金额单笔不得低于10万元人民币。</w:t>
      </w:r>
    </w:p>
    <w:p>
      <w:pPr>
        <w:widowControl/>
        <w:shd w:val="clear" w:color="auto" w:fill="FFFFFF"/>
        <w:spacing w:before="0" w:beforeAutospacing="0" w:after="0" w:afterAutospacing="0" w:line="360" w:lineRule="auto"/>
        <w:ind w:firstLine="533" w:firstLineChars="199"/>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以国债作为保证金的，每次提交的国债面值不得低于100万元人民币。</w:t>
      </w:r>
    </w:p>
    <w:p>
      <w:pPr>
        <w:widowControl/>
        <w:suppressAutoHyphens/>
        <w:bidi w:val="0"/>
        <w:spacing w:line="360" w:lineRule="auto"/>
        <w:ind w:firstLine="560" w:firstLineChars="200"/>
        <w:rPr>
          <w:rFonts w:ascii="宋体" w:hAnsi="宋体" w:cs="宋体"/>
          <w:color w:val="000000"/>
          <w:spacing w:val="-6"/>
          <w:kern w:val="0"/>
          <w:sz w:val="28"/>
          <w:szCs w:val="28"/>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六十一</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黑体" w:hAnsi="宋体" w:eastAsia="黑体" w:cs="黑体"/>
          <w:color w:val="000000"/>
          <w:kern w:val="0"/>
          <w:sz w:val="28"/>
          <w:szCs w:val="28"/>
          <w:highlight w:val="none"/>
        </w:rPr>
        <w:t xml:space="preserve"> </w:t>
      </w:r>
      <w:r>
        <w:rPr>
          <w:rFonts w:ascii="宋体" w:hAnsi="宋体" w:cs="宋体"/>
          <w:color w:val="000000"/>
          <w:spacing w:val="-6"/>
          <w:kern w:val="0"/>
          <w:sz w:val="28"/>
          <w:szCs w:val="28"/>
          <w:highlight w:val="none"/>
        </w:rPr>
        <w:t>作为</w:t>
      </w:r>
      <w:r>
        <w:rPr>
          <w:rFonts w:hint="eastAsia" w:ascii="宋体" w:hAnsi="宋体" w:cs="宋体"/>
          <w:color w:val="000000"/>
          <w:spacing w:val="-6"/>
          <w:kern w:val="0"/>
          <w:sz w:val="28"/>
          <w:szCs w:val="28"/>
          <w:highlight w:val="none"/>
        </w:rPr>
        <w:t>保证金的资产市值按以下方法计算：</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（一）标准仓单</w:t>
      </w:r>
      <w:r>
        <w:rPr>
          <w:rFonts w:ascii="宋体" w:hAnsi="宋体" w:cs="宋体"/>
          <w:color w:val="000000"/>
          <w:spacing w:val="-6"/>
          <w:kern w:val="0"/>
          <w:sz w:val="28"/>
          <w:szCs w:val="28"/>
          <w:highlight w:val="none"/>
        </w:rPr>
        <w:t>作为</w:t>
      </w:r>
      <w:r>
        <w:rPr>
          <w:rFonts w:hint="eastAsia" w:ascii="宋体" w:hAnsi="宋体" w:cs="宋体"/>
          <w:color w:val="000000"/>
          <w:spacing w:val="-6"/>
          <w:kern w:val="0"/>
          <w:sz w:val="28"/>
          <w:szCs w:val="28"/>
          <w:highlight w:val="none"/>
        </w:rPr>
        <w:t>保证金的，每日结算时，交易所以该标准仓单对应品种最近交割月份期货合约的当日结算价为基准价计算其市值。当日闭市前，先以前一交易日该标准仓单对应品种最近交割月份期货合约的结算价为基准价计算其市值。</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（二）国债作为保证金的，国债的基准价取托管机构估值数据的较小值，交易所每日结算时以前一交易日该国债基准价的净价确定其市值。交易所有权对国债的基准价进行调整。</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（三）其他资产作为保证金的，其市值计算的基准价由交易所核定。</w:t>
      </w:r>
    </w:p>
    <w:p>
      <w:pPr>
        <w:suppressAutoHyphens/>
        <w:bidi w:val="0"/>
        <w:spacing w:line="360" w:lineRule="auto"/>
        <w:ind w:firstLine="525" w:firstLineChars="196"/>
        <w:rPr>
          <w:rFonts w:ascii="宋体" w:hAnsi="宋体" w:cs="宋体"/>
          <w:color w:val="000000"/>
          <w:spacing w:val="-6"/>
          <w:kern w:val="0"/>
          <w:sz w:val="28"/>
          <w:szCs w:val="28"/>
          <w:highlight w:val="none"/>
        </w:rPr>
      </w:pPr>
      <w:r>
        <w:rPr>
          <w:rFonts w:hint="eastAsia" w:ascii="黑体" w:hAnsi="黑体" w:eastAsia="黑体" w:cs="宋体"/>
          <w:color w:val="000000"/>
          <w:spacing w:val="-6"/>
          <w:kern w:val="0"/>
          <w:sz w:val="28"/>
          <w:szCs w:val="28"/>
          <w:highlight w:val="none"/>
        </w:rPr>
        <w:t>第</w:t>
      </w:r>
      <w:r>
        <w:rPr>
          <w:rFonts w:hint="eastAsia" w:ascii="黑体" w:hAnsi="黑体" w:eastAsia="黑体" w:cs="宋体"/>
          <w:color w:val="000000"/>
          <w:spacing w:val="-6"/>
          <w:kern w:val="0"/>
          <w:sz w:val="28"/>
          <w:szCs w:val="28"/>
          <w:highlight w:val="none"/>
          <w:lang w:eastAsia="zh-CN"/>
        </w:rPr>
        <w:t>六十二</w:t>
      </w:r>
      <w:r>
        <w:rPr>
          <w:rFonts w:hint="eastAsia" w:ascii="黑体" w:hAnsi="黑体" w:eastAsia="黑体" w:cs="宋体"/>
          <w:color w:val="000000"/>
          <w:spacing w:val="-6"/>
          <w:kern w:val="0"/>
          <w:sz w:val="28"/>
          <w:szCs w:val="28"/>
          <w:highlight w:val="none"/>
        </w:rPr>
        <w:t>条</w:t>
      </w:r>
      <w:r>
        <w:rPr>
          <w:rFonts w:hint="eastAsia" w:ascii="宋体" w:hAnsi="宋体" w:cs="宋体"/>
          <w:color w:val="000000"/>
          <w:spacing w:val="-6"/>
          <w:kern w:val="0"/>
          <w:sz w:val="28"/>
          <w:szCs w:val="28"/>
          <w:highlight w:val="none"/>
        </w:rPr>
        <w:t xml:space="preserve">  作为保证金的资产的市值按照折扣比率计算后的金额称为折后金额。具体的折扣比率由交易所确定、调整并公布，其中标准仓单、国债等有价证券的折后金额不高于其市值的80%。</w:t>
      </w:r>
    </w:p>
    <w:p>
      <w:pPr>
        <w:suppressAutoHyphens/>
        <w:bidi w:val="0"/>
        <w:spacing w:line="360" w:lineRule="auto"/>
        <w:ind w:firstLine="525" w:firstLineChars="196"/>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交易所每日结算时，按规定的基准价调整作为保证金的资产市值和折后金额。</w:t>
      </w:r>
    </w:p>
    <w:p>
      <w:pPr>
        <w:suppressAutoHyphens/>
        <w:bidi w:val="0"/>
        <w:spacing w:line="360" w:lineRule="auto"/>
        <w:ind w:firstLine="548" w:firstLineChars="196"/>
        <w:rPr>
          <w:rFonts w:ascii="宋体" w:hAnsi="宋体" w:cs="宋体"/>
          <w:color w:val="000000"/>
          <w:spacing w:val="-6"/>
          <w:kern w:val="0"/>
          <w:sz w:val="28"/>
          <w:szCs w:val="28"/>
          <w:highlight w:val="none"/>
        </w:rPr>
      </w:pPr>
      <w:r>
        <w:rPr>
          <w:rFonts w:hint="eastAsia" w:ascii="黑体" w:hAnsi="黑体" w:eastAsia="黑体" w:cs="黑体"/>
          <w:color w:val="000000"/>
          <w:kern w:val="0"/>
          <w:sz w:val="28"/>
          <w:szCs w:val="28"/>
          <w:highlight w:val="none"/>
        </w:rPr>
        <w:t>第</w:t>
      </w:r>
      <w:r>
        <w:rPr>
          <w:rFonts w:hint="eastAsia" w:ascii="黑体" w:hAnsi="黑体" w:eastAsia="黑体" w:cs="黑体"/>
          <w:color w:val="000000"/>
          <w:kern w:val="0"/>
          <w:sz w:val="28"/>
          <w:szCs w:val="28"/>
          <w:highlight w:val="none"/>
          <w:lang w:eastAsia="zh-CN"/>
        </w:rPr>
        <w:t>六十三</w:t>
      </w:r>
      <w:r>
        <w:rPr>
          <w:rFonts w:hint="eastAsia" w:ascii="黑体" w:hAnsi="黑体" w:eastAsia="黑体" w:cs="黑体"/>
          <w:color w:val="000000"/>
          <w:kern w:val="0"/>
          <w:sz w:val="28"/>
          <w:szCs w:val="28"/>
          <w:highlight w:val="none"/>
        </w:rPr>
        <w:t>条</w:t>
      </w:r>
      <w:r>
        <w:rPr>
          <w:rFonts w:hint="eastAsia" w:ascii="黑体" w:hAnsi="黑体" w:eastAsia="黑体" w:cs="黑体"/>
          <w:color w:val="000000"/>
          <w:kern w:val="0"/>
          <w:sz w:val="28"/>
          <w:szCs w:val="28"/>
          <w:highlight w:val="none"/>
          <w:lang w:val="en-US" w:eastAsia="zh-CN"/>
        </w:rPr>
        <w:t xml:space="preserve">  </w:t>
      </w:r>
      <w:r>
        <w:rPr>
          <w:rFonts w:hint="eastAsia" w:ascii="宋体" w:hAnsi="宋体" w:cs="宋体"/>
          <w:color w:val="000000"/>
          <w:spacing w:val="-6"/>
          <w:kern w:val="0"/>
          <w:sz w:val="28"/>
          <w:szCs w:val="28"/>
          <w:highlight w:val="none"/>
        </w:rPr>
        <w:t>交易所按照会员在交易所任一内部明细账户中的实有货币资金的4倍（配比乘数）确定会员有价证券作为保证金的最大配比金额。</w:t>
      </w:r>
    </w:p>
    <w:p>
      <w:pPr>
        <w:suppressAutoHyphens/>
        <w:bidi w:val="0"/>
        <w:spacing w:line="360" w:lineRule="auto"/>
        <w:ind w:firstLine="525" w:firstLineChars="196"/>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交易所按照有价证券的折后金额和最大配比金额中的较低金额作为会员有价证券作为保证金的实际可用金额。会员办妥作为保证金使用的有价证券交存手续后，交易所将该笔有价证券的实际可用金额计入会员结算准备金。</w:t>
      </w:r>
    </w:p>
    <w:p>
      <w:pPr>
        <w:suppressAutoHyphens/>
        <w:bidi w:val="0"/>
        <w:spacing w:line="360" w:lineRule="auto"/>
        <w:ind w:firstLine="525" w:firstLineChars="196"/>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交易所在每日结算时，根据以上原则自动调整会员有价证券作为保证金的实际可用金额。</w:t>
      </w:r>
    </w:p>
    <w:p>
      <w:pPr>
        <w:widowControl/>
        <w:suppressAutoHyphens/>
        <w:bidi w:val="0"/>
        <w:spacing w:line="360" w:lineRule="auto"/>
        <w:ind w:firstLine="560" w:firstLineChars="200"/>
        <w:rPr>
          <w:rFonts w:ascii="宋体" w:hAnsi="宋体"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六十四</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黑体" w:hAnsi="宋体" w:eastAsia="黑体" w:cs="黑体"/>
          <w:color w:val="000000"/>
          <w:kern w:val="0"/>
          <w:sz w:val="28"/>
          <w:szCs w:val="28"/>
          <w:highlight w:val="none"/>
        </w:rPr>
        <w:t xml:space="preserve"> </w:t>
      </w:r>
      <w:r>
        <w:rPr>
          <w:rFonts w:ascii="宋体" w:hAnsi="宋体" w:cs="宋体"/>
          <w:color w:val="000000"/>
          <w:spacing w:val="-6"/>
          <w:kern w:val="0"/>
          <w:sz w:val="28"/>
          <w:szCs w:val="28"/>
          <w:highlight w:val="none"/>
        </w:rPr>
        <w:t>资产作为保证金业务生效当日，交易所结算部门按照资产作为保证金的金额进行账务核算，同时按照资产作为保证金的实际可用金额增加会员保证金。</w:t>
      </w:r>
    </w:p>
    <w:p>
      <w:pPr>
        <w:widowControl/>
        <w:suppressAutoHyphens/>
        <w:bidi w:val="0"/>
        <w:spacing w:line="360" w:lineRule="auto"/>
        <w:ind w:firstLine="560" w:firstLineChars="200"/>
        <w:rPr>
          <w:rFonts w:ascii="宋体" w:hAnsi="宋体" w:cs="宋体"/>
          <w:color w:val="000000"/>
          <w:spacing w:val="-6"/>
          <w:kern w:val="0"/>
          <w:sz w:val="28"/>
          <w:szCs w:val="28"/>
          <w:highlight w:val="none"/>
        </w:rPr>
      </w:pPr>
      <w:r>
        <w:rPr>
          <w:rFonts w:hint="eastAsia" w:ascii="黑体" w:hAnsi="黑体" w:eastAsia="黑体"/>
          <w:color w:val="000000"/>
          <w:kern w:val="0"/>
          <w:sz w:val="28"/>
          <w:highlight w:val="none"/>
        </w:rPr>
        <w:t>第</w:t>
      </w:r>
      <w:r>
        <w:rPr>
          <w:rFonts w:hint="eastAsia" w:ascii="黑体" w:hAnsi="黑体" w:eastAsia="黑体"/>
          <w:color w:val="000000"/>
          <w:kern w:val="0"/>
          <w:sz w:val="28"/>
          <w:highlight w:val="none"/>
          <w:lang w:eastAsia="zh-CN"/>
        </w:rPr>
        <w:t>六十五</w:t>
      </w:r>
      <w:r>
        <w:rPr>
          <w:rFonts w:hint="eastAsia" w:ascii="黑体" w:hAnsi="黑体" w:eastAsia="黑体"/>
          <w:color w:val="000000"/>
          <w:kern w:val="0"/>
          <w:sz w:val="28"/>
          <w:highlight w:val="none"/>
        </w:rPr>
        <w:t xml:space="preserve">条  </w:t>
      </w:r>
      <w:r>
        <w:rPr>
          <w:rFonts w:ascii="宋体" w:hAnsi="宋体" w:cs="宋体"/>
          <w:color w:val="000000"/>
          <w:spacing w:val="-6"/>
          <w:kern w:val="0"/>
          <w:sz w:val="28"/>
          <w:szCs w:val="28"/>
          <w:highlight w:val="none"/>
        </w:rPr>
        <w:t>资产作为保证金期限内，会员用于配比的货币资金不足时，交易所按照资产作为保证金配比规定及时对该会员的实际可用资产作为保证金的金额作相应调减；会员增加货币资金时，交易所按照资产作为保证金配比规定及时调增其实际可用资产作为保证金的金额。</w:t>
      </w:r>
    </w:p>
    <w:p>
      <w:pPr>
        <w:widowControl/>
        <w:suppressAutoHyphens/>
        <w:bidi w:val="0"/>
        <w:spacing w:line="360" w:lineRule="auto"/>
        <w:ind w:firstLine="560" w:firstLineChars="200"/>
        <w:rPr>
          <w:rFonts w:ascii="宋体" w:hAnsi="宋体" w:cs="宋体"/>
          <w:color w:val="000000"/>
          <w:spacing w:val="-6"/>
          <w:kern w:val="0"/>
          <w:sz w:val="28"/>
          <w:szCs w:val="28"/>
          <w:highlight w:val="none"/>
        </w:rPr>
      </w:pPr>
      <w:r>
        <w:rPr>
          <w:rFonts w:hint="eastAsia" w:ascii="黑体" w:hAnsi="黑体" w:eastAsia="黑体" w:cs="Times New Roman"/>
          <w:color w:val="000000"/>
          <w:spacing w:val="0"/>
          <w:kern w:val="0"/>
          <w:sz w:val="28"/>
          <w:szCs w:val="24"/>
          <w:highlight w:val="none"/>
        </w:rPr>
        <w:t>第六十六条</w:t>
      </w:r>
      <w:r>
        <w:rPr>
          <w:rFonts w:hint="eastAsia" w:ascii="宋体" w:hAnsi="宋体" w:cs="宋体"/>
          <w:color w:val="000000"/>
          <w:spacing w:val="-6"/>
          <w:kern w:val="0"/>
          <w:sz w:val="28"/>
          <w:szCs w:val="28"/>
          <w:highlight w:val="none"/>
        </w:rPr>
        <w:t xml:space="preserve"> 交易所有权根据市场状况调整资产作为保证金的基准价、折扣比率、配比乘数，并由交易所另行通知。</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黑体" w:hAnsi="黑体" w:eastAsia="黑体" w:cs="宋体"/>
          <w:color w:val="000000"/>
          <w:spacing w:val="-6"/>
          <w:kern w:val="0"/>
          <w:sz w:val="28"/>
          <w:szCs w:val="28"/>
          <w:highlight w:val="none"/>
        </w:rPr>
        <w:t>第</w:t>
      </w:r>
      <w:r>
        <w:rPr>
          <w:rFonts w:hint="eastAsia" w:ascii="黑体" w:hAnsi="黑体" w:eastAsia="黑体" w:cs="宋体"/>
          <w:color w:val="000000"/>
          <w:spacing w:val="-6"/>
          <w:kern w:val="0"/>
          <w:sz w:val="28"/>
          <w:szCs w:val="28"/>
          <w:highlight w:val="none"/>
          <w:lang w:eastAsia="zh-CN"/>
        </w:rPr>
        <w:t>六十七</w:t>
      </w:r>
      <w:r>
        <w:rPr>
          <w:rFonts w:hint="eastAsia" w:ascii="黑体" w:hAnsi="黑体" w:eastAsia="黑体" w:cs="宋体"/>
          <w:color w:val="000000"/>
          <w:spacing w:val="-6"/>
          <w:kern w:val="0"/>
          <w:sz w:val="28"/>
          <w:szCs w:val="28"/>
          <w:highlight w:val="none"/>
        </w:rPr>
        <w:t>条</w:t>
      </w:r>
      <w:r>
        <w:rPr>
          <w:rFonts w:hint="eastAsia" w:ascii="宋体" w:hAnsi="宋体" w:cs="宋体"/>
          <w:color w:val="000000"/>
          <w:spacing w:val="-6"/>
          <w:kern w:val="0"/>
          <w:sz w:val="28"/>
          <w:szCs w:val="28"/>
          <w:highlight w:val="none"/>
        </w:rPr>
        <w:t xml:space="preserve">  国债作为保证金期间发生兑息的，利息归国债所有人所有，并按照托管机构有关规定办理。</w:t>
      </w:r>
    </w:p>
    <w:p>
      <w:pPr>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黑体" w:hAnsi="黑体" w:eastAsia="黑体" w:cs="宋体"/>
          <w:color w:val="000000"/>
          <w:spacing w:val="-6"/>
          <w:kern w:val="0"/>
          <w:sz w:val="28"/>
          <w:szCs w:val="28"/>
          <w:highlight w:val="none"/>
        </w:rPr>
        <w:t>第六十</w:t>
      </w:r>
      <w:r>
        <w:rPr>
          <w:rFonts w:hint="eastAsia" w:ascii="黑体" w:hAnsi="黑体" w:eastAsia="黑体" w:cs="宋体"/>
          <w:color w:val="000000"/>
          <w:spacing w:val="-6"/>
          <w:kern w:val="0"/>
          <w:sz w:val="28"/>
          <w:szCs w:val="28"/>
          <w:highlight w:val="none"/>
          <w:lang w:eastAsia="zh-CN"/>
        </w:rPr>
        <w:t>八</w:t>
      </w:r>
      <w:r>
        <w:rPr>
          <w:rFonts w:hint="eastAsia" w:ascii="黑体" w:hAnsi="黑体" w:eastAsia="黑体" w:cs="宋体"/>
          <w:color w:val="000000"/>
          <w:spacing w:val="-6"/>
          <w:kern w:val="0"/>
          <w:sz w:val="28"/>
          <w:szCs w:val="28"/>
          <w:highlight w:val="none"/>
        </w:rPr>
        <w:t>条</w:t>
      </w:r>
      <w:r>
        <w:rPr>
          <w:rFonts w:hint="eastAsia" w:ascii="宋体" w:hAnsi="宋体" w:cs="宋体"/>
          <w:color w:val="000000"/>
          <w:spacing w:val="-6"/>
          <w:kern w:val="0"/>
          <w:sz w:val="28"/>
          <w:szCs w:val="28"/>
          <w:highlight w:val="none"/>
        </w:rPr>
        <w:t xml:space="preserve">  有价证券作为保证金的，期限不得超过该有价证券的有效期。</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国债作为保证金的，国债到期日前一个月的第一个交易日结算时起，交易所不再将该国债计入实际可用金额计算。会员应当在国债到期日之前办理提取或者解除质押手续。</w:t>
      </w:r>
    </w:p>
    <w:p>
      <w:pPr>
        <w:widowControl/>
        <w:suppressAutoHyphens/>
        <w:bidi w:val="0"/>
        <w:spacing w:line="360" w:lineRule="auto"/>
        <w:ind w:firstLine="560" w:firstLineChars="200"/>
        <w:rPr>
          <w:rFonts w:ascii="宋体" w:hAnsi="宋体" w:cs="宋体"/>
          <w:color w:val="000000"/>
          <w:spacing w:val="-6"/>
          <w:kern w:val="0"/>
          <w:sz w:val="28"/>
          <w:szCs w:val="28"/>
          <w:highlight w:val="none"/>
        </w:rPr>
      </w:pPr>
      <w:r>
        <w:rPr>
          <w:rFonts w:hint="eastAsia" w:ascii="黑体" w:hAnsi="宋体" w:eastAsia="黑体" w:cs="黑体"/>
          <w:color w:val="000000"/>
          <w:kern w:val="0"/>
          <w:sz w:val="28"/>
          <w:szCs w:val="28"/>
          <w:highlight w:val="none"/>
        </w:rPr>
        <w:t>第六十</w:t>
      </w:r>
      <w:r>
        <w:rPr>
          <w:rFonts w:hint="eastAsia" w:ascii="黑体" w:hAnsi="宋体" w:eastAsia="黑体" w:cs="黑体"/>
          <w:color w:val="000000"/>
          <w:kern w:val="0"/>
          <w:sz w:val="28"/>
          <w:szCs w:val="28"/>
          <w:highlight w:val="none"/>
          <w:lang w:eastAsia="zh-CN"/>
        </w:rPr>
        <w:t>九</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spacing w:val="-6"/>
          <w:kern w:val="0"/>
          <w:sz w:val="28"/>
          <w:szCs w:val="28"/>
          <w:highlight w:val="none"/>
        </w:rPr>
        <w:t>出现下列情况之一的，交易所可以取消有关会员资产作为保证金的额度：</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（一）</w:t>
      </w:r>
      <w:r>
        <w:rPr>
          <w:rFonts w:ascii="宋体" w:hAnsi="宋体" w:cs="宋体"/>
          <w:color w:val="000000"/>
          <w:spacing w:val="-6"/>
          <w:kern w:val="0"/>
          <w:sz w:val="28"/>
          <w:szCs w:val="28"/>
          <w:highlight w:val="none"/>
        </w:rPr>
        <w:t>使用资产作为保证金的会员</w:t>
      </w:r>
      <w:r>
        <w:rPr>
          <w:rFonts w:hint="eastAsia" w:ascii="宋体" w:hAnsi="宋体" w:cs="宋体"/>
          <w:color w:val="000000"/>
          <w:spacing w:val="-6"/>
          <w:kern w:val="0"/>
          <w:sz w:val="28"/>
          <w:szCs w:val="28"/>
          <w:highlight w:val="none"/>
        </w:rPr>
        <w:t>、</w:t>
      </w:r>
      <w:r>
        <w:rPr>
          <w:rFonts w:hint="eastAsia" w:ascii="宋体" w:hAnsi="宋体" w:eastAsia="宋体" w:cs="宋体"/>
          <w:b w:val="0"/>
          <w:color w:val="000000"/>
          <w:spacing w:val="-6"/>
          <w:kern w:val="0"/>
          <w:sz w:val="28"/>
          <w:szCs w:val="28"/>
          <w:highlight w:val="none"/>
          <w:u w:val="none"/>
        </w:rPr>
        <w:t>境外特殊参与者、</w:t>
      </w:r>
      <w:r>
        <w:rPr>
          <w:rFonts w:hint="eastAsia" w:ascii="宋体" w:hAnsi="宋体" w:cs="宋体"/>
          <w:color w:val="000000"/>
          <w:spacing w:val="-6"/>
          <w:kern w:val="0"/>
          <w:sz w:val="28"/>
          <w:szCs w:val="28"/>
          <w:highlight w:val="none"/>
        </w:rPr>
        <w:t>境外</w:t>
      </w:r>
      <w:r>
        <w:rPr>
          <w:rFonts w:hint="eastAsia" w:ascii="宋体" w:hAnsi="宋体" w:cs="宋体"/>
          <w:color w:val="000000"/>
          <w:spacing w:val="-6"/>
          <w:kern w:val="0"/>
          <w:sz w:val="28"/>
          <w:szCs w:val="28"/>
          <w:highlight w:val="none"/>
          <w:lang w:eastAsia="zh-CN"/>
        </w:rPr>
        <w:t>中介</w:t>
      </w:r>
      <w:r>
        <w:rPr>
          <w:rFonts w:hint="eastAsia" w:ascii="宋体" w:hAnsi="宋体" w:cs="宋体"/>
          <w:color w:val="000000"/>
          <w:spacing w:val="-6"/>
          <w:kern w:val="0"/>
          <w:sz w:val="28"/>
          <w:szCs w:val="28"/>
          <w:highlight w:val="none"/>
        </w:rPr>
        <w:t>机构运用资金出现较大风险并有可能危及交易所合法权益的；</w:t>
      </w:r>
    </w:p>
    <w:p>
      <w:pPr>
        <w:widowControl/>
        <w:shd w:val="clear" w:color="auto" w:fill="FFFFFF"/>
        <w:spacing w:before="0" w:beforeAutospacing="0" w:after="0" w:afterAutospacing="0" w:line="360" w:lineRule="auto"/>
        <w:ind w:firstLine="525" w:firstLineChars="196"/>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 xml:space="preserve">（二）作为保证金的资产出现瑕疵或者发生重大风险的； </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（三）交易所认为必要的其他情形。</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交易所取消会员资产作为保证金的额度后，会员保证金不足的，会员应当补足。</w:t>
      </w:r>
    </w:p>
    <w:p>
      <w:pPr>
        <w:widowControl/>
        <w:suppressAutoHyphens/>
        <w:bidi w:val="0"/>
        <w:spacing w:line="360" w:lineRule="auto"/>
        <w:ind w:firstLine="560" w:firstLineChars="200"/>
        <w:rPr>
          <w:rFonts w:hint="eastAsia" w:ascii="宋体" w:hAnsi="宋体" w:cs="宋体"/>
          <w:color w:val="000000"/>
          <w:spacing w:val="-6"/>
          <w:kern w:val="0"/>
          <w:sz w:val="28"/>
          <w:szCs w:val="28"/>
          <w:highlight w:val="none"/>
          <w:lang w:val="en-US" w:eastAsia="zh-CN"/>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七十</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spacing w:val="-6"/>
          <w:kern w:val="0"/>
          <w:sz w:val="28"/>
          <w:szCs w:val="28"/>
          <w:highlight w:val="none"/>
          <w:lang w:val="en-US" w:eastAsia="zh-CN"/>
        </w:rPr>
        <w:t>当会员不履行或不能完全履行交易保证金债务和相关债务时，交易所有权处置作为保证金的资产，从所得的款项中优先受偿交易保证金债务和相关债务。会员应当承担处置作为保证金的资产时产生的损失及费用。</w:t>
      </w:r>
    </w:p>
    <w:p>
      <w:pPr>
        <w:widowControl/>
        <w:suppressAutoHyphens/>
        <w:bidi w:val="0"/>
        <w:spacing w:line="360" w:lineRule="auto"/>
        <w:ind w:firstLine="560" w:firstLineChars="200"/>
        <w:rPr>
          <w:rFonts w:hint="eastAsia" w:ascii="宋体" w:hAnsi="宋体" w:cs="宋体"/>
          <w:color w:val="000000"/>
          <w:spacing w:val="-6"/>
          <w:kern w:val="0"/>
          <w:sz w:val="28"/>
          <w:szCs w:val="28"/>
          <w:highlight w:val="none"/>
          <w:lang w:val="en-US" w:eastAsia="zh-CN"/>
        </w:rPr>
      </w:pPr>
      <w:r>
        <w:rPr>
          <w:rFonts w:hint="eastAsia" w:ascii="黑体" w:hAnsi="宋体" w:eastAsia="黑体" w:cs="黑体"/>
          <w:color w:val="000000"/>
          <w:kern w:val="0"/>
          <w:sz w:val="28"/>
          <w:szCs w:val="28"/>
          <w:highlight w:val="none"/>
          <w:lang w:val="en-US" w:eastAsia="zh-CN"/>
        </w:rPr>
        <w:t>第七十一条</w:t>
      </w:r>
      <w:r>
        <w:rPr>
          <w:rFonts w:hint="eastAsia" w:ascii="宋体" w:hAnsi="宋体" w:cs="宋体"/>
          <w:color w:val="000000"/>
          <w:spacing w:val="-6"/>
          <w:kern w:val="0"/>
          <w:sz w:val="28"/>
          <w:szCs w:val="28"/>
          <w:highlight w:val="none"/>
          <w:lang w:val="en-US" w:eastAsia="zh-CN"/>
        </w:rPr>
        <w:t xml:space="preserve">  交易所处置作为保证金的有价证券时，综合考虑会员债务和资产状况等因素，可以允许会员向交易所申报所需处置的有价证券，也可以直接按照有价证券的市场流动性、有效期限、处置效率等选择需要处置的有价证券。</w:t>
      </w:r>
    </w:p>
    <w:p>
      <w:pPr>
        <w:widowControl/>
        <w:suppressAutoHyphens/>
        <w:bidi w:val="0"/>
        <w:spacing w:line="360" w:lineRule="auto"/>
        <w:ind w:firstLine="536" w:firstLineChars="200"/>
        <w:rPr>
          <w:rFonts w:hint="eastAsia" w:ascii="宋体" w:hAnsi="宋体" w:cs="宋体"/>
          <w:color w:val="000000"/>
          <w:spacing w:val="-6"/>
          <w:kern w:val="0"/>
          <w:sz w:val="28"/>
          <w:szCs w:val="28"/>
          <w:highlight w:val="none"/>
          <w:lang w:val="en-US" w:eastAsia="zh-CN"/>
        </w:rPr>
      </w:pPr>
      <w:r>
        <w:rPr>
          <w:rFonts w:hint="eastAsia" w:ascii="宋体" w:hAnsi="宋体" w:cs="宋体"/>
          <w:color w:val="000000"/>
          <w:spacing w:val="-6"/>
          <w:kern w:val="0"/>
          <w:sz w:val="28"/>
          <w:szCs w:val="28"/>
          <w:highlight w:val="none"/>
          <w:lang w:val="en-US" w:eastAsia="zh-CN"/>
        </w:rPr>
        <w:t>有价证券的处置方式为拍卖、变卖和协议折价等，交易所可以根据情况确定处置方式，具体处置由交易所自行办理或者委托托管机构按有关规定办理。采用拍卖、变卖等公开处置方式的，交易所可以公布会员交存至交易所的全部有价证券，由市场参与者根据公布的有价证券提交申购意向。</w:t>
      </w:r>
    </w:p>
    <w:p>
      <w:pPr>
        <w:widowControl/>
        <w:shd w:val="clear" w:color="auto" w:fill="FFFFFF"/>
        <w:spacing w:before="0" w:beforeAutospacing="0" w:after="0" w:afterAutospacing="0" w:line="360" w:lineRule="auto"/>
        <w:ind w:firstLine="560" w:firstLineChars="200"/>
        <w:jc w:val="left"/>
        <w:rPr>
          <w:rFonts w:ascii="仿宋" w:hAnsi="仿宋" w:eastAsia="仿宋" w:cs="Times New Roman"/>
          <w:kern w:val="0"/>
          <w:sz w:val="32"/>
          <w:szCs w:val="32"/>
          <w:highlight w:val="none"/>
          <w:lang w:val="en-US" w:eastAsia="zh-CN" w:bidi="ar-SA"/>
        </w:rPr>
      </w:pPr>
      <w:r>
        <w:rPr>
          <w:rFonts w:hint="eastAsia" w:ascii="黑体" w:hAnsi="宋体" w:eastAsia="黑体" w:cs="黑体"/>
          <w:color w:val="000000"/>
          <w:kern w:val="0"/>
          <w:sz w:val="28"/>
          <w:szCs w:val="28"/>
          <w:highlight w:val="none"/>
          <w:lang w:val="en-US" w:eastAsia="zh-CN" w:bidi="ar-SA"/>
        </w:rPr>
        <w:t xml:space="preserve">第七十二条  </w:t>
      </w:r>
      <w:r>
        <w:rPr>
          <w:rFonts w:hint="eastAsia" w:ascii="宋体" w:hAnsi="宋体" w:eastAsia="宋体" w:cs="宋体"/>
          <w:color w:val="000000"/>
          <w:spacing w:val="-6"/>
          <w:kern w:val="0"/>
          <w:sz w:val="28"/>
          <w:szCs w:val="28"/>
          <w:highlight w:val="none"/>
          <w:lang w:val="en-US" w:eastAsia="zh-CN" w:bidi="ar-SA"/>
        </w:rPr>
        <w:t>会员办理资产提取或者解除质押的，应当弥补相应的保证金。</w:t>
      </w:r>
    </w:p>
    <w:p>
      <w:pPr>
        <w:widowControl/>
        <w:shd w:val="clear" w:color="auto" w:fill="FFFFFF"/>
        <w:spacing w:before="0" w:beforeAutospacing="0" w:after="0" w:afterAutospacing="0" w:line="360" w:lineRule="auto"/>
        <w:ind w:firstLine="560" w:firstLineChars="200"/>
        <w:jc w:val="left"/>
        <w:rPr>
          <w:rFonts w:ascii="仿宋" w:hAnsi="仿宋" w:eastAsia="仿宋" w:cs="Times New Roman"/>
          <w:kern w:val="0"/>
          <w:sz w:val="32"/>
          <w:szCs w:val="32"/>
          <w:highlight w:val="none"/>
          <w:lang w:val="en-US" w:eastAsia="zh-CN" w:bidi="ar-SA"/>
        </w:rPr>
      </w:pPr>
      <w:r>
        <w:rPr>
          <w:rFonts w:hint="eastAsia" w:ascii="黑体" w:hAnsi="宋体" w:eastAsia="黑体" w:cs="黑体"/>
          <w:color w:val="000000"/>
          <w:kern w:val="0"/>
          <w:sz w:val="28"/>
          <w:szCs w:val="28"/>
          <w:highlight w:val="none"/>
          <w:lang w:val="en-US" w:eastAsia="zh-CN" w:bidi="ar-SA"/>
        </w:rPr>
        <w:t xml:space="preserve">第七十三条  </w:t>
      </w:r>
      <w:r>
        <w:rPr>
          <w:rFonts w:ascii="宋体" w:hAnsi="宋体" w:eastAsia="宋体" w:cs="宋体"/>
          <w:color w:val="000000"/>
          <w:spacing w:val="-6"/>
          <w:kern w:val="0"/>
          <w:sz w:val="28"/>
          <w:szCs w:val="28"/>
          <w:highlight w:val="none"/>
          <w:lang w:val="en-US" w:eastAsia="zh-CN" w:bidi="ar-SA"/>
        </w:rPr>
        <w:t>资产作为保证金不能全额及时清偿时，交易所有权将作为保证金的资产按市场价兑现或者变现，用于清偿其作为保证金</w:t>
      </w:r>
      <w:r>
        <w:rPr>
          <w:rFonts w:hint="eastAsia" w:ascii="宋体" w:hAnsi="宋体" w:eastAsia="宋体" w:cs="宋体"/>
          <w:color w:val="000000"/>
          <w:spacing w:val="-6"/>
          <w:kern w:val="0"/>
          <w:sz w:val="28"/>
          <w:szCs w:val="28"/>
          <w:highlight w:val="none"/>
          <w:lang w:val="en-US" w:eastAsia="zh-CN" w:bidi="ar-SA"/>
        </w:rPr>
        <w:t>的金额</w:t>
      </w:r>
      <w:r>
        <w:rPr>
          <w:rFonts w:ascii="宋体" w:hAnsi="宋体" w:eastAsia="宋体" w:cs="宋体"/>
          <w:color w:val="000000"/>
          <w:spacing w:val="-6"/>
          <w:kern w:val="0"/>
          <w:sz w:val="28"/>
          <w:szCs w:val="28"/>
          <w:highlight w:val="none"/>
          <w:lang w:val="en-US" w:eastAsia="zh-CN" w:bidi="ar-SA"/>
        </w:rPr>
        <w:t>和相关债务。清偿后有余额的，将余额部分退还会员；兑现或者变现金额不足以清偿其作为保证金的金额和相关债务的，交易所有权向会员追索。</w:t>
      </w:r>
    </w:p>
    <w:p>
      <w:pPr>
        <w:widowControl/>
        <w:shd w:val="clear" w:color="auto" w:fill="FFFFFF"/>
        <w:spacing w:before="0" w:beforeAutospacing="0" w:after="0" w:afterAutospacing="0" w:line="360" w:lineRule="auto"/>
        <w:ind w:firstLine="536" w:firstLineChars="200"/>
        <w:jc w:val="left"/>
        <w:rPr>
          <w:rFonts w:ascii="仿宋" w:hAnsi="仿宋" w:eastAsia="仿宋" w:cs="Times New Roman"/>
          <w:kern w:val="0"/>
          <w:sz w:val="32"/>
          <w:szCs w:val="32"/>
          <w:highlight w:val="none"/>
          <w:lang w:val="en-US" w:eastAsia="zh-CN" w:bidi="ar-SA"/>
        </w:rPr>
      </w:pPr>
      <w:r>
        <w:rPr>
          <w:rFonts w:ascii="宋体" w:hAnsi="宋体" w:eastAsia="宋体" w:cs="宋体"/>
          <w:color w:val="000000"/>
          <w:spacing w:val="-6"/>
          <w:kern w:val="0"/>
          <w:sz w:val="28"/>
          <w:szCs w:val="28"/>
          <w:highlight w:val="none"/>
          <w:lang w:val="en-US" w:eastAsia="zh-CN" w:bidi="ar-SA"/>
        </w:rPr>
        <w:t>兑现或者变现时，资产可以分割的，按其不能清偿的保证金数额、资产作为保证金的费用、兑现或者变现费用以及相关费用等的合计数额进行分割兑现或者变现；资产不能分割的，全部兑现或者变现。</w:t>
      </w:r>
    </w:p>
    <w:p>
      <w:pPr>
        <w:widowControl/>
        <w:shd w:val="clear" w:color="auto" w:fill="FFFFFF"/>
        <w:spacing w:before="0" w:beforeAutospacing="0" w:after="0" w:afterAutospacing="0" w:line="360" w:lineRule="auto"/>
        <w:ind w:firstLine="560" w:firstLineChars="200"/>
        <w:jc w:val="left"/>
        <w:rPr>
          <w:rFonts w:ascii="宋体" w:hAnsi="宋体" w:eastAsia="宋体" w:cs="宋体"/>
          <w:color w:val="000000"/>
          <w:spacing w:val="-6"/>
          <w:kern w:val="0"/>
          <w:sz w:val="28"/>
          <w:szCs w:val="28"/>
          <w:highlight w:val="none"/>
          <w:lang w:val="en-US" w:eastAsia="zh-CN" w:bidi="ar-SA"/>
        </w:rPr>
      </w:pPr>
      <w:r>
        <w:rPr>
          <w:rFonts w:hint="eastAsia" w:ascii="黑体" w:hAnsi="宋体" w:eastAsia="黑体" w:cs="黑体"/>
          <w:color w:val="000000"/>
          <w:kern w:val="0"/>
          <w:sz w:val="28"/>
          <w:szCs w:val="28"/>
          <w:highlight w:val="none"/>
          <w:lang w:val="en-US" w:eastAsia="zh-CN" w:bidi="ar-SA"/>
        </w:rPr>
        <w:t xml:space="preserve">第七十四条  </w:t>
      </w:r>
      <w:r>
        <w:rPr>
          <w:rFonts w:hint="eastAsia" w:ascii="宋体" w:hAnsi="宋体" w:eastAsia="宋体" w:cs="宋体"/>
          <w:color w:val="000000"/>
          <w:spacing w:val="-6"/>
          <w:kern w:val="0"/>
          <w:sz w:val="28"/>
          <w:szCs w:val="28"/>
          <w:highlight w:val="none"/>
          <w:lang w:val="en-US" w:eastAsia="zh-CN" w:bidi="ar-SA"/>
        </w:rPr>
        <w:t>办理资产作为保证金的会员应当向交易所交纳手续费。手续费由交易所按不高于中国人民银行公布的同期贷款利率计算收取。具体计费金额和收费标准由交易所确定、调整并公布。</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资产在作为保证金期内发生的仓储费等其他费用按有关规定交纳。</w:t>
      </w:r>
    </w:p>
    <w:p>
      <w:pPr>
        <w:widowControl/>
        <w:shd w:val="clear" w:color="auto" w:fill="FFFFFF"/>
        <w:spacing w:before="0" w:beforeAutospacing="0" w:after="0" w:afterAutospacing="0" w:line="360" w:lineRule="auto"/>
        <w:ind w:firstLine="536" w:firstLineChars="200"/>
        <w:jc w:val="left"/>
        <w:rPr>
          <w:rFonts w:ascii="宋体" w:hAnsi="宋体" w:eastAsia="宋体" w:cs="宋体"/>
          <w:color w:val="000000"/>
          <w:spacing w:val="-6"/>
          <w:kern w:val="0"/>
          <w:sz w:val="28"/>
          <w:szCs w:val="28"/>
          <w:highlight w:val="none"/>
          <w:lang w:val="en-US" w:eastAsia="zh-CN" w:bidi="ar-SA"/>
        </w:rPr>
      </w:pPr>
      <w:r>
        <w:rPr>
          <w:rFonts w:hint="eastAsia" w:ascii="宋体" w:hAnsi="宋体" w:eastAsia="宋体" w:cs="宋体"/>
          <w:color w:val="000000"/>
          <w:spacing w:val="-6"/>
          <w:kern w:val="0"/>
          <w:sz w:val="28"/>
          <w:szCs w:val="28"/>
          <w:highlight w:val="none"/>
          <w:lang w:val="en-US" w:eastAsia="zh-CN" w:bidi="ar-SA"/>
        </w:rPr>
        <w:t>有价证券作为保证金业务中托管机构收取的有关费用，按照托管机构的有关规定执行。</w:t>
      </w:r>
    </w:p>
    <w:p>
      <w:pPr>
        <w:widowControl/>
        <w:suppressAutoHyphens/>
        <w:bidi w:val="0"/>
        <w:spacing w:line="360" w:lineRule="auto"/>
        <w:ind w:firstLine="560" w:firstLineChars="200"/>
        <w:rPr>
          <w:rFonts w:ascii="仿宋" w:hAnsi="仿宋" w:eastAsia="仿宋"/>
          <w:sz w:val="32"/>
          <w:szCs w:val="32"/>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七十五</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spacing w:val="-6"/>
          <w:kern w:val="0"/>
          <w:sz w:val="28"/>
          <w:szCs w:val="28"/>
          <w:highlight w:val="none"/>
        </w:rPr>
        <w:t>交易所应当建立资产作为保证金业务相关资料的保管制度，完善相关手续。资产作为保证金业务的相关资料保管期限与会计档案相同。</w:t>
      </w:r>
    </w:p>
    <w:p>
      <w:pPr>
        <w:widowControl/>
        <w:suppressAutoHyphens/>
        <w:bidi w:val="0"/>
        <w:spacing w:line="360" w:lineRule="auto"/>
        <w:jc w:val="center"/>
        <w:rPr>
          <w:rFonts w:ascii="Arial" w:hAnsi="Arial" w:cs="Arial"/>
          <w:color w:val="000000"/>
          <w:kern w:val="0"/>
          <w:sz w:val="32"/>
          <w:szCs w:val="32"/>
          <w:highlight w:val="none"/>
        </w:rPr>
      </w:pPr>
      <w:r>
        <w:rPr>
          <w:rFonts w:hint="eastAsia" w:ascii="黑体" w:hAnsi="宋体" w:eastAsia="黑体" w:cs="黑体"/>
          <w:bCs/>
          <w:color w:val="000000"/>
          <w:kern w:val="0"/>
          <w:sz w:val="32"/>
          <w:szCs w:val="32"/>
          <w:highlight w:val="none"/>
        </w:rPr>
        <w:t>第</w:t>
      </w:r>
      <w:r>
        <w:rPr>
          <w:rFonts w:hint="eastAsia" w:ascii="黑体" w:hAnsi="宋体" w:eastAsia="黑体" w:cs="黑体"/>
          <w:bCs/>
          <w:color w:val="000000"/>
          <w:kern w:val="0"/>
          <w:sz w:val="32"/>
          <w:szCs w:val="32"/>
          <w:highlight w:val="none"/>
          <w:lang w:eastAsia="zh-CN"/>
        </w:rPr>
        <w:t>八</w:t>
      </w:r>
      <w:r>
        <w:rPr>
          <w:rFonts w:hint="eastAsia" w:ascii="黑体" w:hAnsi="宋体" w:eastAsia="黑体" w:cs="黑体"/>
          <w:bCs/>
          <w:color w:val="000000"/>
          <w:kern w:val="0"/>
          <w:sz w:val="32"/>
          <w:szCs w:val="32"/>
          <w:highlight w:val="none"/>
        </w:rPr>
        <w:t>章  风险与责任</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七十六</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olor w:val="000000"/>
          <w:kern w:val="0"/>
          <w:sz w:val="28"/>
          <w:highlight w:val="none"/>
        </w:rPr>
        <w:t>期货交易风险防范实行分级负责制度。交易所防范会员风险，会员防范其结算交割委托人的风险，境外特殊经纪参与者、境外</w:t>
      </w:r>
      <w:r>
        <w:rPr>
          <w:rFonts w:hint="eastAsia" w:ascii="宋体" w:hAnsi="宋体"/>
          <w:color w:val="000000"/>
          <w:kern w:val="0"/>
          <w:sz w:val="28"/>
          <w:highlight w:val="none"/>
          <w:lang w:eastAsia="zh-CN"/>
        </w:rPr>
        <w:t>中介</w:t>
      </w:r>
      <w:r>
        <w:rPr>
          <w:rFonts w:hint="eastAsia" w:ascii="宋体" w:hAnsi="宋体"/>
          <w:color w:val="000000"/>
          <w:kern w:val="0"/>
          <w:sz w:val="28"/>
          <w:highlight w:val="none"/>
        </w:rPr>
        <w:t>机构防范其客户的风险</w:t>
      </w:r>
      <w:r>
        <w:rPr>
          <w:rFonts w:hint="eastAsia" w:ascii="宋体" w:hAnsi="宋体" w:cs="宋体"/>
          <w:color w:val="000000"/>
          <w:kern w:val="0"/>
          <w:sz w:val="28"/>
          <w:szCs w:val="28"/>
          <w:highlight w:val="none"/>
        </w:rPr>
        <w:t>。</w:t>
      </w:r>
    </w:p>
    <w:p>
      <w:pPr>
        <w:widowControl/>
        <w:suppressAutoHyphens/>
        <w:bidi w:val="0"/>
        <w:spacing w:line="360" w:lineRule="auto"/>
        <w:ind w:firstLine="560" w:firstLineChars="200"/>
        <w:rPr>
          <w:rFonts w:ascii="宋体" w:hAnsi="宋体" w:cs="宋体"/>
          <w:color w:val="000000"/>
          <w:spacing w:val="-6"/>
          <w:kern w:val="0"/>
          <w:sz w:val="28"/>
          <w:szCs w:val="28"/>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七十七</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color w:val="000000"/>
          <w:spacing w:val="-6"/>
          <w:kern w:val="0"/>
          <w:sz w:val="28"/>
          <w:szCs w:val="28"/>
          <w:highlight w:val="none"/>
        </w:rPr>
        <w:t>会员对其在交易所成交的合约负有承担风险的责任。</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ascii="宋体" w:hAnsi="宋体" w:cs="宋体"/>
          <w:color w:val="000000"/>
          <w:spacing w:val="-6"/>
          <w:kern w:val="0"/>
          <w:sz w:val="28"/>
          <w:szCs w:val="28"/>
          <w:highlight w:val="none"/>
        </w:rPr>
        <w:t>交易所组织期货交易，已经成交的交易指令、了结的期货交易持仓、收取的保证金、已经划转或者完成质押处理的作为保证金的资产、配对完成的标准仓单等交易、结算和交割行为或者财产的法律属性，以及采取的违约处理措施，不因会员进入破产程序而使得相关行为或者财产的法律属性被撤销或者无效</w:t>
      </w:r>
      <w:r>
        <w:rPr>
          <w:rFonts w:hint="eastAsia" w:ascii="宋体" w:hAnsi="宋体" w:cs="宋体"/>
          <w:color w:val="000000"/>
          <w:spacing w:val="-6"/>
          <w:kern w:val="0"/>
          <w:sz w:val="28"/>
          <w:szCs w:val="28"/>
          <w:highlight w:val="none"/>
        </w:rPr>
        <w:t>。</w:t>
      </w:r>
    </w:p>
    <w:p>
      <w:pPr>
        <w:widowControl/>
        <w:suppressAutoHyphens/>
        <w:bidi w:val="0"/>
        <w:spacing w:line="360" w:lineRule="auto"/>
        <w:ind w:firstLine="536" w:firstLineChars="200"/>
        <w:rPr>
          <w:rFonts w:ascii="Arial" w:hAnsi="Arial" w:cs="Arial"/>
          <w:color w:val="000000"/>
          <w:kern w:val="0"/>
          <w:szCs w:val="21"/>
          <w:highlight w:val="none"/>
        </w:rPr>
      </w:pPr>
      <w:r>
        <w:rPr>
          <w:rFonts w:hint="eastAsia" w:ascii="宋体" w:hAnsi="宋体" w:cs="宋体"/>
          <w:color w:val="000000"/>
          <w:spacing w:val="-6"/>
          <w:kern w:val="0"/>
          <w:sz w:val="28"/>
          <w:szCs w:val="28"/>
          <w:highlight w:val="none"/>
        </w:rPr>
        <w:t>会员进入破产程序，交易所仍可以按照交易规则及其实施细则，对该会员未了结的合约进行净额结算。</w:t>
      </w:r>
    </w:p>
    <w:p>
      <w:pPr>
        <w:widowControl/>
        <w:suppressAutoHyphens/>
        <w:bidi w:val="0"/>
        <w:spacing w:line="360" w:lineRule="auto"/>
        <w:ind w:firstLine="560" w:firstLineChars="200"/>
        <w:rPr>
          <w:rFonts w:ascii="黑体" w:hAnsi="宋体" w:eastAsia="黑体" w:cs="黑体"/>
          <w:color w:val="000000"/>
          <w:kern w:val="0"/>
          <w:sz w:val="28"/>
          <w:szCs w:val="28"/>
          <w:highlight w:val="none"/>
        </w:rPr>
      </w:pPr>
      <w:r>
        <w:rPr>
          <w:rFonts w:hint="eastAsia" w:ascii="黑体" w:hAnsi="宋体" w:eastAsia="黑体" w:cs="黑体"/>
          <w:color w:val="000000"/>
          <w:kern w:val="0"/>
          <w:sz w:val="28"/>
          <w:szCs w:val="28"/>
          <w:highlight w:val="none"/>
        </w:rPr>
        <w:t>第七十</w:t>
      </w:r>
      <w:r>
        <w:rPr>
          <w:rFonts w:hint="eastAsia" w:ascii="黑体" w:hAnsi="宋体" w:eastAsia="黑体" w:cs="黑体"/>
          <w:color w:val="000000"/>
          <w:kern w:val="0"/>
          <w:sz w:val="28"/>
          <w:szCs w:val="28"/>
          <w:highlight w:val="none"/>
          <w:lang w:eastAsia="zh-CN"/>
        </w:rPr>
        <w:t>八</w:t>
      </w:r>
      <w:r>
        <w:rPr>
          <w:rFonts w:hint="eastAsia" w:ascii="黑体" w:hAnsi="宋体" w:eastAsia="黑体" w:cs="黑体"/>
          <w:color w:val="000000"/>
          <w:kern w:val="0"/>
          <w:sz w:val="28"/>
          <w:szCs w:val="28"/>
          <w:highlight w:val="none"/>
        </w:rPr>
        <w:t xml:space="preserve">条  </w:t>
      </w:r>
      <w:r>
        <w:rPr>
          <w:rFonts w:hint="eastAsia" w:ascii="宋体" w:hAnsi="宋体"/>
          <w:color w:val="000000"/>
          <w:kern w:val="0"/>
          <w:sz w:val="28"/>
          <w:highlight w:val="none"/>
        </w:rPr>
        <w:t>存管银行发生破产或者其他债权债务纠纷的，保证金不属于其破产财产，不属于冻结或者划拨的财产范围。</w:t>
      </w:r>
    </w:p>
    <w:p>
      <w:pPr>
        <w:widowControl/>
        <w:suppressAutoHyphens/>
        <w:bidi w:val="0"/>
        <w:spacing w:line="360" w:lineRule="auto"/>
        <w:ind w:firstLine="560" w:firstLineChars="200"/>
        <w:rPr>
          <w:rFonts w:ascii="宋体" w:hAnsi="宋体" w:cs="黑体"/>
          <w:color w:val="000000"/>
          <w:kern w:val="0"/>
          <w:sz w:val="28"/>
          <w:szCs w:val="28"/>
          <w:highlight w:val="none"/>
        </w:rPr>
      </w:pPr>
      <w:r>
        <w:rPr>
          <w:rFonts w:hint="eastAsia" w:ascii="黑体" w:hAnsi="宋体" w:eastAsia="黑体" w:cs="黑体"/>
          <w:color w:val="000000"/>
          <w:kern w:val="0"/>
          <w:sz w:val="28"/>
          <w:szCs w:val="28"/>
          <w:highlight w:val="none"/>
        </w:rPr>
        <w:t>第七十</w:t>
      </w:r>
      <w:r>
        <w:rPr>
          <w:rFonts w:hint="eastAsia" w:ascii="黑体" w:hAnsi="宋体" w:eastAsia="黑体" w:cs="黑体"/>
          <w:color w:val="000000"/>
          <w:kern w:val="0"/>
          <w:sz w:val="28"/>
          <w:szCs w:val="28"/>
          <w:highlight w:val="none"/>
          <w:lang w:eastAsia="zh-CN"/>
        </w:rPr>
        <w:t>九</w:t>
      </w:r>
      <w:r>
        <w:rPr>
          <w:rFonts w:hint="eastAsia" w:ascii="黑体" w:hAnsi="宋体" w:eastAsia="黑体" w:cs="黑体"/>
          <w:color w:val="000000"/>
          <w:kern w:val="0"/>
          <w:sz w:val="28"/>
          <w:szCs w:val="28"/>
          <w:highlight w:val="none"/>
        </w:rPr>
        <w:t xml:space="preserve">条  </w:t>
      </w:r>
      <w:r>
        <w:rPr>
          <w:rFonts w:hint="eastAsia" w:ascii="宋体" w:hAnsi="宋体" w:cs="黑体"/>
          <w:color w:val="000000"/>
          <w:kern w:val="0"/>
          <w:sz w:val="28"/>
          <w:szCs w:val="28"/>
          <w:highlight w:val="none"/>
        </w:rPr>
        <w:t>交割仓库发生破产或者其他债权债务纠纷的，期货市场参与者存放的非交割仓库所有的期货商品，不属于交割仓库的破产财产和查封、扣押的财产范围。</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八十</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会员不能履行合约义务时，交易所有权对其采取下列保障措施:</w:t>
      </w:r>
    </w:p>
    <w:p>
      <w:pPr>
        <w:widowControl/>
        <w:suppressAutoHyphens/>
        <w:bidi w:val="0"/>
        <w:spacing w:line="360" w:lineRule="auto"/>
        <w:ind w:firstLine="536" w:firstLineChars="200"/>
        <w:rPr>
          <w:rFonts w:ascii="Arial" w:hAnsi="Arial" w:cs="Arial"/>
          <w:color w:val="000000"/>
          <w:kern w:val="0"/>
          <w:szCs w:val="21"/>
          <w:highlight w:val="none"/>
        </w:rPr>
      </w:pPr>
      <w:r>
        <w:rPr>
          <w:rFonts w:hint="eastAsia" w:ascii="宋体" w:hAnsi="宋体" w:cs="宋体"/>
          <w:color w:val="000000"/>
          <w:spacing w:val="-6"/>
          <w:kern w:val="0"/>
          <w:sz w:val="28"/>
          <w:szCs w:val="28"/>
          <w:highlight w:val="none"/>
        </w:rPr>
        <w:t xml:space="preserve">（一）动用会员的结算准备金； </w:t>
      </w:r>
    </w:p>
    <w:p>
      <w:pPr>
        <w:widowControl/>
        <w:suppressAutoHyphens/>
        <w:bidi w:val="0"/>
        <w:spacing w:line="360" w:lineRule="auto"/>
        <w:ind w:firstLine="536" w:firstLineChars="200"/>
        <w:rPr>
          <w:rFonts w:ascii="Arial" w:hAnsi="Arial" w:cs="Arial"/>
          <w:color w:val="000000"/>
          <w:kern w:val="0"/>
          <w:szCs w:val="21"/>
          <w:highlight w:val="none"/>
        </w:rPr>
      </w:pPr>
      <w:r>
        <w:rPr>
          <w:rFonts w:hint="eastAsia" w:ascii="宋体" w:hAnsi="宋体" w:cs="宋体"/>
          <w:color w:val="000000"/>
          <w:spacing w:val="-6"/>
          <w:kern w:val="0"/>
          <w:sz w:val="28"/>
          <w:szCs w:val="28"/>
          <w:highlight w:val="none"/>
        </w:rPr>
        <w:t xml:space="preserve">（二）暂停开仓交易； </w:t>
      </w:r>
    </w:p>
    <w:p>
      <w:pPr>
        <w:widowControl/>
        <w:suppressAutoHyphens/>
        <w:bidi w:val="0"/>
        <w:spacing w:line="360" w:lineRule="auto"/>
        <w:ind w:firstLine="536" w:firstLineChars="200"/>
        <w:jc w:val="center"/>
        <w:rPr>
          <w:rFonts w:ascii="Arial" w:hAnsi="Arial" w:cs="Arial"/>
          <w:color w:val="000000"/>
          <w:kern w:val="0"/>
          <w:szCs w:val="21"/>
          <w:highlight w:val="none"/>
        </w:rPr>
      </w:pPr>
      <w:r>
        <w:rPr>
          <w:rFonts w:hint="eastAsia" w:ascii="宋体" w:hAnsi="宋体" w:cs="宋体"/>
          <w:color w:val="000000"/>
          <w:spacing w:val="-6"/>
          <w:kern w:val="0"/>
          <w:sz w:val="28"/>
          <w:szCs w:val="28"/>
          <w:highlight w:val="none"/>
        </w:rPr>
        <w:t xml:space="preserve">（三）按规定强行平仓，直至用平仓后释放的保证金能够履约为止； </w:t>
      </w:r>
    </w:p>
    <w:p>
      <w:pPr>
        <w:widowControl/>
        <w:suppressAutoHyphens/>
        <w:bidi w:val="0"/>
        <w:spacing w:line="360" w:lineRule="auto"/>
        <w:ind w:firstLine="536" w:firstLineChars="200"/>
        <w:rPr>
          <w:rFonts w:ascii="宋体" w:hAnsi="宋体" w:cs="宋体"/>
          <w:color w:val="000000"/>
          <w:spacing w:val="-6"/>
          <w:kern w:val="0"/>
          <w:sz w:val="28"/>
          <w:szCs w:val="28"/>
          <w:highlight w:val="none"/>
        </w:rPr>
      </w:pPr>
      <w:r>
        <w:rPr>
          <w:rFonts w:hint="eastAsia" w:ascii="宋体" w:hAnsi="宋体" w:cs="宋体"/>
          <w:color w:val="000000"/>
          <w:spacing w:val="-6"/>
          <w:kern w:val="0"/>
          <w:sz w:val="28"/>
          <w:szCs w:val="28"/>
          <w:highlight w:val="none"/>
        </w:rPr>
        <w:t xml:space="preserve">（四）将作为保证金的资产变现，用变现所得履约赔偿。 </w:t>
      </w:r>
    </w:p>
    <w:p>
      <w:pPr>
        <w:widowControl/>
        <w:suppressAutoHyphens/>
        <w:bidi w:val="0"/>
        <w:spacing w:line="360" w:lineRule="auto"/>
        <w:ind w:firstLine="560" w:firstLineChars="200"/>
        <w:rPr>
          <w:rFonts w:hint="eastAsia" w:ascii="宋体" w:hAnsi="宋体" w:cs="宋体"/>
          <w:color w:val="000000"/>
          <w:kern w:val="0"/>
          <w:sz w:val="28"/>
          <w:szCs w:val="28"/>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八十一</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采取前条措施后会员仍不能清偿债务的，交易所可采取以下清偿措施： </w:t>
      </w:r>
    </w:p>
    <w:p>
      <w:pPr>
        <w:widowControl/>
        <w:suppressAutoHyphens/>
        <w:bidi w:val="0"/>
        <w:spacing w:line="360" w:lineRule="auto"/>
        <w:ind w:firstLine="560" w:firstLineChars="200"/>
        <w:rPr>
          <w:rFonts w:hint="eastAsia" w:ascii="宋体" w:hAnsi="宋体" w:cs="宋体"/>
          <w:color w:val="000000"/>
          <w:kern w:val="0"/>
          <w:sz w:val="28"/>
          <w:szCs w:val="28"/>
          <w:highlight w:val="none"/>
          <w:lang w:eastAsia="zh-CN"/>
        </w:rPr>
      </w:pPr>
      <w:r>
        <w:rPr>
          <w:rFonts w:hint="eastAsia" w:ascii="宋体" w:hAnsi="宋体" w:cs="宋体"/>
          <w:color w:val="000000"/>
          <w:kern w:val="0"/>
          <w:sz w:val="28"/>
          <w:szCs w:val="28"/>
          <w:highlight w:val="none"/>
          <w:lang w:eastAsia="zh-CN"/>
        </w:rPr>
        <w:t>（一）转让会员资格，用转让所得抵偿；</w:t>
      </w:r>
    </w:p>
    <w:p>
      <w:pPr>
        <w:widowControl/>
        <w:suppressAutoHyphens/>
        <w:bidi w:val="0"/>
        <w:spacing w:line="360" w:lineRule="auto"/>
        <w:ind w:firstLine="560" w:firstLineChars="200"/>
        <w:rPr>
          <w:rFonts w:hint="eastAsia" w:ascii="宋体" w:hAnsi="宋体" w:cs="宋体"/>
          <w:color w:val="000000"/>
          <w:kern w:val="0"/>
          <w:sz w:val="28"/>
          <w:szCs w:val="28"/>
          <w:highlight w:val="none"/>
          <w:lang w:eastAsia="zh-CN"/>
        </w:rPr>
      </w:pPr>
      <w:r>
        <w:rPr>
          <w:rFonts w:hint="eastAsia" w:ascii="宋体" w:hAnsi="宋体" w:cs="宋体"/>
          <w:color w:val="000000"/>
          <w:kern w:val="0"/>
          <w:sz w:val="28"/>
          <w:szCs w:val="28"/>
          <w:highlight w:val="none"/>
          <w:lang w:eastAsia="zh-CN"/>
        </w:rPr>
        <w:t>（二）经理事会批准，动用风险准备金进行履约赔偿；</w:t>
      </w:r>
    </w:p>
    <w:p>
      <w:pPr>
        <w:widowControl/>
        <w:suppressAutoHyphens/>
        <w:bidi w:val="0"/>
        <w:spacing w:line="360" w:lineRule="auto"/>
        <w:ind w:firstLine="560" w:firstLineChars="200"/>
        <w:rPr>
          <w:rFonts w:hint="eastAsia" w:ascii="宋体" w:hAnsi="宋体" w:cs="宋体"/>
          <w:color w:val="000000"/>
          <w:kern w:val="0"/>
          <w:sz w:val="28"/>
          <w:szCs w:val="28"/>
          <w:highlight w:val="none"/>
          <w:lang w:eastAsia="zh-CN"/>
        </w:rPr>
      </w:pPr>
      <w:r>
        <w:rPr>
          <w:rFonts w:hint="eastAsia" w:ascii="宋体" w:hAnsi="宋体" w:cs="宋体"/>
          <w:color w:val="000000"/>
          <w:kern w:val="0"/>
          <w:sz w:val="28"/>
          <w:szCs w:val="28"/>
          <w:highlight w:val="none"/>
          <w:lang w:eastAsia="zh-CN"/>
        </w:rPr>
        <w:t>（三）动用交易所的自有资产进行履约赔偿。</w:t>
      </w:r>
    </w:p>
    <w:p>
      <w:pPr>
        <w:widowControl/>
        <w:suppressAutoHyphens/>
        <w:bidi w:val="0"/>
        <w:spacing w:line="360" w:lineRule="auto"/>
        <w:ind w:firstLine="560" w:firstLineChars="200"/>
        <w:rPr>
          <w:rFonts w:hint="eastAsia" w:ascii="宋体" w:hAnsi="宋体" w:cs="宋体"/>
          <w:color w:val="000000"/>
          <w:kern w:val="0"/>
          <w:sz w:val="28"/>
          <w:szCs w:val="28"/>
          <w:highlight w:val="none"/>
          <w:lang w:eastAsia="zh-CN"/>
        </w:rPr>
      </w:pPr>
      <w:r>
        <w:rPr>
          <w:rFonts w:hint="eastAsia" w:ascii="宋体" w:hAnsi="宋体" w:cs="宋体"/>
          <w:color w:val="000000"/>
          <w:kern w:val="0"/>
          <w:sz w:val="28"/>
          <w:szCs w:val="28"/>
          <w:highlight w:val="none"/>
          <w:lang w:eastAsia="zh-CN"/>
        </w:rPr>
        <w:t>交易所采取上述措施履行合约相关义务和责任的，有权通过法律程序对会员追偿。</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八十二</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交易所实行风险准备金制度。风险准备金由交易所设立，用于维护期货市场正常运转提供财务担保和弥补交易所难以控制的风险带来的亏损。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八十三</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风险准备金的来源：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 xml:space="preserve">（一）交易所按手续费收入20% 的比例提取；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宋体" w:hAnsi="宋体" w:cs="宋体"/>
          <w:color w:val="000000"/>
          <w:kern w:val="0"/>
          <w:sz w:val="28"/>
          <w:szCs w:val="28"/>
          <w:highlight w:val="none"/>
        </w:rPr>
        <w:t xml:space="preserve">（二）符合国家财政政策规定的其他收入。 </w:t>
      </w:r>
    </w:p>
    <w:p>
      <w:pPr>
        <w:widowControl/>
        <w:suppressAutoHyphens/>
        <w:bidi w:val="0"/>
        <w:spacing w:line="360" w:lineRule="auto"/>
        <w:ind w:firstLine="528" w:firstLineChars="200"/>
        <w:rPr>
          <w:rFonts w:ascii="Arial" w:hAnsi="Arial" w:cs="Arial"/>
          <w:color w:val="000000"/>
          <w:kern w:val="0"/>
          <w:szCs w:val="21"/>
          <w:highlight w:val="none"/>
        </w:rPr>
      </w:pPr>
      <w:r>
        <w:rPr>
          <w:rFonts w:hint="eastAsia" w:ascii="宋体" w:hAnsi="宋体" w:cs="宋体"/>
          <w:color w:val="000000"/>
          <w:spacing w:val="-8"/>
          <w:kern w:val="0"/>
          <w:sz w:val="28"/>
          <w:szCs w:val="28"/>
          <w:highlight w:val="none"/>
        </w:rPr>
        <w:t xml:space="preserve">当风险准备金余额达到一定规模时，经中国证监会批准可不再提取。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八十四</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风险准备金必须单独核算，专户存储。 </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八十五</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风险准备金的动用必须经交易所理事会批准，并报告中国证监会。 </w:t>
      </w:r>
    </w:p>
    <w:p>
      <w:pPr>
        <w:suppressAutoHyphens/>
        <w:bidi w:val="0"/>
        <w:spacing w:line="360" w:lineRule="auto"/>
        <w:jc w:val="center"/>
        <w:outlineLvl w:val="1"/>
        <w:rPr>
          <w:rFonts w:ascii="Arial" w:hAnsi="Arial" w:cs="Arial"/>
          <w:color w:val="000000"/>
          <w:kern w:val="0"/>
          <w:sz w:val="32"/>
          <w:szCs w:val="32"/>
          <w:highlight w:val="none"/>
        </w:rPr>
      </w:pPr>
      <w:r>
        <w:rPr>
          <w:rFonts w:hint="eastAsia" w:ascii="黑体" w:hAnsi="宋体" w:eastAsia="黑体" w:cs="黑体"/>
          <w:bCs/>
          <w:color w:val="000000"/>
          <w:kern w:val="0"/>
          <w:sz w:val="32"/>
          <w:szCs w:val="32"/>
          <w:highlight w:val="none"/>
        </w:rPr>
        <w:t>第</w:t>
      </w:r>
      <w:r>
        <w:rPr>
          <w:rFonts w:hint="eastAsia" w:ascii="黑体" w:hAnsi="宋体" w:eastAsia="黑体" w:cs="黑体"/>
          <w:bCs/>
          <w:color w:val="000000"/>
          <w:kern w:val="0"/>
          <w:sz w:val="32"/>
          <w:szCs w:val="32"/>
          <w:highlight w:val="none"/>
          <w:lang w:eastAsia="zh-CN"/>
        </w:rPr>
        <w:t>九</w:t>
      </w:r>
      <w:r>
        <w:rPr>
          <w:rFonts w:hint="eastAsia" w:ascii="黑体" w:hAnsi="宋体" w:eastAsia="黑体" w:cs="黑体"/>
          <w:bCs/>
          <w:color w:val="000000"/>
          <w:kern w:val="0"/>
          <w:sz w:val="32"/>
          <w:szCs w:val="32"/>
          <w:highlight w:val="none"/>
        </w:rPr>
        <w:t>章  附 则</w:t>
      </w:r>
    </w:p>
    <w:p>
      <w:pPr>
        <w:widowControl/>
        <w:suppressAutoHyphens/>
        <w:bidi w:val="0"/>
        <w:spacing w:line="360" w:lineRule="auto"/>
        <w:ind w:firstLine="560" w:firstLineChars="200"/>
        <w:rPr>
          <w:rFonts w:ascii="宋体" w:hAnsi="宋体" w:cs="宋体"/>
          <w:color w:val="000000"/>
          <w:kern w:val="0"/>
          <w:sz w:val="28"/>
          <w:szCs w:val="28"/>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八十六</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违反本办法规定的，交易所按照《郑州商品交易所违规处理办法》有关规定处理。</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w:t>
      </w:r>
      <w:r>
        <w:rPr>
          <w:rFonts w:hint="eastAsia" w:ascii="黑体" w:hAnsi="宋体" w:eastAsia="黑体" w:cs="黑体"/>
          <w:color w:val="000000"/>
          <w:kern w:val="0"/>
          <w:sz w:val="28"/>
          <w:szCs w:val="28"/>
          <w:highlight w:val="none"/>
          <w:lang w:eastAsia="zh-CN"/>
        </w:rPr>
        <w:t>八十七</w:t>
      </w:r>
      <w:r>
        <w:rPr>
          <w:rFonts w:hint="eastAsia" w:ascii="黑体" w:hAnsi="宋体" w:eastAsia="黑体" w:cs="黑体"/>
          <w:color w:val="000000"/>
          <w:kern w:val="0"/>
          <w:sz w:val="28"/>
          <w:szCs w:val="28"/>
          <w:highlight w:val="none"/>
        </w:rPr>
        <w:t>条</w:t>
      </w:r>
      <w:r>
        <w:rPr>
          <w:rFonts w:hint="eastAsia" w:ascii="宋体" w:hAnsi="宋体" w:cs="宋体"/>
          <w:color w:val="000000"/>
          <w:kern w:val="0"/>
          <w:sz w:val="28"/>
          <w:szCs w:val="28"/>
          <w:highlight w:val="none"/>
        </w:rPr>
        <w:t xml:space="preserve">  本办法解释权属于郑州商品交易所。</w:t>
      </w:r>
    </w:p>
    <w:p>
      <w:pPr>
        <w:widowControl/>
        <w:suppressAutoHyphens/>
        <w:bidi w:val="0"/>
        <w:spacing w:line="360" w:lineRule="auto"/>
        <w:ind w:firstLine="560" w:firstLineChars="200"/>
        <w:rPr>
          <w:rFonts w:ascii="Arial" w:hAnsi="Arial" w:cs="Arial"/>
          <w:color w:val="000000"/>
          <w:kern w:val="0"/>
          <w:szCs w:val="21"/>
          <w:highlight w:val="none"/>
        </w:rPr>
      </w:pPr>
      <w:r>
        <w:rPr>
          <w:rFonts w:hint="eastAsia" w:ascii="黑体" w:hAnsi="宋体" w:eastAsia="黑体" w:cs="黑体"/>
          <w:color w:val="000000"/>
          <w:kern w:val="0"/>
          <w:sz w:val="28"/>
          <w:szCs w:val="28"/>
          <w:highlight w:val="none"/>
        </w:rPr>
        <w:t>第八十</w:t>
      </w:r>
      <w:r>
        <w:rPr>
          <w:rFonts w:hint="eastAsia" w:ascii="黑体" w:hAnsi="宋体" w:eastAsia="黑体" w:cs="黑体"/>
          <w:color w:val="000000"/>
          <w:kern w:val="0"/>
          <w:sz w:val="28"/>
          <w:szCs w:val="28"/>
          <w:highlight w:val="none"/>
          <w:lang w:eastAsia="zh-CN"/>
        </w:rPr>
        <w:t>八</w:t>
      </w:r>
      <w:r>
        <w:rPr>
          <w:rFonts w:hint="eastAsia" w:ascii="黑体" w:hAnsi="宋体" w:eastAsia="黑体" w:cs="黑体"/>
          <w:color w:val="000000"/>
          <w:kern w:val="0"/>
          <w:sz w:val="28"/>
          <w:szCs w:val="28"/>
          <w:highlight w:val="none"/>
        </w:rPr>
        <w:t>条</w:t>
      </w:r>
      <w:r>
        <w:rPr>
          <w:rFonts w:hint="eastAsia" w:ascii="黑体" w:hAnsi="宋体" w:eastAsia="黑体" w:cs="黑体"/>
          <w:color w:val="000000"/>
          <w:kern w:val="0"/>
          <w:sz w:val="28"/>
          <w:szCs w:val="28"/>
          <w:highlight w:val="none"/>
          <w:lang w:val="en-US" w:eastAsia="zh-CN"/>
        </w:rPr>
        <w:t xml:space="preserve">  </w:t>
      </w:r>
      <w:r>
        <w:rPr>
          <w:rFonts w:hint="eastAsia" w:ascii="宋体" w:hAnsi="宋体" w:cs="宋体"/>
          <w:kern w:val="0"/>
          <w:sz w:val="28"/>
          <w:szCs w:val="28"/>
          <w:highlight w:val="none"/>
        </w:rPr>
        <w:t>本办法自</w:t>
      </w:r>
      <w:r>
        <w:rPr>
          <w:rFonts w:ascii="宋体" w:hAnsi="宋体" w:cs="宋体"/>
          <w:kern w:val="0"/>
          <w:sz w:val="28"/>
          <w:szCs w:val="28"/>
          <w:highlight w:val="none"/>
        </w:rPr>
        <w:t>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年</w:t>
      </w:r>
      <w:r>
        <w:rPr>
          <w:rFonts w:hint="default" w:ascii="宋体" w:hAnsi="宋体" w:cs="宋体"/>
          <w:kern w:val="0"/>
          <w:sz w:val="28"/>
          <w:szCs w:val="28"/>
          <w:highlight w:val="none"/>
          <w:lang w:val="en-US" w:eastAsia="zh-CN"/>
        </w:rPr>
        <w:t>5</w:t>
      </w:r>
      <w:r>
        <w:rPr>
          <w:rFonts w:hint="eastAsia" w:ascii="宋体" w:hAnsi="宋体" w:cs="宋体"/>
          <w:kern w:val="0"/>
          <w:sz w:val="28"/>
          <w:szCs w:val="28"/>
          <w:highlight w:val="none"/>
        </w:rPr>
        <w:t>月</w:t>
      </w:r>
      <w:r>
        <w:rPr>
          <w:rFonts w:hint="default" w:ascii="宋体" w:hAnsi="宋体" w:cs="宋体"/>
          <w:kern w:val="0"/>
          <w:sz w:val="28"/>
          <w:szCs w:val="28"/>
          <w:highlight w:val="none"/>
          <w:lang w:val="en-US" w:eastAsia="zh-CN"/>
        </w:rPr>
        <w:t>7</w:t>
      </w:r>
      <w:r>
        <w:rPr>
          <w:rFonts w:hint="eastAsia" w:ascii="宋体" w:hAnsi="宋体" w:cs="宋体"/>
          <w:kern w:val="0"/>
          <w:sz w:val="28"/>
          <w:szCs w:val="28"/>
          <w:highlight w:val="none"/>
        </w:rPr>
        <w:t>日施行。</w:t>
      </w:r>
    </w:p>
    <w:p>
      <w:pPr>
        <w:keepNext w:val="0"/>
        <w:keepLines w:val="0"/>
        <w:pageBreakBefore w:val="0"/>
        <w:numPr>
          <w:ilvl w:val="0"/>
          <w:numId w:val="0"/>
        </w:numPr>
        <w:kinsoku/>
        <w:wordWrap/>
        <w:overflowPunct/>
        <w:topLinePunct w:val="0"/>
        <w:autoSpaceDE/>
        <w:autoSpaceDN/>
        <w:bidi w:val="0"/>
        <w:snapToGrid/>
        <w:textAlignment w:val="auto"/>
        <w:rPr>
          <w:rFonts w:hint="default" w:ascii="仿宋" w:hAnsi="仿宋" w:eastAsia="仿宋" w:cs="仿宋"/>
          <w:sz w:val="32"/>
          <w:szCs w:val="32"/>
          <w:highlight w:val="none"/>
          <w:lang w:val="en-US" w:eastAsia="zh-CN"/>
        </w:rPr>
      </w:pPr>
      <w:r>
        <w:rPr>
          <w:rFonts w:hint="default" w:ascii="黑体" w:hAnsi="黑体" w:eastAsia="黑体" w:cs="黑体"/>
          <w:sz w:val="32"/>
          <w:szCs w:val="32"/>
          <w:highlight w:val="none"/>
          <w:lang w:val="en-US" w:eastAsia="zh-CN"/>
        </w:rPr>
        <w:br w:type="page"/>
      </w:r>
      <w:r>
        <w:rPr>
          <w:rFonts w:hint="eastAsia" w:ascii="黑体" w:hAnsi="黑体" w:eastAsia="黑体" w:cs="黑体"/>
          <w:sz w:val="32"/>
          <w:szCs w:val="32"/>
          <w:highlight w:val="none"/>
          <w:lang w:val="en-US" w:eastAsia="zh-CN"/>
        </w:rPr>
        <w:t>附件7</w:t>
      </w:r>
    </w:p>
    <w:p>
      <w:pPr>
        <w:keepNext w:val="0"/>
        <w:keepLines w:val="0"/>
        <w:pageBreakBefore w:val="0"/>
        <w:numPr>
          <w:ilvl w:val="0"/>
          <w:numId w:val="0"/>
        </w:numPr>
        <w:kinsoku/>
        <w:wordWrap/>
        <w:overflowPunct/>
        <w:topLinePunct w:val="0"/>
        <w:autoSpaceDE/>
        <w:autoSpaceDN/>
        <w:bidi w:val="0"/>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郑州商品交易所指定存管银行管理办法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sz w:val="32"/>
          <w:szCs w:val="32"/>
          <w:highlight w:val="none"/>
          <w:lang w:val="en-US" w:eastAsia="zh-CN"/>
        </w:rPr>
        <w:t>对《郑州商品交易所指定存管银行管理办法》作如下修订：</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四条第二款修订为：“境内客户保证金存管业务是指从事与会员、境内客户相关的保证金存管业务；境外客户保证金存管业务是指从事与境外特殊参与者、境外中介机构、境外客户相关的保证金存管业务。”</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ascii="仿宋" w:hAnsi="仿宋" w:eastAsia="仿宋"/>
          <w:sz w:val="24"/>
          <w:highlight w:val="none"/>
        </w:rPr>
      </w:pPr>
      <w:r>
        <w:rPr>
          <w:rFonts w:hint="eastAsia" w:ascii="仿宋" w:hAnsi="仿宋" w:eastAsia="仿宋" w:cs="仿宋"/>
          <w:sz w:val="32"/>
          <w:szCs w:val="32"/>
          <w:highlight w:val="none"/>
          <w:lang w:val="en-US" w:eastAsia="zh-CN"/>
        </w:rPr>
        <w:t>将第二章第九条修订为：“……（二）与期货公司或者境外特殊参与者等期货市场参与者进行全国集中式银期转账系统测试的报告；……”</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将第三章第十二条修订为：“存管银行的权利：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“（一）开设交易所专用结算账户、会员保证金专用账户、境外特殊参与者、境外中介机构和客户期货结算账户及其他与结算有关的账户；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“（二）吸收交易所和会员、境外特殊参与者、境外中介机构和客户等主体的存款；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“（三）了解会员、境外特殊参与者、境外中介机构和客户等主体在交易所的资信情况。”</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将第三章第十三条修订为：“存管银行的义务：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“（一）向交易所提供会员保证金专用账户、境外特殊经纪参与者和境外中介机构期货结算账户的资金情况；……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“（七）保守交易所、会员、境外特殊参与者、境外中介机构和客户的商业秘密；……”</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十七条第二款修订为：“从事境外客户保证金存管业务的指定存管银行，应当按照中国人民银行和国家外汇管理局有关规定，为交易所、会员、境外特殊参与者、境外中介机构、境外客户开立期货业务相关的银行账户。”</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将第四章第十九条修订为：“存管银行应当为交易所、会员、境外特殊参与者、境外中介机构和客户提供安全、准确、迅捷的期货保证金存管、划转服务。”</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将第四章第二十九条修订为：“存管银行不得协助会员在期货保证金账户上设定担保；不得挪用客户保证金偿还期货公司会员、境外特殊参与者、境外中介机构及交易所债务。”</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七章第四十四条修订为：“存管银行实施系统升级改造或者实施其他可能影响期货保证金存管业务的措施前，应当提前5个工作日书面通知交易所、监控中心和相关会员、境外特殊参与者，做好信息披露和系统测试工作，并制定针对性应急预案。”</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将第八章第四十八条修订为：“存管银行出现下列情形之一,责令改正，并根据情节轻重，采取警告、通报批评、暂停新增会员的存管业务等措施：……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“（二）发生影响或可能影响期货保证金存管业务的情况时，存管银行未采取有效措施，可能危及期货市场稳健运行，损害交易所会员、境外特殊参与者、境外中介机构、客户合法权益的；……”</w:t>
      </w:r>
    </w:p>
    <w:p>
      <w:pPr>
        <w:spacing w:line="276" w:lineRule="auto"/>
        <w:jc w:val="center"/>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《郑州商品交易所指定存管银行管理办法》</w:t>
      </w:r>
    </w:p>
    <w:p>
      <w:pPr>
        <w:spacing w:line="276" w:lineRule="auto"/>
        <w:jc w:val="center"/>
        <w:rPr>
          <w:rFonts w:hint="eastAsia" w:ascii="宋体" w:hAnsi="宋体" w:eastAsia="宋体"/>
          <w:b/>
          <w:sz w:val="40"/>
          <w:szCs w:val="40"/>
          <w:highlight w:val="none"/>
          <w:lang w:val="en-US" w:eastAsia="zh-CN"/>
        </w:rPr>
      </w:pPr>
      <w:r>
        <w:rPr>
          <w:rFonts w:hint="eastAsia" w:ascii="方正小标宋简体" w:hAnsi="方正小标宋简体" w:eastAsia="方正小标宋简体" w:cs="方正小标宋简体"/>
          <w:b w:val="0"/>
          <w:bCs/>
          <w:sz w:val="40"/>
          <w:szCs w:val="40"/>
          <w:highlight w:val="none"/>
        </w:rPr>
        <w:t>修订对照表</w:t>
      </w:r>
    </w:p>
    <w:p>
      <w:pPr>
        <w:widowControl/>
        <w:spacing w:line="276" w:lineRule="auto"/>
        <w:jc w:val="center"/>
        <w:outlineLvl w:val="0"/>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19"/>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lang w:eastAsia="zh-CN"/>
              </w:rPr>
              <w:t>修订前</w:t>
            </w:r>
            <w:r>
              <w:rPr>
                <w:rFonts w:hint="eastAsia" w:ascii="仿宋" w:hAnsi="仿宋" w:eastAsia="仿宋"/>
                <w:b/>
                <w:bCs/>
                <w:sz w:val="24"/>
                <w:highlight w:val="none"/>
              </w:rPr>
              <w:t>条文</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rPr>
              <w:t>修订</w:t>
            </w:r>
            <w:r>
              <w:rPr>
                <w:rFonts w:hint="eastAsia" w:ascii="仿宋" w:hAnsi="仿宋" w:eastAsia="仿宋"/>
                <w:b/>
                <w:bCs/>
                <w:sz w:val="24"/>
                <w:highlight w:val="none"/>
                <w:lang w:eastAsia="zh-CN"/>
              </w:rPr>
              <w:t>后</w:t>
            </w:r>
            <w:r>
              <w:rPr>
                <w:rFonts w:hint="eastAsia" w:ascii="仿宋" w:hAnsi="仿宋" w:eastAsia="仿宋"/>
                <w:b/>
                <w:bCs/>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sz w:val="24"/>
                <w:highlight w:val="none"/>
              </w:rPr>
              <w:t>第二章 资格申请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hint="eastAsia" w:ascii="仿宋" w:hAnsi="仿宋" w:eastAsia="仿宋"/>
                <w:sz w:val="24"/>
                <w:highlight w:val="none"/>
              </w:rPr>
            </w:pPr>
            <w:r>
              <w:rPr>
                <w:rFonts w:hint="eastAsia" w:ascii="仿宋" w:hAnsi="仿宋" w:eastAsia="仿宋"/>
                <w:b/>
                <w:sz w:val="24"/>
                <w:highlight w:val="none"/>
              </w:rPr>
              <w:t>第四条</w:t>
            </w:r>
            <w:r>
              <w:rPr>
                <w:rFonts w:hint="eastAsia" w:ascii="仿宋" w:hAnsi="仿宋" w:eastAsia="仿宋"/>
                <w:sz w:val="24"/>
                <w:highlight w:val="none"/>
              </w:rPr>
              <w:t xml:space="preserve"> ……境内客户保证金存管业务是指从事与会员、境内客户相关的保证金存管业务；境外客户保证金存管业务是指从事与境外经纪机构、境外客户相关的保证金存管业务。</w:t>
            </w:r>
          </w:p>
          <w:p>
            <w:pPr>
              <w:ind w:firstLine="480" w:firstLineChars="200"/>
              <w:rPr>
                <w:rFonts w:hint="eastAsia" w:ascii="仿宋" w:hAnsi="仿宋" w:eastAsia="仿宋"/>
                <w:sz w:val="24"/>
                <w:highlight w:val="none"/>
              </w:rPr>
            </w:pPr>
            <w:r>
              <w:rPr>
                <w:rFonts w:hint="eastAsia" w:ascii="仿宋" w:hAnsi="仿宋" w:eastAsia="仿宋"/>
                <w:sz w:val="24"/>
                <w:highlight w:val="none"/>
              </w:rPr>
              <w:t>……</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hint="eastAsia" w:ascii="仿宋" w:hAnsi="仿宋" w:eastAsia="仿宋"/>
                <w:sz w:val="24"/>
                <w:highlight w:val="none"/>
              </w:rPr>
            </w:pPr>
            <w:r>
              <w:rPr>
                <w:rFonts w:hint="eastAsia" w:ascii="仿宋" w:hAnsi="仿宋" w:eastAsia="仿宋"/>
                <w:b/>
                <w:sz w:val="24"/>
                <w:highlight w:val="none"/>
              </w:rPr>
              <w:t>第四条</w:t>
            </w:r>
            <w:r>
              <w:rPr>
                <w:rFonts w:hint="eastAsia" w:ascii="仿宋" w:hAnsi="仿宋" w:eastAsia="仿宋"/>
                <w:sz w:val="24"/>
                <w:highlight w:val="none"/>
              </w:rPr>
              <w:t xml:space="preserve"> ……境内客户保证金存管业务是指从事与会员、境内客户相关的保证金存管业务；境外客户保证金存管业务是指从事与</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机构、境外客户相关的保证金存管业务。</w:t>
            </w:r>
          </w:p>
          <w:p>
            <w:pPr>
              <w:ind w:firstLine="480" w:firstLineChars="200"/>
              <w:rPr>
                <w:rFonts w:hint="eastAsia" w:ascii="仿宋" w:hAnsi="仿宋" w:eastAsia="仿宋"/>
                <w:sz w:val="24"/>
                <w:highlight w:val="none"/>
              </w:rPr>
            </w:pPr>
            <w:r>
              <w:rPr>
                <w:rFonts w:hint="eastAsia"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……（二）与期货公司等期货市场参与者进行全国集中式银期转账系统测试的报告；</w:t>
            </w:r>
          </w:p>
          <w:p>
            <w:pPr>
              <w:ind w:firstLine="480" w:firstLineChars="200"/>
              <w:rPr>
                <w:rFonts w:ascii="仿宋" w:hAnsi="仿宋" w:eastAsia="仿宋"/>
                <w:sz w:val="24"/>
                <w:highlight w:val="none"/>
              </w:rPr>
            </w:pPr>
            <w:r>
              <w:rPr>
                <w:rFonts w:hint="eastAsia" w:ascii="仿宋" w:hAnsi="仿宋" w:eastAsia="仿宋"/>
                <w:sz w:val="24"/>
                <w:highlight w:val="none"/>
              </w:rPr>
              <w:t>……</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……（二）与期货公司</w:t>
            </w:r>
            <w:r>
              <w:rPr>
                <w:rFonts w:hint="eastAsia" w:ascii="仿宋" w:hAnsi="仿宋" w:eastAsia="仿宋"/>
                <w:b/>
                <w:sz w:val="24"/>
                <w:highlight w:val="none"/>
                <w:u w:val="single"/>
              </w:rPr>
              <w:t>或者境外特殊参与者</w:t>
            </w:r>
            <w:r>
              <w:rPr>
                <w:rFonts w:hint="eastAsia" w:ascii="仿宋" w:hAnsi="仿宋" w:eastAsia="仿宋"/>
                <w:sz w:val="24"/>
                <w:highlight w:val="none"/>
              </w:rPr>
              <w:t>等期货市场参与者进行全国集中式银期转账系统测试的报告；</w:t>
            </w:r>
          </w:p>
          <w:p>
            <w:pPr>
              <w:ind w:firstLine="480" w:firstLineChars="200"/>
              <w:rPr>
                <w:rFonts w:ascii="仿宋" w:hAnsi="仿宋" w:eastAsia="仿宋"/>
                <w:sz w:val="24"/>
                <w:highlight w:val="none"/>
              </w:rPr>
            </w:pPr>
            <w:r>
              <w:rPr>
                <w:rFonts w:hint="eastAsia"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sz w:val="24"/>
                <w:highlight w:val="none"/>
              </w:rPr>
              <w:t>第三章 权利与义务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第十二条</w:t>
            </w:r>
            <w:r>
              <w:rPr>
                <w:rFonts w:hint="eastAsia" w:ascii="仿宋" w:hAnsi="仿宋" w:eastAsia="仿宋"/>
                <w:sz w:val="24"/>
                <w:highlight w:val="none"/>
              </w:rPr>
              <w:t xml:space="preserve"> 存管银行的权利：</w:t>
            </w:r>
          </w:p>
          <w:p>
            <w:pPr>
              <w:ind w:firstLine="480" w:firstLineChars="200"/>
              <w:rPr>
                <w:rFonts w:ascii="仿宋" w:hAnsi="仿宋" w:eastAsia="仿宋"/>
                <w:sz w:val="24"/>
                <w:highlight w:val="none"/>
              </w:rPr>
            </w:pPr>
            <w:r>
              <w:rPr>
                <w:rFonts w:hint="eastAsia" w:ascii="仿宋" w:hAnsi="仿宋" w:eastAsia="仿宋"/>
                <w:sz w:val="24"/>
                <w:highlight w:val="none"/>
              </w:rPr>
              <w:t>（一）开设交易所专用结算账户、会员保证金专用账户、境外经纪机构和客户期货结算账户及其他与结算有关的账户；</w:t>
            </w:r>
          </w:p>
          <w:p>
            <w:pPr>
              <w:ind w:firstLine="480" w:firstLineChars="200"/>
              <w:rPr>
                <w:rFonts w:ascii="仿宋" w:hAnsi="仿宋" w:eastAsia="仿宋"/>
                <w:sz w:val="24"/>
                <w:highlight w:val="none"/>
              </w:rPr>
            </w:pPr>
            <w:r>
              <w:rPr>
                <w:rFonts w:hint="eastAsia" w:ascii="仿宋" w:hAnsi="仿宋" w:eastAsia="仿宋"/>
                <w:sz w:val="24"/>
                <w:highlight w:val="none"/>
              </w:rPr>
              <w:t>（二）吸收交易所和会员、境外经纪机构和客户等主体的存款；</w:t>
            </w:r>
          </w:p>
          <w:p>
            <w:pPr>
              <w:ind w:firstLine="480" w:firstLineChars="200"/>
              <w:rPr>
                <w:rFonts w:ascii="仿宋" w:hAnsi="仿宋" w:eastAsia="仿宋"/>
                <w:sz w:val="24"/>
                <w:highlight w:val="none"/>
              </w:rPr>
            </w:pPr>
            <w:r>
              <w:rPr>
                <w:rFonts w:hint="eastAsia" w:ascii="仿宋" w:hAnsi="仿宋" w:eastAsia="仿宋"/>
                <w:sz w:val="24"/>
                <w:highlight w:val="none"/>
              </w:rPr>
              <w:t>（三）了解会员等主体在交易所的资信情况。</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第十二条</w:t>
            </w:r>
            <w:r>
              <w:rPr>
                <w:rFonts w:hint="eastAsia" w:ascii="仿宋" w:hAnsi="仿宋" w:eastAsia="仿宋"/>
                <w:sz w:val="24"/>
                <w:highlight w:val="none"/>
              </w:rPr>
              <w:t xml:space="preserve"> 存管银行的权利：</w:t>
            </w:r>
          </w:p>
          <w:p>
            <w:pPr>
              <w:ind w:firstLine="480" w:firstLineChars="200"/>
              <w:rPr>
                <w:rFonts w:ascii="仿宋" w:hAnsi="仿宋" w:eastAsia="仿宋"/>
                <w:sz w:val="24"/>
                <w:highlight w:val="none"/>
              </w:rPr>
            </w:pPr>
            <w:r>
              <w:rPr>
                <w:rFonts w:hint="eastAsia" w:ascii="仿宋" w:hAnsi="仿宋" w:eastAsia="仿宋"/>
                <w:sz w:val="24"/>
                <w:highlight w:val="none"/>
              </w:rPr>
              <w:t>（一）开设交易所专用结算账户、会员保证金专用账户、</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机构和客户期货结算账户及其他与结算有关的账户；</w:t>
            </w:r>
          </w:p>
          <w:p>
            <w:pPr>
              <w:ind w:firstLine="480" w:firstLineChars="200"/>
              <w:rPr>
                <w:rFonts w:ascii="仿宋" w:hAnsi="仿宋" w:eastAsia="仿宋"/>
                <w:sz w:val="24"/>
                <w:highlight w:val="none"/>
              </w:rPr>
            </w:pPr>
            <w:r>
              <w:rPr>
                <w:rFonts w:hint="eastAsia" w:ascii="仿宋" w:hAnsi="仿宋" w:eastAsia="仿宋"/>
                <w:sz w:val="24"/>
                <w:highlight w:val="none"/>
              </w:rPr>
              <w:t>（二）吸收交易所和会员、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机构和客户等主体的存款；</w:t>
            </w:r>
          </w:p>
          <w:p>
            <w:pPr>
              <w:ind w:firstLine="480" w:firstLineChars="200"/>
              <w:rPr>
                <w:rFonts w:ascii="仿宋" w:hAnsi="仿宋" w:eastAsia="仿宋"/>
                <w:sz w:val="24"/>
                <w:highlight w:val="none"/>
              </w:rPr>
            </w:pPr>
            <w:r>
              <w:rPr>
                <w:rFonts w:hint="eastAsia" w:ascii="仿宋" w:hAnsi="仿宋" w:eastAsia="仿宋"/>
                <w:sz w:val="24"/>
                <w:highlight w:val="none"/>
              </w:rPr>
              <w:t>（三）了解会员</w:t>
            </w:r>
            <w:r>
              <w:rPr>
                <w:rFonts w:hint="eastAsia" w:ascii="仿宋" w:hAnsi="仿宋" w:eastAsia="仿宋"/>
                <w:b/>
                <w:sz w:val="24"/>
                <w:highlight w:val="none"/>
                <w:u w:val="single"/>
              </w:rPr>
              <w:t>、境外特殊参与者、境外中介机构和客户</w:t>
            </w:r>
            <w:r>
              <w:rPr>
                <w:rFonts w:hint="eastAsia" w:ascii="仿宋" w:hAnsi="仿宋" w:eastAsia="仿宋"/>
                <w:sz w:val="24"/>
                <w:highlight w:val="none"/>
              </w:rPr>
              <w:t>等主体在交易所的资信情况。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第十三条</w:t>
            </w:r>
            <w:r>
              <w:rPr>
                <w:rFonts w:ascii="Calibri" w:hAnsi="Calibri" w:eastAsia="仿宋" w:cs="Calibri"/>
                <w:sz w:val="24"/>
                <w:highlight w:val="none"/>
              </w:rPr>
              <w:t xml:space="preserve"> </w:t>
            </w:r>
            <w:r>
              <w:rPr>
                <w:rFonts w:hint="eastAsia" w:ascii="仿宋" w:hAnsi="仿宋" w:eastAsia="仿宋"/>
                <w:sz w:val="24"/>
                <w:highlight w:val="none"/>
              </w:rPr>
              <w:t>存管银行的义务：</w:t>
            </w:r>
          </w:p>
          <w:p>
            <w:pPr>
              <w:ind w:firstLine="480" w:firstLineChars="200"/>
              <w:rPr>
                <w:rFonts w:ascii="仿宋" w:hAnsi="仿宋" w:eastAsia="仿宋"/>
                <w:sz w:val="24"/>
                <w:highlight w:val="none"/>
              </w:rPr>
            </w:pPr>
            <w:r>
              <w:rPr>
                <w:rFonts w:hint="eastAsia" w:ascii="仿宋" w:hAnsi="仿宋" w:eastAsia="仿宋"/>
                <w:sz w:val="24"/>
                <w:highlight w:val="none"/>
              </w:rPr>
              <w:t>（一）向交易所提供会员保证金专用账户、境外经纪机构期货结算账户的资金情况；</w:t>
            </w:r>
          </w:p>
          <w:p>
            <w:pPr>
              <w:ind w:firstLine="480" w:firstLineChars="200"/>
              <w:rPr>
                <w:rFonts w:ascii="仿宋" w:hAnsi="仿宋" w:eastAsia="仿宋"/>
                <w:sz w:val="24"/>
                <w:highlight w:val="none"/>
              </w:rPr>
            </w:pPr>
            <w:r>
              <w:rPr>
                <w:rFonts w:hint="eastAsia" w:ascii="仿宋" w:hAnsi="仿宋" w:eastAsia="仿宋"/>
                <w:sz w:val="24"/>
                <w:highlight w:val="none"/>
              </w:rPr>
              <w:t>……</w:t>
            </w:r>
          </w:p>
          <w:p>
            <w:pPr>
              <w:ind w:firstLine="480" w:firstLineChars="200"/>
              <w:rPr>
                <w:rFonts w:ascii="仿宋" w:hAnsi="仿宋" w:eastAsia="仿宋"/>
                <w:sz w:val="24"/>
                <w:highlight w:val="none"/>
              </w:rPr>
            </w:pPr>
            <w:r>
              <w:rPr>
                <w:rFonts w:hint="eastAsia" w:ascii="仿宋" w:hAnsi="仿宋" w:eastAsia="仿宋"/>
                <w:sz w:val="24"/>
                <w:highlight w:val="none"/>
              </w:rPr>
              <w:t>（七）保守交易所、会员、境外经纪机构和客户的商业秘密；</w:t>
            </w:r>
          </w:p>
          <w:p>
            <w:pPr>
              <w:ind w:firstLine="480" w:firstLineChars="200"/>
              <w:rPr>
                <w:rFonts w:ascii="仿宋" w:hAnsi="仿宋" w:eastAsia="仿宋"/>
                <w:sz w:val="24"/>
                <w:highlight w:val="none"/>
              </w:rPr>
            </w:pPr>
            <w:r>
              <w:rPr>
                <w:rFonts w:hint="eastAsia" w:ascii="仿宋" w:hAnsi="仿宋" w:eastAsia="仿宋"/>
                <w:sz w:val="24"/>
                <w:highlight w:val="none"/>
              </w:rPr>
              <w:t>……</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第十三条</w:t>
            </w:r>
            <w:r>
              <w:rPr>
                <w:rFonts w:ascii="Calibri" w:hAnsi="Calibri" w:eastAsia="仿宋" w:cs="Calibri"/>
                <w:sz w:val="24"/>
                <w:highlight w:val="none"/>
              </w:rPr>
              <w:t xml:space="preserve"> </w:t>
            </w:r>
            <w:r>
              <w:rPr>
                <w:rFonts w:hint="eastAsia" w:ascii="仿宋" w:hAnsi="仿宋" w:eastAsia="仿宋"/>
                <w:sz w:val="24"/>
                <w:highlight w:val="none"/>
              </w:rPr>
              <w:t>存管银行的义务：</w:t>
            </w:r>
          </w:p>
          <w:p>
            <w:pPr>
              <w:ind w:firstLine="480" w:firstLineChars="200"/>
              <w:rPr>
                <w:rFonts w:ascii="仿宋" w:hAnsi="仿宋" w:eastAsia="仿宋"/>
                <w:sz w:val="24"/>
                <w:highlight w:val="none"/>
              </w:rPr>
            </w:pPr>
            <w:r>
              <w:rPr>
                <w:rFonts w:hint="eastAsia" w:ascii="仿宋" w:hAnsi="仿宋" w:eastAsia="仿宋"/>
                <w:sz w:val="24"/>
                <w:highlight w:val="none"/>
              </w:rPr>
              <w:t>（一）向交易所提供会员保证金专用账户、</w:t>
            </w:r>
            <w:r>
              <w:rPr>
                <w:rFonts w:hint="eastAsia" w:ascii="仿宋" w:hAnsi="仿宋" w:eastAsia="仿宋"/>
                <w:b/>
                <w:sz w:val="24"/>
                <w:highlight w:val="none"/>
                <w:u w:val="single"/>
              </w:rPr>
              <w:t>境外特殊经纪参与者和</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机构期货结算账户的资金情况；</w:t>
            </w:r>
          </w:p>
          <w:p>
            <w:pPr>
              <w:ind w:firstLine="480" w:firstLineChars="200"/>
              <w:rPr>
                <w:rFonts w:ascii="仿宋" w:hAnsi="仿宋" w:eastAsia="仿宋"/>
                <w:sz w:val="24"/>
                <w:highlight w:val="none"/>
              </w:rPr>
            </w:pPr>
            <w:r>
              <w:rPr>
                <w:rFonts w:hint="eastAsia" w:ascii="仿宋" w:hAnsi="仿宋" w:eastAsia="仿宋"/>
                <w:sz w:val="24"/>
                <w:highlight w:val="none"/>
              </w:rPr>
              <w:t>……</w:t>
            </w:r>
          </w:p>
          <w:p>
            <w:pPr>
              <w:ind w:firstLine="480" w:firstLineChars="200"/>
              <w:rPr>
                <w:rFonts w:ascii="仿宋" w:hAnsi="仿宋" w:eastAsia="仿宋"/>
                <w:sz w:val="24"/>
                <w:highlight w:val="none"/>
              </w:rPr>
            </w:pPr>
            <w:r>
              <w:rPr>
                <w:rFonts w:hint="eastAsia" w:ascii="仿宋" w:hAnsi="仿宋" w:eastAsia="仿宋"/>
                <w:sz w:val="24"/>
                <w:highlight w:val="none"/>
              </w:rPr>
              <w:t>（七）保守交易所、会员、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机构和客户的商业秘密；</w:t>
            </w:r>
          </w:p>
          <w:p>
            <w:pPr>
              <w:ind w:firstLine="480" w:firstLineChars="200"/>
              <w:rPr>
                <w:rFonts w:ascii="仿宋" w:hAnsi="仿宋" w:eastAsia="仿宋"/>
                <w:sz w:val="24"/>
                <w:highlight w:val="none"/>
              </w:rPr>
            </w:pPr>
            <w:r>
              <w:rPr>
                <w:rFonts w:hint="eastAsia"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sz w:val="24"/>
                <w:highlight w:val="none"/>
              </w:rPr>
              <w:t>第四章 业务要求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第十七条</w:t>
            </w:r>
            <w:r>
              <w:rPr>
                <w:rFonts w:hint="eastAsia" w:ascii="仿宋" w:hAnsi="仿宋" w:eastAsia="仿宋"/>
                <w:sz w:val="24"/>
                <w:highlight w:val="none"/>
              </w:rPr>
              <w:t xml:space="preserve"> ……从事境外客户保证金存管业务的指定存管银行，应当按照中国人民银行和国家外汇管理局有关规定，为交易所、会员、境外特殊参与者、境外经纪机构、境外客户开立期货业务相关的银行账户。</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第十七条</w:t>
            </w:r>
            <w:r>
              <w:rPr>
                <w:rFonts w:hint="eastAsia" w:ascii="仿宋" w:hAnsi="仿宋" w:eastAsia="仿宋"/>
                <w:sz w:val="24"/>
                <w:highlight w:val="none"/>
              </w:rPr>
              <w:t xml:space="preserve"> ……从事境外客户保证金存管业务的指定存管银行，应当按照中国人民银行和国家外汇管理局有关规定，为交易所、会员、境外特殊参与者、境外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机构、境外客户开立期货业务相关的银行账户。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第十九条</w:t>
            </w:r>
            <w:r>
              <w:rPr>
                <w:rFonts w:hint="eastAsia" w:ascii="仿宋" w:hAnsi="仿宋" w:eastAsia="仿宋"/>
                <w:sz w:val="24"/>
                <w:highlight w:val="none"/>
              </w:rPr>
              <w:t xml:space="preserve"> 存管银行应当为交易所、会员、客户、境外经纪机构提供安全、准确、迅捷的期货保证金存管、划转服务。</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第十九条</w:t>
            </w:r>
            <w:r>
              <w:rPr>
                <w:rFonts w:hint="eastAsia" w:ascii="仿宋" w:hAnsi="仿宋" w:eastAsia="仿宋"/>
                <w:sz w:val="24"/>
                <w:highlight w:val="none"/>
              </w:rPr>
              <w:t xml:space="preserve"> 存管银行应当为交易所、会员、</w:t>
            </w:r>
            <w:r>
              <w:rPr>
                <w:rFonts w:hint="eastAsia" w:ascii="仿宋" w:hAnsi="仿宋" w:eastAsia="仿宋"/>
                <w:b/>
                <w:sz w:val="24"/>
                <w:highlight w:val="none"/>
                <w:u w:val="single"/>
              </w:rPr>
              <w:t>境外特殊参与者、境外中介机构和</w:t>
            </w:r>
            <w:r>
              <w:rPr>
                <w:rFonts w:hint="eastAsia" w:ascii="仿宋" w:hAnsi="仿宋" w:eastAsia="仿宋"/>
                <w:sz w:val="24"/>
                <w:highlight w:val="none"/>
              </w:rPr>
              <w:t>客户</w:t>
            </w:r>
            <w:r>
              <w:rPr>
                <w:rFonts w:hint="eastAsia" w:ascii="仿宋" w:hAnsi="仿宋" w:eastAsia="仿宋"/>
                <w:dstrike/>
                <w:sz w:val="24"/>
                <w:highlight w:val="none"/>
              </w:rPr>
              <w:t>、境外经纪机构</w:t>
            </w:r>
            <w:r>
              <w:rPr>
                <w:rFonts w:hint="eastAsia" w:ascii="仿宋" w:hAnsi="仿宋" w:eastAsia="仿宋"/>
                <w:sz w:val="24"/>
                <w:highlight w:val="none"/>
              </w:rPr>
              <w:t>提供安全、准确、迅捷的期货保证金存管、划转服务。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第二十九条</w:t>
            </w:r>
            <w:r>
              <w:rPr>
                <w:rFonts w:hint="eastAsia" w:ascii="仿宋" w:hAnsi="仿宋" w:eastAsia="仿宋"/>
                <w:sz w:val="24"/>
                <w:highlight w:val="none"/>
              </w:rPr>
              <w:t xml:space="preserve"> 存管银行不得协助会员在期货保证金账户上设定担保；不得挪用客户保证金偿还期货公司会员、境外经纪机构及交易所债务。</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第二十九条</w:t>
            </w:r>
            <w:r>
              <w:rPr>
                <w:rFonts w:hint="eastAsia" w:ascii="仿宋" w:hAnsi="仿宋" w:eastAsia="仿宋"/>
                <w:sz w:val="24"/>
                <w:highlight w:val="none"/>
              </w:rPr>
              <w:t xml:space="preserve"> 存管银行不得协助会员在期货保证金账户上设定担保；不得挪用客户保证金偿还期货公司会员、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机构及交易所债务。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sz w:val="24"/>
                <w:highlight w:val="none"/>
              </w:rPr>
              <w:t>第七章 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第四十四条</w:t>
            </w:r>
            <w:r>
              <w:rPr>
                <w:rFonts w:hint="eastAsia" w:ascii="仿宋" w:hAnsi="仿宋" w:eastAsia="仿宋"/>
                <w:sz w:val="24"/>
                <w:highlight w:val="none"/>
              </w:rPr>
              <w:t xml:space="preserve"> 存管银行实施系统升级改造或者实施其他可能影响期货保证金存管业务的措施前，应当提前5个工作日书面通知交易所、监控中心和相关期货公司，做好信息披露和系统测试工作，并制定针对性应急预案。</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第四十四条</w:t>
            </w:r>
            <w:r>
              <w:rPr>
                <w:rFonts w:hint="eastAsia" w:ascii="仿宋" w:hAnsi="仿宋" w:eastAsia="仿宋"/>
                <w:sz w:val="24"/>
                <w:highlight w:val="none"/>
              </w:rPr>
              <w:t xml:space="preserve"> 存管银行实施系统升级改造或者实施其他可能影响期货保证金存管业务的措施前，应当提前5个工作日书面通知交易所、监控中心和相关</w:t>
            </w:r>
            <w:r>
              <w:rPr>
                <w:rFonts w:hint="eastAsia" w:ascii="仿宋" w:hAnsi="仿宋" w:eastAsia="仿宋"/>
                <w:dstrike/>
                <w:sz w:val="24"/>
                <w:highlight w:val="none"/>
              </w:rPr>
              <w:t>期货公司</w:t>
            </w:r>
            <w:r>
              <w:rPr>
                <w:rFonts w:hint="eastAsia" w:ascii="仿宋" w:hAnsi="仿宋" w:eastAsia="仿宋"/>
                <w:b/>
                <w:sz w:val="24"/>
                <w:highlight w:val="none"/>
                <w:u w:val="single"/>
              </w:rPr>
              <w:t>会员、境外特殊参与者</w:t>
            </w:r>
            <w:r>
              <w:rPr>
                <w:rFonts w:hint="eastAsia" w:ascii="仿宋" w:hAnsi="仿宋" w:eastAsia="仿宋"/>
                <w:sz w:val="24"/>
                <w:highlight w:val="none"/>
              </w:rPr>
              <w:t>，做好信息披露和系统测试工作，并制定针对性应急预案。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sz w:val="24"/>
                <w:highlight w:val="none"/>
              </w:rPr>
              <w:t>第八章 违规处理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rPr>
        <w:tc>
          <w:tcPr>
            <w:tcW w:w="2358"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第四十八条</w:t>
            </w:r>
            <w:r>
              <w:rPr>
                <w:rFonts w:hint="eastAsia" w:ascii="仿宋" w:hAnsi="仿宋" w:eastAsia="仿宋"/>
                <w:sz w:val="24"/>
                <w:highlight w:val="none"/>
              </w:rPr>
              <w:t xml:space="preserve"> 存管银行出现下列情形之一,责令改正，并根据情节轻重，采取警告、通报批评、暂停新增会员的存管业务等措施：</w:t>
            </w:r>
          </w:p>
          <w:p>
            <w:pPr>
              <w:ind w:firstLine="480" w:firstLineChars="200"/>
              <w:rPr>
                <w:rFonts w:ascii="仿宋" w:hAnsi="仿宋" w:eastAsia="仿宋"/>
                <w:sz w:val="24"/>
                <w:highlight w:val="none"/>
              </w:rPr>
            </w:pPr>
            <w:r>
              <w:rPr>
                <w:rFonts w:hint="eastAsia" w:ascii="仿宋" w:hAnsi="仿宋" w:eastAsia="仿宋"/>
                <w:sz w:val="24"/>
                <w:highlight w:val="none"/>
              </w:rPr>
              <w:t>……</w:t>
            </w:r>
          </w:p>
          <w:p>
            <w:pPr>
              <w:ind w:firstLine="480" w:firstLineChars="200"/>
              <w:rPr>
                <w:rFonts w:ascii="仿宋" w:hAnsi="仿宋" w:eastAsia="仿宋"/>
                <w:sz w:val="24"/>
                <w:highlight w:val="none"/>
              </w:rPr>
            </w:pPr>
            <w:r>
              <w:rPr>
                <w:rFonts w:hint="eastAsia" w:ascii="仿宋" w:hAnsi="仿宋" w:eastAsia="仿宋"/>
                <w:sz w:val="24"/>
                <w:highlight w:val="none"/>
              </w:rPr>
              <w:t>（二）发生影响或可能影响期货保证金存管业务的情况时，存管银行未采取有效措施，可能危及期货市场稳健运行，损害交易所会员、境外经纪机构、客户合法权益的；</w:t>
            </w:r>
          </w:p>
          <w:p>
            <w:pPr>
              <w:ind w:firstLine="480" w:firstLineChars="200"/>
              <w:rPr>
                <w:rFonts w:ascii="仿宋" w:hAnsi="仿宋" w:eastAsia="仿宋"/>
                <w:sz w:val="24"/>
                <w:highlight w:val="none"/>
              </w:rPr>
            </w:pPr>
            <w:r>
              <w:rPr>
                <w:rFonts w:hint="eastAsia" w:ascii="仿宋" w:hAnsi="仿宋" w:eastAsia="仿宋"/>
                <w:sz w:val="24"/>
                <w:highlight w:val="none"/>
              </w:rPr>
              <w:t>……</w:t>
            </w:r>
          </w:p>
        </w:tc>
        <w:tc>
          <w:tcPr>
            <w:tcW w:w="264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ind w:firstLine="481" w:firstLineChars="200"/>
              <w:rPr>
                <w:rFonts w:ascii="仿宋" w:hAnsi="仿宋" w:eastAsia="仿宋"/>
                <w:sz w:val="24"/>
                <w:highlight w:val="none"/>
              </w:rPr>
            </w:pPr>
            <w:r>
              <w:rPr>
                <w:rFonts w:hint="eastAsia" w:ascii="仿宋" w:hAnsi="仿宋" w:eastAsia="仿宋"/>
                <w:b/>
                <w:sz w:val="24"/>
                <w:highlight w:val="none"/>
              </w:rPr>
              <w:t>第四十八条</w:t>
            </w:r>
            <w:r>
              <w:rPr>
                <w:rFonts w:hint="eastAsia" w:ascii="仿宋" w:hAnsi="仿宋" w:eastAsia="仿宋"/>
                <w:sz w:val="24"/>
                <w:highlight w:val="none"/>
              </w:rPr>
              <w:t xml:space="preserve"> 存管银行出现下列情形之一,责令改正，并根据情节轻重，采取警告、通报批评、暂停新增会员的存管业务等措施：</w:t>
            </w:r>
          </w:p>
          <w:p>
            <w:pPr>
              <w:ind w:firstLine="480" w:firstLineChars="200"/>
              <w:rPr>
                <w:rFonts w:ascii="仿宋" w:hAnsi="仿宋" w:eastAsia="仿宋"/>
                <w:sz w:val="24"/>
                <w:highlight w:val="none"/>
              </w:rPr>
            </w:pPr>
            <w:r>
              <w:rPr>
                <w:rFonts w:hint="eastAsia" w:ascii="仿宋" w:hAnsi="仿宋" w:eastAsia="仿宋"/>
                <w:sz w:val="24"/>
                <w:highlight w:val="none"/>
              </w:rPr>
              <w:t>……</w:t>
            </w:r>
          </w:p>
          <w:p>
            <w:pPr>
              <w:ind w:firstLine="480" w:firstLineChars="200"/>
              <w:rPr>
                <w:rFonts w:ascii="仿宋" w:hAnsi="仿宋" w:eastAsia="仿宋"/>
                <w:sz w:val="24"/>
                <w:highlight w:val="none"/>
              </w:rPr>
            </w:pPr>
            <w:r>
              <w:rPr>
                <w:rFonts w:hint="eastAsia" w:ascii="仿宋" w:hAnsi="仿宋" w:eastAsia="仿宋"/>
                <w:sz w:val="24"/>
                <w:highlight w:val="none"/>
              </w:rPr>
              <w:t>（二）发生影响或可能影响期货保证金存管业务的情况时，存管银行未采取有效措施，可能危及期货市场稳健运行，损害交易所会员、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机构、客户合法权益的；</w:t>
            </w:r>
          </w:p>
          <w:p>
            <w:pPr>
              <w:ind w:firstLine="480" w:firstLineChars="200"/>
              <w:rPr>
                <w:rFonts w:ascii="仿宋" w:hAnsi="仿宋" w:eastAsia="仿宋"/>
                <w:sz w:val="24"/>
                <w:highlight w:val="none"/>
              </w:rPr>
            </w:pPr>
            <w:r>
              <w:rPr>
                <w:rFonts w:hint="eastAsia" w:ascii="仿宋" w:hAnsi="仿宋" w:eastAsia="仿宋"/>
                <w:sz w:val="24"/>
                <w:highlight w:val="none"/>
              </w:rPr>
              <w:t>……</w:t>
            </w:r>
          </w:p>
        </w:tc>
      </w:tr>
    </w:tbl>
    <w:p>
      <w:pPr>
        <w:spacing w:afterLines="50" w:line="360" w:lineRule="auto"/>
        <w:jc w:val="center"/>
        <w:rPr>
          <w:rFonts w:ascii="宋体" w:hAnsi="宋体" w:eastAsia="宋体" w:cs="黑体"/>
          <w:b/>
          <w:color w:val="000000"/>
          <w:kern w:val="0"/>
          <w:sz w:val="44"/>
          <w:szCs w:val="44"/>
          <w:highlight w:val="none"/>
        </w:rPr>
      </w:pPr>
      <w:r>
        <w:rPr>
          <w:rFonts w:hint="default" w:ascii="黑体" w:hAnsi="黑体" w:eastAsia="黑体" w:cs="黑体"/>
          <w:sz w:val="32"/>
          <w:szCs w:val="32"/>
          <w:highlight w:val="none"/>
          <w:lang w:val="en-US" w:eastAsia="zh-CN"/>
        </w:rPr>
        <w:br w:type="page"/>
      </w:r>
      <w:r>
        <w:rPr>
          <w:rFonts w:hint="eastAsia" w:ascii="宋体" w:hAnsi="宋体" w:eastAsia="宋体" w:cs="黑体"/>
          <w:b/>
          <w:color w:val="000000"/>
          <w:kern w:val="0"/>
          <w:sz w:val="44"/>
          <w:szCs w:val="44"/>
          <w:highlight w:val="none"/>
        </w:rPr>
        <w:t>郑州商品交易所指定存管银行管理办法</w:t>
      </w:r>
    </w:p>
    <w:p>
      <w:pPr>
        <w:spacing w:before="240" w:after="24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spacing w:afterLines="50" w:line="360" w:lineRule="auto"/>
        <w:jc w:val="center"/>
        <w:rPr>
          <w:rFonts w:ascii="黑体" w:hAnsi="黑体" w:eastAsia="黑体"/>
          <w:sz w:val="32"/>
          <w:szCs w:val="32"/>
          <w:highlight w:val="none"/>
        </w:rPr>
      </w:pPr>
      <w:r>
        <w:rPr>
          <w:rFonts w:hint="eastAsia" w:ascii="黑体" w:hAnsi="黑体" w:eastAsia="黑体"/>
          <w:sz w:val="32"/>
          <w:szCs w:val="32"/>
          <w:highlight w:val="none"/>
        </w:rPr>
        <w:t>第一章 总 则</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第一条 </w:t>
      </w:r>
      <w:r>
        <w:rPr>
          <w:rFonts w:hint="eastAsia" w:ascii="宋体" w:hAnsi="宋体"/>
          <w:sz w:val="28"/>
          <w:szCs w:val="28"/>
          <w:highlight w:val="none"/>
        </w:rPr>
        <w:t>为规范郑州商品交易所（以下简称交易所）期货保证金存管业务，确保期货保证金存管安全和期货交易的平稳运行，促进期货市场健康发展，根据国家有关期货市场发展的法规、政策以及《郑州商品交易所交易规则》和《郑州商品交易所期货结算管理办法》等规定，结合交易所期货交易活动的实际需要，制定本办法。</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第二条 </w:t>
      </w:r>
      <w:r>
        <w:rPr>
          <w:rFonts w:hint="eastAsia" w:ascii="宋体" w:hAnsi="宋体"/>
          <w:sz w:val="28"/>
          <w:szCs w:val="28"/>
          <w:highlight w:val="none"/>
        </w:rPr>
        <w:t>期货保证金指定存管银行（以下简称存管银行）是指由交易所指定、为交易所会员单位和投资者提供期货保证金存管和出入金等服务的银行业金融机构。</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第三条</w:t>
      </w:r>
      <w:r>
        <w:rPr>
          <w:rFonts w:hint="eastAsia" w:ascii="宋体" w:hAnsi="宋体"/>
          <w:b/>
          <w:sz w:val="28"/>
          <w:szCs w:val="28"/>
          <w:highlight w:val="none"/>
        </w:rPr>
        <w:t xml:space="preserve"> </w:t>
      </w:r>
      <w:r>
        <w:rPr>
          <w:rFonts w:hint="eastAsia" w:ascii="宋体" w:hAnsi="宋体"/>
          <w:sz w:val="28"/>
          <w:szCs w:val="28"/>
          <w:highlight w:val="none"/>
        </w:rPr>
        <w:t>交易所依据本办法对存管银行进行管理，交易所、存管银行及其有关业务人员应该遵守本办法。</w:t>
      </w:r>
    </w:p>
    <w:p>
      <w:pPr>
        <w:spacing w:afterLines="50" w:line="360" w:lineRule="auto"/>
        <w:jc w:val="center"/>
        <w:rPr>
          <w:rFonts w:ascii="黑体" w:hAnsi="黑体" w:eastAsia="黑体"/>
          <w:sz w:val="32"/>
          <w:szCs w:val="32"/>
          <w:highlight w:val="none"/>
        </w:rPr>
      </w:pPr>
      <w:r>
        <w:rPr>
          <w:rFonts w:hint="eastAsia" w:ascii="黑体" w:hAnsi="黑体" w:eastAsia="黑体"/>
          <w:sz w:val="32"/>
          <w:szCs w:val="32"/>
          <w:highlight w:val="none"/>
        </w:rPr>
        <w:t>第二章 资格申请</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第四条</w:t>
      </w:r>
      <w:r>
        <w:rPr>
          <w:rFonts w:hint="eastAsia" w:ascii="宋体" w:hAnsi="宋体"/>
          <w:sz w:val="28"/>
          <w:szCs w:val="28"/>
          <w:highlight w:val="none"/>
        </w:rPr>
        <w:t xml:space="preserve"> 交易所期货保证金存管业务分为境内客户保证金存管业务和境外客户保证金存管业务。</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境内客户保证金存管业务是指从事与会员、境内客户相关的保证金存管业务；境外客户保证金存管业务是指从事与境外特殊参与者、境外</w:t>
      </w:r>
      <w:r>
        <w:rPr>
          <w:rFonts w:hint="eastAsia" w:ascii="宋体" w:hAnsi="宋体"/>
          <w:sz w:val="28"/>
          <w:szCs w:val="28"/>
          <w:highlight w:val="none"/>
          <w:lang w:eastAsia="zh-CN"/>
        </w:rPr>
        <w:t>中介</w:t>
      </w:r>
      <w:r>
        <w:rPr>
          <w:rFonts w:hint="eastAsia" w:ascii="宋体" w:hAnsi="宋体"/>
          <w:sz w:val="28"/>
          <w:szCs w:val="28"/>
          <w:highlight w:val="none"/>
        </w:rPr>
        <w:t>机构、境外客户相关的保证金存管业务。</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合格境外机构投资者和人民币合格境外机构投资者（以下统称合格境外投资者）在境内参与期货交易及相关活动的保证金存管业务，按照境内客户保证金存管业务管理。</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第五条</w:t>
      </w:r>
      <w:r>
        <w:rPr>
          <w:rFonts w:hint="eastAsia" w:ascii="宋体" w:hAnsi="宋体"/>
          <w:sz w:val="28"/>
          <w:szCs w:val="28"/>
          <w:highlight w:val="none"/>
        </w:rPr>
        <w:t xml:space="preserve"> 银行业金融机构从事交易所期货保证金存管业务，应当向交易所提出申请。</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申请期货保证金存管银行资格，应当具备下列条件：</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（一）中华人民共和国境内设立的全国性银行业金融机构法人；</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（二）在期货交易所所在地设有可以办理期货保证金存管业务和资金结算相关业务的分支机构；</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（三）符合银行业监督管理机构对银行业金融机构资本充足率、流动性、资产负债比例等规定；</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（四）具有良好的公司治理、风险管理体系和内部控制制度；</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五）具有符合开展期货保证金存管业务和配合期货保证金安全存管监控所需要的设施和技术水平，具备先进、快速的异地资金划拨系统，且最近3年系统运行稳定。拥有全国范围内的本行系统实时汇划系统，以及服务良好的全国集中式银期转账系统；</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 xml:space="preserve">（六）具有健全的期货保证金管理制度、内部管理制度、业务操作流程以及发生技术和通讯系统故障等异常情况下的应急处理预案； </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七）有专门部门或机构负责期货保证金存管业务。交易所指定的期货保证金存管分支机构中，取得中国期货从业资格考试合格证明的人员不得少于3名，且交易所结算专柜人员应当取得中国期货从业资格考试合格证明，其中管理人员应具有5年以上银行从业经验；</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（八）无严重影响其资信状况的未决诉讼和未清偿债务；</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（九）最近3年无重大违法违规行为，未发生过重大事故及未受到过监管机构的重大行政处罚；</w:t>
      </w:r>
    </w:p>
    <w:p>
      <w:pPr>
        <w:pStyle w:val="15"/>
        <w:spacing w:line="360" w:lineRule="auto"/>
        <w:ind w:firstLine="560"/>
        <w:rPr>
          <w:rFonts w:ascii="宋体" w:hAnsi="宋体"/>
          <w:sz w:val="28"/>
          <w:szCs w:val="28"/>
          <w:highlight w:val="none"/>
        </w:rPr>
      </w:pPr>
      <w:r>
        <w:rPr>
          <w:rFonts w:hint="eastAsia" w:ascii="宋体" w:hAnsi="宋体"/>
          <w:sz w:val="28"/>
          <w:szCs w:val="28"/>
          <w:highlight w:val="none"/>
        </w:rPr>
        <w:t>（十）交易所规定的其他条件。</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第六条</w:t>
      </w:r>
      <w:r>
        <w:rPr>
          <w:rFonts w:hint="eastAsia" w:ascii="宋体" w:hAnsi="宋体"/>
          <w:sz w:val="28"/>
          <w:szCs w:val="28"/>
          <w:highlight w:val="none"/>
        </w:rPr>
        <w:t xml:space="preserve"> 申请从事境内客户期货保证金存管业务的银行业金融机构，应当满足本办法第五条的规定，并具备以下条件：</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（一）注册资本达到100亿元人民币，最近3个会计年度连续盈利；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（二）总资产在15000亿元人民币以上，资本净额在1000亿元人民币以上；</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（三）境内分支机构600个以上。</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与交易所上市品种密切相关的政策性银行，申请从事交易所期货保证金存管业务资格的，不适用第五条第二款第（一）项规定，不适用本条第一款第（一）至（三）项规定。</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合格境外投资者的托管银行，申请仅为其所托管的合格境外投资者开展期货保证金存管业务的，不适用第五条第二款第(一)项规定，不适用本条第一款第（一）至（三）项规定。</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第七条</w:t>
      </w:r>
      <w:r>
        <w:rPr>
          <w:rFonts w:hint="eastAsia" w:ascii="宋体" w:hAnsi="宋体"/>
          <w:sz w:val="28"/>
          <w:szCs w:val="28"/>
          <w:highlight w:val="none"/>
        </w:rPr>
        <w:t xml:space="preserve"> 申请从事境外客户期货保证金存管业务的银行业金融机构，应当满足本办法第五条的规定，并具备以下条件：</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（一）注册资本达到50亿元人民币，最近3个会计年度连续盈利；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总资产在15000亿元人民币以上，资本净额在1000亿元人民币以上；或者其总资产在300亿元人民币以上，资本净额在50亿元人民币以上，且其母公司总资产在15000亿元人民币或者等值外币以上，资本净额在1000亿元人民币或者等值外币以上；</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三）应当是有关大额实时支付系统的直接清算成员行，或者与有关大额实时支付系统的直接清算成员行建立代理行关系，能确保实时、高效完成资金划拨，且其或者其控股母公司在一个及以上全球性或者区域性金融中心设有可以办理期货保证金存管业务和资金结算相关业务的分支机构。</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第八条 </w:t>
      </w:r>
      <w:r>
        <w:rPr>
          <w:rFonts w:hint="eastAsia" w:ascii="宋体" w:hAnsi="宋体"/>
          <w:sz w:val="28"/>
          <w:szCs w:val="28"/>
          <w:highlight w:val="none"/>
        </w:rPr>
        <w:t>银行业金融机构申请期货保证金存管银行资格，应当向交易所提交下列预审材料：</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（一）申请开展期货保证金存管业务的申请表、申请报告、可行性报告及业务计划书；</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（二）分支机构、营业网点以及开展期货保证金存管业务所需设施的情况说明；</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（三）期货保证金存管制度、内部管理制度以及出现技术通讯故障等异常情况下的相关应急处理预案；</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（四）期货保证金存管业务部门的岗位设置、职责规定以及该业务部门负责人和业务人员名单、履历；</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（五）申请从事境外客户保证金存管业务的，应当提供是有关大额实时支付系统的直接清算成员行，或者与有关大额实时支付系统的直接清算成员行建立代理行关系的说明材料；</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（六）按照国家工商行政管理总局要求公示的最新企业年度报告；</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（七）遵守期货保证金安全存管监控规定的承诺书；</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（八）最新年检的《企业法人营业执照》复印件；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（九）《金融业务许可证》复印件；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（十）最近3年的审计报告以及内部控制评价报告；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（十一）企业法人授权书（授权书格式见附件2）及经办人员的身份证明文件；</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（十二）交易所要求提供的其他文件。</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第九条 </w:t>
      </w:r>
      <w:r>
        <w:rPr>
          <w:rFonts w:hint="eastAsia" w:ascii="宋体" w:hAnsi="宋体"/>
          <w:sz w:val="28"/>
          <w:szCs w:val="28"/>
          <w:highlight w:val="none"/>
        </w:rPr>
        <w:t>银行业金融机构申请并通过交易所对其期货保证金存管银行资格预审后，应当按照交易所及中国期货市场监控中心有限责任公司（以下简称监控中心）的要求通过相关业务、技术、通讯设备等方面的测试，并向交易所提供下列材料：</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（一）通过监控中心存管业务数据报送系统测试的书面证明材料；</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（二）与期货公司或者境外特殊参与者等期货市场参与者进行全国集中式银期转账系统测试的报告；</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交易所指定的存管银行分支机构营业执照复印件及设立情况说明，包括分支机构的营业场所、设施、岗位设置和职责规定，以及分支机构负责人和业务人员名单、履历、相关人员的中国期货业务资格考试合格证明；</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（四）交易所要求提供的其他文件。</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第十条 </w:t>
      </w:r>
      <w:r>
        <w:rPr>
          <w:rFonts w:hint="eastAsia" w:ascii="宋体" w:hAnsi="宋体"/>
          <w:sz w:val="28"/>
          <w:szCs w:val="28"/>
          <w:highlight w:val="none"/>
        </w:rPr>
        <w:t>交易所对银行业金融机构提交的申请材料与系统测试结果进行审核，并将审核结果报中国证券监督管理委员会备案。5个工作日后，交易所书面通知经核准具有存管银行资格的银行业金融机构，并在交易所网站上公告。获得指定存管银行资格的银行业金融机构应当在获得资格3日内向银行业监管部门报告。</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第十一条 </w:t>
      </w:r>
      <w:r>
        <w:rPr>
          <w:rFonts w:hint="eastAsia" w:ascii="宋体" w:hAnsi="宋体"/>
          <w:sz w:val="28"/>
          <w:szCs w:val="28"/>
          <w:highlight w:val="none"/>
        </w:rPr>
        <w:t>存管银行在开展期货保证金存管业务前，应当就期货保证金存管业务与交易所签订协议，明确双方权利和义务。</w:t>
      </w:r>
    </w:p>
    <w:p>
      <w:pPr>
        <w:spacing w:afterLines="50" w:line="360" w:lineRule="auto"/>
        <w:jc w:val="center"/>
        <w:rPr>
          <w:rFonts w:ascii="黑体" w:hAnsi="黑体" w:eastAsia="黑体"/>
          <w:sz w:val="32"/>
          <w:szCs w:val="32"/>
          <w:highlight w:val="none"/>
        </w:rPr>
      </w:pPr>
      <w:r>
        <w:rPr>
          <w:rFonts w:hint="eastAsia" w:ascii="黑体" w:hAnsi="黑体" w:eastAsia="黑体"/>
          <w:sz w:val="32"/>
          <w:szCs w:val="32"/>
          <w:highlight w:val="none"/>
        </w:rPr>
        <w:t>第三章 权利与义务</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第十二条 </w:t>
      </w:r>
      <w:r>
        <w:rPr>
          <w:rFonts w:hint="eastAsia" w:ascii="宋体" w:hAnsi="宋体"/>
          <w:sz w:val="28"/>
          <w:szCs w:val="28"/>
          <w:highlight w:val="none"/>
        </w:rPr>
        <w:t xml:space="preserve">存管银行的权利：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（一）开设交易所专用结算账户、</w:t>
      </w:r>
      <w:bookmarkStart w:id="35" w:name="OLE_LINK7"/>
      <w:bookmarkStart w:id="36" w:name="OLE_LINK6"/>
      <w:r>
        <w:rPr>
          <w:rFonts w:hint="eastAsia" w:ascii="宋体" w:hAnsi="宋体"/>
          <w:sz w:val="28"/>
          <w:szCs w:val="28"/>
          <w:highlight w:val="none"/>
        </w:rPr>
        <w:t>会员保证金专用账户</w:t>
      </w:r>
      <w:bookmarkEnd w:id="35"/>
      <w:bookmarkEnd w:id="36"/>
      <w:r>
        <w:rPr>
          <w:rFonts w:hint="eastAsia" w:ascii="宋体" w:hAnsi="宋体"/>
          <w:sz w:val="28"/>
          <w:szCs w:val="28"/>
          <w:highlight w:val="none"/>
        </w:rPr>
        <w:t>、境外特殊参与者、境外</w:t>
      </w:r>
      <w:r>
        <w:rPr>
          <w:rFonts w:hint="eastAsia" w:ascii="宋体" w:hAnsi="宋体"/>
          <w:sz w:val="28"/>
          <w:szCs w:val="28"/>
          <w:highlight w:val="none"/>
          <w:lang w:eastAsia="zh-CN"/>
        </w:rPr>
        <w:t>中介</w:t>
      </w:r>
      <w:r>
        <w:rPr>
          <w:rFonts w:hint="eastAsia" w:ascii="宋体" w:hAnsi="宋体"/>
          <w:sz w:val="28"/>
          <w:szCs w:val="28"/>
          <w:highlight w:val="none"/>
        </w:rPr>
        <w:t>机构和客户期货结算账户及其他与结算有关的账户；</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（二）吸收交易所和会员、境外特殊参与者、境外</w:t>
      </w:r>
      <w:r>
        <w:rPr>
          <w:rFonts w:hint="eastAsia" w:ascii="宋体" w:hAnsi="宋体"/>
          <w:sz w:val="28"/>
          <w:szCs w:val="28"/>
          <w:highlight w:val="none"/>
          <w:lang w:eastAsia="zh-CN"/>
        </w:rPr>
        <w:t>中介</w:t>
      </w:r>
      <w:r>
        <w:rPr>
          <w:rFonts w:hint="eastAsia" w:ascii="宋体" w:hAnsi="宋体"/>
          <w:sz w:val="28"/>
          <w:szCs w:val="28"/>
          <w:highlight w:val="none"/>
        </w:rPr>
        <w:t>机构和客户等主体的存款；</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（三）了解会员、境外特殊参与者、境外中介机构和客户等主体在交易所的资信情况。</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第十三条</w:t>
      </w:r>
      <w:r>
        <w:rPr>
          <w:rFonts w:hint="eastAsia" w:ascii="宋体" w:hAnsi="宋体"/>
          <w:sz w:val="28"/>
          <w:szCs w:val="28"/>
          <w:highlight w:val="none"/>
        </w:rPr>
        <w:t xml:space="preserve"> 存管银行的义务：</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（一）向交易所提供会员保证金专用账户、境外特殊经纪参与者和境外</w:t>
      </w:r>
      <w:r>
        <w:rPr>
          <w:rFonts w:hint="eastAsia" w:ascii="宋体" w:hAnsi="宋体"/>
          <w:sz w:val="28"/>
          <w:szCs w:val="28"/>
          <w:highlight w:val="none"/>
          <w:lang w:eastAsia="zh-CN"/>
        </w:rPr>
        <w:t>中介</w:t>
      </w:r>
      <w:r>
        <w:rPr>
          <w:rFonts w:hint="eastAsia" w:ascii="宋体" w:hAnsi="宋体"/>
          <w:sz w:val="28"/>
          <w:szCs w:val="28"/>
          <w:highlight w:val="none"/>
        </w:rPr>
        <w:t>机构期货结算账户的资金情况；</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（二）根据交易所提供的票据或指令优先划转会员的资金，并及时将资金划转结果和相关账户变动信息反馈给交易所，并按规定及时完成期货交易相关结售汇；</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（三）协助交易所核查会员资金的来源和去向；</w:t>
      </w:r>
      <w:r>
        <w:rPr>
          <w:rFonts w:hint="eastAsia" w:ascii="宋体" w:hAnsi="宋体"/>
          <w:sz w:val="28"/>
          <w:szCs w:val="28"/>
          <w:highlight w:val="none"/>
        </w:rPr>
        <w:br w:type="textWrapping"/>
      </w:r>
      <w:r>
        <w:rPr>
          <w:rFonts w:hint="eastAsia" w:ascii="宋体" w:hAnsi="宋体"/>
          <w:sz w:val="28"/>
          <w:szCs w:val="28"/>
          <w:highlight w:val="none"/>
        </w:rPr>
        <w:t xml:space="preserve">    （四）向交易所及时通报本所标准仓单的质押情况及会员在资金结算方面的不良行为和风险；</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（五）在交易所出现重大风险时，必须协助交易所化解风险；</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（六）根据中国证券监督管理委员会或交易所的要求，对会员保证金专用账户中的资金实行必要的监管措施；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（七）保守交易所、会员、境外特殊参与者、境外</w:t>
      </w:r>
      <w:r>
        <w:rPr>
          <w:rFonts w:hint="eastAsia" w:ascii="宋体" w:hAnsi="宋体"/>
          <w:sz w:val="28"/>
          <w:szCs w:val="28"/>
          <w:highlight w:val="none"/>
          <w:lang w:eastAsia="zh-CN"/>
        </w:rPr>
        <w:t>中介</w:t>
      </w:r>
      <w:r>
        <w:rPr>
          <w:rFonts w:hint="eastAsia" w:ascii="宋体" w:hAnsi="宋体"/>
          <w:sz w:val="28"/>
          <w:szCs w:val="28"/>
          <w:highlight w:val="none"/>
        </w:rPr>
        <w:t>机构和客户的商业秘密；</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（八）接受交易所对其期货相关业务进行监督。</w:t>
      </w:r>
    </w:p>
    <w:p>
      <w:pPr>
        <w:spacing w:afterLines="50" w:line="360" w:lineRule="auto"/>
        <w:jc w:val="center"/>
        <w:rPr>
          <w:rFonts w:ascii="黑体" w:hAnsi="黑体" w:eastAsia="黑体"/>
          <w:sz w:val="32"/>
          <w:szCs w:val="32"/>
          <w:highlight w:val="none"/>
        </w:rPr>
      </w:pPr>
      <w:r>
        <w:rPr>
          <w:rFonts w:hint="eastAsia" w:ascii="黑体" w:hAnsi="黑体" w:eastAsia="黑体"/>
          <w:sz w:val="32"/>
          <w:szCs w:val="32"/>
          <w:highlight w:val="none"/>
        </w:rPr>
        <w:t>第四章 业务要求</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第十四条</w:t>
      </w:r>
      <w:r>
        <w:rPr>
          <w:rFonts w:hint="eastAsia" w:ascii="宋体" w:hAnsi="宋体"/>
          <w:sz w:val="28"/>
          <w:szCs w:val="28"/>
          <w:highlight w:val="none"/>
        </w:rPr>
        <w:t xml:space="preserve"> 存管银行设置分支机构应当在交易所指定的距离范围内，分支机构内应当设置期货业务专柜。</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第十五条 </w:t>
      </w:r>
      <w:r>
        <w:rPr>
          <w:rFonts w:hint="eastAsia" w:ascii="宋体" w:hAnsi="宋体"/>
          <w:sz w:val="28"/>
          <w:szCs w:val="28"/>
          <w:highlight w:val="none"/>
        </w:rPr>
        <w:t xml:space="preserve">存管银行应当保证交易所指定分支机构的业务稳定和人员稳定，定期组织业务人员培训，积极参加交易所组织的业务培训，保证业务人员熟练掌握期货保证金存管业务的流程及交易所关于期货保证金存管等结算业务的规则和要求。 </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第十六条</w:t>
      </w:r>
      <w:r>
        <w:rPr>
          <w:rFonts w:hint="eastAsia" w:ascii="宋体" w:hAnsi="宋体"/>
          <w:sz w:val="28"/>
          <w:szCs w:val="28"/>
          <w:highlight w:val="none"/>
        </w:rPr>
        <w:t xml:space="preserve"> 根据交易所申请，存管银行应当为交易所开立专用结算账户等专用存款账户，账户名称应当体现业务性质。 </w:t>
      </w:r>
    </w:p>
    <w:p>
      <w:pPr>
        <w:spacing w:afterLines="50" w:line="360" w:lineRule="auto"/>
        <w:ind w:firstLine="560" w:firstLineChars="200"/>
        <w:rPr>
          <w:rFonts w:hint="eastAsia" w:ascii="宋体" w:hAnsi="宋体"/>
          <w:sz w:val="28"/>
          <w:szCs w:val="28"/>
          <w:highlight w:val="none"/>
        </w:rPr>
      </w:pPr>
      <w:r>
        <w:rPr>
          <w:rFonts w:hint="eastAsia" w:ascii="黑体" w:hAnsi="黑体" w:eastAsia="黑体"/>
          <w:sz w:val="28"/>
          <w:szCs w:val="28"/>
          <w:highlight w:val="none"/>
        </w:rPr>
        <w:t>第十七条</w:t>
      </w:r>
      <w:r>
        <w:rPr>
          <w:rFonts w:hint="eastAsia" w:ascii="宋体" w:hAnsi="宋体"/>
          <w:sz w:val="28"/>
          <w:szCs w:val="28"/>
          <w:highlight w:val="none"/>
        </w:rPr>
        <w:t xml:space="preserve"> 存管银行应当根据会员申请，为会员开立、变更或</w:t>
      </w:r>
      <w:r>
        <w:rPr>
          <w:rFonts w:hint="eastAsia" w:ascii="宋体" w:hAnsi="宋体"/>
          <w:sz w:val="28"/>
          <w:szCs w:val="28"/>
          <w:highlight w:val="none"/>
          <w:lang w:eastAsia="zh-CN"/>
        </w:rPr>
        <w:t>者</w:t>
      </w:r>
      <w:r>
        <w:rPr>
          <w:rFonts w:hint="eastAsia" w:ascii="宋体" w:hAnsi="宋体"/>
          <w:sz w:val="28"/>
          <w:szCs w:val="28"/>
          <w:highlight w:val="none"/>
        </w:rPr>
        <w:t>注销资金账户。</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从事境外客户保证金存管业务的指定存管银行，应当按照中国人民银行和国家外汇管理局有关规定，为交易所、会员、境外特殊参与者、境外</w:t>
      </w:r>
      <w:r>
        <w:rPr>
          <w:rFonts w:hint="eastAsia" w:ascii="宋体" w:hAnsi="宋体"/>
          <w:sz w:val="28"/>
          <w:szCs w:val="28"/>
          <w:highlight w:val="none"/>
          <w:lang w:eastAsia="zh-CN"/>
        </w:rPr>
        <w:t>中介</w:t>
      </w:r>
      <w:r>
        <w:rPr>
          <w:rFonts w:hint="eastAsia" w:ascii="宋体" w:hAnsi="宋体"/>
          <w:sz w:val="28"/>
          <w:szCs w:val="28"/>
          <w:highlight w:val="none"/>
        </w:rPr>
        <w:t>机构、境外客户开立期货业务相关的银行账户。</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第十八条</w:t>
      </w:r>
      <w:r>
        <w:rPr>
          <w:rFonts w:hint="eastAsia" w:ascii="宋体" w:hAnsi="宋体"/>
          <w:sz w:val="28"/>
          <w:szCs w:val="28"/>
          <w:highlight w:val="none"/>
        </w:rPr>
        <w:t xml:space="preserve"> 存管银行应当按照期货保证金安全存管有关规定通过转账方式办理期货保证金存取业务，对期货保证金实行封闭运行。</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存管银行应当按照国家外汇管理规定和交易所的相关要求，为交易所和会员办理结售汇业务，并按规定履行报告义务。</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第十九条</w:t>
      </w:r>
      <w:r>
        <w:rPr>
          <w:rFonts w:hint="eastAsia" w:ascii="宋体" w:hAnsi="宋体"/>
          <w:sz w:val="28"/>
          <w:szCs w:val="28"/>
          <w:highlight w:val="none"/>
        </w:rPr>
        <w:t xml:space="preserve"> 存管银行应当为交易所、会员、境外特殊参与者、境外中介机构和客户提供安全、准确、迅捷的期货保证金存管、划转服务。</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第二十条</w:t>
      </w:r>
      <w:r>
        <w:rPr>
          <w:rFonts w:hint="eastAsia" w:ascii="宋体" w:hAnsi="宋体"/>
          <w:sz w:val="28"/>
          <w:szCs w:val="28"/>
          <w:highlight w:val="none"/>
        </w:rPr>
        <w:t xml:space="preserve"> 存管银行应当早于交易所开市前30分钟开始当日营业。交易闭市后，期货结算时间确需延迟的，存管银行应当相应延迟其营业时间。</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第二十一条</w:t>
      </w:r>
      <w:r>
        <w:rPr>
          <w:rFonts w:hint="eastAsia" w:ascii="宋体" w:hAnsi="宋体"/>
          <w:sz w:val="28"/>
          <w:szCs w:val="28"/>
          <w:highlight w:val="none"/>
        </w:rPr>
        <w:t xml:space="preserve"> 当有款项划入交易所专用结算账户时，存管银行应当在资金到账后，立即记入交易所账户，并实时通知交易所。  </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第二十二条</w:t>
      </w:r>
      <w:r>
        <w:rPr>
          <w:rFonts w:hint="eastAsia" w:ascii="宋体" w:hAnsi="宋体"/>
          <w:sz w:val="28"/>
          <w:szCs w:val="28"/>
          <w:highlight w:val="none"/>
        </w:rPr>
        <w:t xml:space="preserve"> 存管银行按照交易所的电子划款指令或书面划款指令办理划款业务时，应当遵守以下规定：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（一）对于本行系统内账户的资金划拨，存管银行在收到交易所划款指令后，应实时将资金汇划至交易所指定的会员专用资金账户；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对于跨行的资金划拨，存管银行收到交易所划款指令后，应以最快捷的方式划出款项，并保证该款项及时到达交易所指定的收款账户开户银行。遇到特殊情况的，应在当日下午4时前到达交易所指定的收款账户开户银行；</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（三）存管银行可以通过与其他机构业务合作的方式，提高资金划拨效率。</w:t>
      </w:r>
    </w:p>
    <w:p>
      <w:pPr>
        <w:spacing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第二十三条</w:t>
      </w:r>
      <w:r>
        <w:rPr>
          <w:rFonts w:hint="eastAsia" w:ascii="宋体" w:hAnsi="宋体"/>
          <w:sz w:val="28"/>
          <w:szCs w:val="28"/>
          <w:highlight w:val="none"/>
        </w:rPr>
        <w:t xml:space="preserve"> 存管银行应当每日按照以下规定与交易所进行专用结算账户账务核对：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（一）每日结算资金业务终了后进行对账，或应交易所的需要随时对账；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（二）按照交易所的查询要求，提供专用结算账户余额及变动情况，存管银行应当实时回送查询结果；</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（三）在结算业务发生后当日，存管银行应当将交易所进账单、收付款明细清单等业务凭证送达交易所； </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 xml:space="preserve">（四）存管银行应当按交易所的要求及时提供资金结算账户对账单。 </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第二十四条</w:t>
      </w:r>
      <w:r>
        <w:rPr>
          <w:rFonts w:hint="eastAsia" w:ascii="宋体" w:hAnsi="宋体"/>
          <w:sz w:val="28"/>
          <w:szCs w:val="28"/>
          <w:highlight w:val="none"/>
        </w:rPr>
        <w:t xml:space="preserve"> 存管银行应当按照期货保证金安全存管监控的规定，通过网络专线在规定的时间内向监控中心报送在该行开设的全部期货保证金账户前1交易日的账户余额、变动明细等相关信息。</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第二十五条</w:t>
      </w:r>
      <w:r>
        <w:rPr>
          <w:rFonts w:hint="eastAsia" w:ascii="宋体" w:hAnsi="宋体"/>
          <w:sz w:val="28"/>
          <w:szCs w:val="28"/>
          <w:highlight w:val="none"/>
        </w:rPr>
        <w:t xml:space="preserve"> 存管银行应当向交易所提供交易所会员保证金专用账户的余额及变动情况，实时回送查询结果。</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第二十六条</w:t>
      </w:r>
      <w:r>
        <w:rPr>
          <w:rFonts w:hint="eastAsia" w:ascii="宋体" w:hAnsi="宋体"/>
          <w:sz w:val="28"/>
          <w:szCs w:val="28"/>
          <w:highlight w:val="none"/>
        </w:rPr>
        <w:t xml:space="preserve"> 存管银行应当采取有效措施，减少资金的流动性风险；未经交易所书面同意，不得限制会员公司出入金；为测试保证金存款的安全性，交易所可随时对存管的保证金进行跨行调拨。</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第二十七条</w:t>
      </w:r>
      <w:r>
        <w:rPr>
          <w:rFonts w:hint="eastAsia" w:ascii="宋体" w:hAnsi="宋体"/>
          <w:sz w:val="28"/>
          <w:szCs w:val="28"/>
          <w:highlight w:val="none"/>
        </w:rPr>
        <w:t xml:space="preserve"> 存管银行应当按照与交易所协商确定的存款利率向交易所支付利息。</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第二十八条</w:t>
      </w:r>
      <w:r>
        <w:rPr>
          <w:rFonts w:hint="eastAsia" w:ascii="宋体" w:hAnsi="宋体"/>
          <w:sz w:val="28"/>
          <w:szCs w:val="28"/>
          <w:highlight w:val="none"/>
        </w:rPr>
        <w:t xml:space="preserve"> 当交易所的资金结算系统出现流动性等需求时，应交易所申请，存管银行必须给予相应的资金支持。</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第二十九条 </w:t>
      </w:r>
      <w:r>
        <w:rPr>
          <w:rFonts w:hint="eastAsia" w:ascii="宋体" w:hAnsi="宋体"/>
          <w:sz w:val="28"/>
          <w:szCs w:val="28"/>
          <w:highlight w:val="none"/>
        </w:rPr>
        <w:t>存管银行不得协助会员在期货保证金账户上设定担保；不得挪用客户保证金偿还期货公司会员、境外特殊参与者、境外</w:t>
      </w:r>
      <w:r>
        <w:rPr>
          <w:rFonts w:hint="eastAsia" w:ascii="宋体" w:hAnsi="宋体"/>
          <w:sz w:val="28"/>
          <w:szCs w:val="28"/>
          <w:highlight w:val="none"/>
          <w:lang w:eastAsia="zh-CN"/>
        </w:rPr>
        <w:t>中介</w:t>
      </w:r>
      <w:r>
        <w:rPr>
          <w:rFonts w:hint="eastAsia" w:ascii="宋体" w:hAnsi="宋体"/>
          <w:sz w:val="28"/>
          <w:szCs w:val="28"/>
          <w:highlight w:val="none"/>
        </w:rPr>
        <w:t>机构及交易所债务。</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第三十条</w:t>
      </w:r>
      <w:r>
        <w:rPr>
          <w:rFonts w:hint="eastAsia" w:ascii="宋体" w:hAnsi="宋体"/>
          <w:sz w:val="28"/>
          <w:szCs w:val="28"/>
          <w:highlight w:val="none"/>
        </w:rPr>
        <w:t xml:space="preserve"> 存管银行应当拒绝任何其他单位或个人对交易所专用结算账户内资金进行非法冻结、扣划；如有其他单位拟对会员专用资金账户采取冻结等影响保证金存管业务的措施时，存管银行应当及时通知交易所。</w:t>
      </w:r>
    </w:p>
    <w:p>
      <w:pPr>
        <w:spacing w:afterLines="50" w:line="360" w:lineRule="auto"/>
        <w:jc w:val="center"/>
        <w:rPr>
          <w:rFonts w:ascii="黑体" w:hAnsi="黑体" w:eastAsia="黑体"/>
          <w:sz w:val="32"/>
          <w:szCs w:val="32"/>
          <w:highlight w:val="none"/>
        </w:rPr>
      </w:pPr>
      <w:r>
        <w:rPr>
          <w:rFonts w:hint="eastAsia" w:ascii="黑体" w:hAnsi="黑体" w:eastAsia="黑体"/>
          <w:sz w:val="32"/>
          <w:szCs w:val="32"/>
          <w:highlight w:val="none"/>
        </w:rPr>
        <w:t>第五章 技术要求</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 xml:space="preserve">第三十一条 </w:t>
      </w:r>
      <w:r>
        <w:rPr>
          <w:rFonts w:hint="eastAsia" w:ascii="宋体" w:hAnsi="宋体"/>
          <w:sz w:val="28"/>
          <w:szCs w:val="28"/>
          <w:highlight w:val="none"/>
        </w:rPr>
        <w:t>存管银行应按照交易所相关资金划转系统接口规范完成资金划转系统建设，通过交易所的功能测试和性能测试，满足交易所相关技术规范要求。</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第三十二条</w:t>
      </w:r>
      <w:r>
        <w:rPr>
          <w:rFonts w:hint="eastAsia" w:ascii="宋体" w:hAnsi="宋体"/>
          <w:sz w:val="28"/>
          <w:szCs w:val="28"/>
          <w:highlight w:val="none"/>
        </w:rPr>
        <w:t xml:space="preserve"> 存管银行的全国集中式银期转账系统应当能够支持会员系统多点接入，满足会员银期转账系统灾备和冗余的要求。</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第三十三条</w:t>
      </w:r>
      <w:r>
        <w:rPr>
          <w:rFonts w:hint="eastAsia" w:ascii="宋体" w:hAnsi="宋体"/>
          <w:sz w:val="28"/>
          <w:szCs w:val="28"/>
          <w:highlight w:val="none"/>
        </w:rPr>
        <w:t xml:space="preserve"> 存管银行负责申请与交易所的主备通讯链路，相关网络参数由交易所统一分配。</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第三十四条</w:t>
      </w:r>
      <w:r>
        <w:rPr>
          <w:rFonts w:hint="eastAsia" w:ascii="宋体" w:hAnsi="宋体"/>
          <w:sz w:val="28"/>
          <w:szCs w:val="28"/>
          <w:highlight w:val="none"/>
        </w:rPr>
        <w:t xml:space="preserve"> 存管银行应将资金划转系统纳入技术系统的统一运维管理流程，对资金划转系统、数据链路和软硬件平台进行实时监控。</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第三十五条</w:t>
      </w:r>
      <w:r>
        <w:rPr>
          <w:rFonts w:hint="eastAsia" w:ascii="宋体" w:hAnsi="宋体"/>
          <w:sz w:val="28"/>
          <w:szCs w:val="28"/>
          <w:highlight w:val="none"/>
        </w:rPr>
        <w:t xml:space="preserve"> 资金划转系统应用或网络系统变更，存管银行应提前5个工作日通知交易所技术运维部门，并提前做好系统测试工作。</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第三十六条</w:t>
      </w:r>
      <w:r>
        <w:rPr>
          <w:rFonts w:hint="eastAsia" w:ascii="宋体" w:hAnsi="宋体"/>
          <w:sz w:val="28"/>
          <w:szCs w:val="28"/>
          <w:highlight w:val="none"/>
        </w:rPr>
        <w:t xml:space="preserve"> 存管银行应积极参与交易所组织的应急演练和联合测试。</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第三十七条</w:t>
      </w:r>
      <w:r>
        <w:rPr>
          <w:rFonts w:hint="eastAsia" w:ascii="宋体" w:hAnsi="宋体"/>
          <w:sz w:val="28"/>
          <w:szCs w:val="28"/>
          <w:highlight w:val="none"/>
        </w:rPr>
        <w:t xml:space="preserve"> 存管银行应设立7×24小时的技术应急联系人，技术应急联系人发生变更时应及时向交易所技术运维部门进行报备。</w:t>
      </w:r>
    </w:p>
    <w:p>
      <w:pPr>
        <w:spacing w:afterLines="50" w:line="360" w:lineRule="auto"/>
        <w:jc w:val="center"/>
        <w:rPr>
          <w:rFonts w:ascii="黑体" w:hAnsi="黑体" w:eastAsia="黑体"/>
          <w:sz w:val="32"/>
          <w:szCs w:val="32"/>
          <w:highlight w:val="none"/>
        </w:rPr>
      </w:pPr>
      <w:r>
        <w:rPr>
          <w:rFonts w:hint="eastAsia" w:ascii="黑体" w:hAnsi="黑体" w:eastAsia="黑体"/>
          <w:sz w:val="32"/>
          <w:szCs w:val="32"/>
          <w:highlight w:val="none"/>
        </w:rPr>
        <w:t>第六章 应急处理</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第三十八条</w:t>
      </w:r>
      <w:r>
        <w:rPr>
          <w:rFonts w:hint="eastAsia" w:ascii="宋体" w:hAnsi="宋体"/>
          <w:sz w:val="28"/>
          <w:szCs w:val="28"/>
          <w:highlight w:val="none"/>
        </w:rPr>
        <w:t xml:space="preserve"> 存管银行应建立、完善《期货保证金存管银行网络与信息安全事件应急预案》，做到职责明确、措施到位、反应快速、处置及时。</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第三十九条</w:t>
      </w:r>
      <w:r>
        <w:rPr>
          <w:rFonts w:hint="eastAsia" w:ascii="宋体" w:hAnsi="宋体"/>
          <w:sz w:val="28"/>
          <w:szCs w:val="28"/>
          <w:highlight w:val="none"/>
        </w:rPr>
        <w:t xml:space="preserve"> 交易所或者存管银行发生可能影响期货资金结算业务的业务操作失误或技术系统故障时，应当立即通知对方，并积极采取行动进行补救。 </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第四十条</w:t>
      </w:r>
      <w:r>
        <w:rPr>
          <w:rFonts w:hint="eastAsia" w:ascii="宋体" w:hAnsi="宋体"/>
          <w:sz w:val="28"/>
          <w:szCs w:val="28"/>
          <w:highlight w:val="none"/>
        </w:rPr>
        <w:t xml:space="preserve"> 资金划转系统发生故障时，发现方应当立即通知对方，双方应当积极配合并对各自系统进行检查，以确定原因、排除故障、明确责任。必要时，立即启动应急措施。</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第四十一条</w:t>
      </w:r>
      <w:r>
        <w:rPr>
          <w:rFonts w:hint="eastAsia" w:ascii="宋体" w:hAnsi="宋体"/>
          <w:sz w:val="28"/>
          <w:szCs w:val="28"/>
          <w:highlight w:val="none"/>
        </w:rPr>
        <w:t xml:space="preserve"> 存管银行发生影响期货保证金存管业务运行稳定和安全情况时，应当立即启动应急预案，尽快恢复正常运行，并将相关情况报告交易所和监控中心。</w:t>
      </w:r>
    </w:p>
    <w:p>
      <w:pPr>
        <w:spacing w:afterLines="50" w:line="360" w:lineRule="auto"/>
        <w:jc w:val="center"/>
        <w:rPr>
          <w:rFonts w:ascii="黑体" w:hAnsi="黑体" w:eastAsia="黑体"/>
          <w:sz w:val="32"/>
          <w:szCs w:val="32"/>
          <w:highlight w:val="none"/>
        </w:rPr>
      </w:pPr>
      <w:r>
        <w:rPr>
          <w:rFonts w:hint="eastAsia" w:ascii="黑体" w:hAnsi="黑体" w:eastAsia="黑体"/>
          <w:sz w:val="32"/>
          <w:szCs w:val="32"/>
          <w:highlight w:val="none"/>
        </w:rPr>
        <w:t>第七章 监督管理</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第四十二条</w:t>
      </w:r>
      <w:r>
        <w:rPr>
          <w:rFonts w:hint="eastAsia" w:ascii="宋体" w:hAnsi="宋体"/>
          <w:sz w:val="28"/>
          <w:szCs w:val="28"/>
          <w:highlight w:val="none"/>
        </w:rPr>
        <w:t xml:space="preserve"> 存管银行期货业务部门岗位设置、职责规定、部门负责人、业务联系人等发生变更时，应当于3个工作日内书面报告交易所和监控中心。</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第四十三条</w:t>
      </w:r>
      <w:r>
        <w:rPr>
          <w:rFonts w:hint="eastAsia" w:ascii="宋体" w:hAnsi="宋体"/>
          <w:sz w:val="28"/>
          <w:szCs w:val="28"/>
          <w:highlight w:val="none"/>
        </w:rPr>
        <w:t xml:space="preserve"> 存管银行出现影响该行资信状况的重大业务风险或损失时，应当于3个工作日内向交易所和监控中心报告，并提交该业务风险或损失对该行保证金存管业务的影响分析及应对措施。</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境外金融市场、资本市场发生潜在或者可预见风险的，指定存管银行应当及时向交易所通报市场风险情况，并协助做好风险防范工作。</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第四十四条</w:t>
      </w:r>
      <w:r>
        <w:rPr>
          <w:rFonts w:hint="eastAsia" w:ascii="宋体" w:hAnsi="宋体"/>
          <w:sz w:val="28"/>
          <w:szCs w:val="28"/>
          <w:highlight w:val="none"/>
        </w:rPr>
        <w:t xml:space="preserve"> 存管银行实施系统升级改造或者实施其他可能影响期货保证金存管业务的措施前，应当提前5个工作日书面通知交易所、监控中心和相关会员、境外特殊参与者，做好信息披露和系统测试工作，并制定针对性应急预案。</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第四十五条</w:t>
      </w:r>
      <w:r>
        <w:rPr>
          <w:rFonts w:hint="eastAsia" w:ascii="宋体" w:hAnsi="宋体"/>
          <w:sz w:val="28"/>
          <w:szCs w:val="28"/>
          <w:highlight w:val="none"/>
        </w:rPr>
        <w:t xml:space="preserve"> 存管银行应当在每一年度结束后1个月内，向交易所和监控中心提交期货保证金存管业务、技术运行、风险管理以及有关法律、法规、规章、政策执行情况的报告。</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第四十六条</w:t>
      </w:r>
      <w:r>
        <w:rPr>
          <w:rFonts w:hint="eastAsia" w:ascii="宋体" w:hAnsi="宋体"/>
          <w:sz w:val="28"/>
          <w:szCs w:val="28"/>
          <w:highlight w:val="none"/>
        </w:rPr>
        <w:t xml:space="preserve"> 交易所对存管银行期货保证金存管业务资格条件进行年度检查，或者根据需要进行不定期检查，存管银行应当予以配合。 </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第四十七条</w:t>
      </w:r>
      <w:r>
        <w:rPr>
          <w:rFonts w:hint="eastAsia" w:ascii="宋体" w:hAnsi="宋体"/>
          <w:sz w:val="28"/>
          <w:szCs w:val="28"/>
          <w:highlight w:val="none"/>
        </w:rPr>
        <w:t xml:space="preserve"> 交易所对存管银行进行年度考评。综合考核其开展期货保证金存管业务的时效性、安全性、准确性和流动性控制，以及系统运维、人员服务、业务运营和满意度评价等。 </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交易所可在安排存管银行的业务以及双方合作项目时，参考考评结果。 </w:t>
      </w:r>
    </w:p>
    <w:p>
      <w:pPr>
        <w:spacing w:afterLines="50" w:line="360" w:lineRule="auto"/>
        <w:jc w:val="center"/>
        <w:rPr>
          <w:rFonts w:ascii="黑体" w:hAnsi="黑体" w:eastAsia="黑体"/>
          <w:sz w:val="32"/>
          <w:szCs w:val="32"/>
          <w:highlight w:val="none"/>
        </w:rPr>
      </w:pPr>
      <w:r>
        <w:rPr>
          <w:rFonts w:hint="eastAsia" w:ascii="黑体" w:hAnsi="黑体" w:eastAsia="黑体"/>
          <w:sz w:val="32"/>
          <w:szCs w:val="32"/>
          <w:highlight w:val="none"/>
        </w:rPr>
        <w:t>第八章 违规处理</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第四十八条</w:t>
      </w:r>
      <w:r>
        <w:rPr>
          <w:rFonts w:hint="eastAsia" w:ascii="宋体" w:hAnsi="宋体"/>
          <w:sz w:val="28"/>
          <w:szCs w:val="28"/>
          <w:highlight w:val="none"/>
        </w:rPr>
        <w:t xml:space="preserve"> 存管银行出现下列情形之一,责令改正，并根据情节轻重，采取警告、通报批评、暂停新增会员的存管业务等措施：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（一）未履行本办法以及与交易所签订的业务协议规定的义务，或者违反交易所其他业务规则的；</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（二）发生影响或可能影响期货保证金存管业务的情况时，存管银行未采取有效措施，可能危及期货市场稳健运行，损害交易所会员、境外特殊参与者、境外</w:t>
      </w:r>
      <w:r>
        <w:rPr>
          <w:rFonts w:hint="eastAsia" w:ascii="宋体" w:hAnsi="宋体"/>
          <w:sz w:val="28"/>
          <w:szCs w:val="28"/>
          <w:highlight w:val="none"/>
          <w:lang w:eastAsia="zh-CN"/>
        </w:rPr>
        <w:t>中介</w:t>
      </w:r>
      <w:r>
        <w:rPr>
          <w:rFonts w:hint="eastAsia" w:ascii="宋体" w:hAnsi="宋体"/>
          <w:sz w:val="28"/>
          <w:szCs w:val="28"/>
          <w:highlight w:val="none"/>
        </w:rPr>
        <w:t>机构、客户合法权益的；</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（三）未能按照监控中心相关要求报送期货保证金安全存管业务数据的；</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（四）发生可能影响期货资金结算业务的业务操作失误或技术系统故障时，未立即通知交易所的；或未及时采取有效措施进行处理的；</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（五）不符合银行业监管机构关于资本充足率、流动性、资产负债比例等指标要求的；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（六）不配合交易所对存管银行资金结算业务进行年检或不定期检查，不按要求提交上年度存管业务总结报告或其他要求提供材料的；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（七）无故限制会员出入金的；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（八）交易所会员普遍反映存管银行服务质量不高，银期转账系统不稳定的；</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（九）交易所认定的其他情况。 </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第四十九条</w:t>
      </w:r>
      <w:r>
        <w:rPr>
          <w:rFonts w:hint="eastAsia" w:ascii="宋体" w:hAnsi="宋体"/>
          <w:sz w:val="28"/>
          <w:szCs w:val="28"/>
          <w:highlight w:val="none"/>
        </w:rPr>
        <w:t xml:space="preserve"> 存管银行出现下列情形之一的，暂停全部存管业务：</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（一）未能采取有效措施，导致交易所结算账户内的资金被冻结或扣划的；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（二）协助会员在期货保证金账户上设定担保的；</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（三）最近1个会计年度发生亏损的；</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（四）交易所认定的其他情况。</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第五十条</w:t>
      </w:r>
      <w:r>
        <w:rPr>
          <w:rFonts w:hint="eastAsia" w:ascii="宋体" w:hAnsi="宋体"/>
          <w:sz w:val="28"/>
          <w:szCs w:val="28"/>
          <w:highlight w:val="none"/>
        </w:rPr>
        <w:t xml:space="preserve"> 对于暂停期货保证金存管业务的存管银行，在整改后经交易所验收，确实具备正常开展期货保证金存管业务能力的，可以恢复其存管业务。 </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第五十一条</w:t>
      </w:r>
      <w:r>
        <w:rPr>
          <w:rFonts w:hint="eastAsia" w:ascii="宋体" w:hAnsi="宋体"/>
          <w:sz w:val="28"/>
          <w:szCs w:val="28"/>
          <w:highlight w:val="none"/>
        </w:rPr>
        <w:t xml:space="preserve"> 存管银行出现以下情形之一的，交易所可以取消其期货保证金存管业务资格：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（一）申请终止其期货保证金存管业务资格的；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（二）被依法撤销、解散或宣告破产的；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（三）被收购或兼并且丧失法人地位的；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（四）不再满足期货保证金存管业务资格的；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（五）最近3个会计年度连续发生亏损的；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（六）最近1个年度考评结果不合格，且经过规定的整改期后仍不合格的；</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（七）向交易所提供虚假材料信息的；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（八）交易所认为该存管银行存在重大风险隐患的； </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 xml:space="preserve">（九）交易所认定的其他情况。 </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第五十二条</w:t>
      </w:r>
      <w:r>
        <w:rPr>
          <w:rFonts w:hint="eastAsia" w:ascii="宋体" w:hAnsi="宋体"/>
          <w:sz w:val="28"/>
          <w:szCs w:val="28"/>
          <w:highlight w:val="none"/>
        </w:rPr>
        <w:t xml:space="preserve"> 交易所决定终止存管银行资格，应当提前10个工作日发出终止通知，上报中国证券监督管理委员会，并在交易所网站上公告。</w:t>
      </w:r>
    </w:p>
    <w:p>
      <w:pPr>
        <w:spacing w:afterLines="50" w:line="360" w:lineRule="auto"/>
        <w:ind w:firstLine="560" w:firstLineChars="200"/>
        <w:rPr>
          <w:rFonts w:ascii="宋体" w:hAnsi="宋体"/>
          <w:sz w:val="28"/>
          <w:szCs w:val="28"/>
          <w:highlight w:val="none"/>
        </w:rPr>
      </w:pPr>
      <w:r>
        <w:rPr>
          <w:rFonts w:hint="eastAsia" w:ascii="宋体" w:hAnsi="宋体"/>
          <w:sz w:val="28"/>
          <w:szCs w:val="28"/>
          <w:highlight w:val="none"/>
        </w:rPr>
        <w:t xml:space="preserve">存管银行资格终止不影响该银行业金融机构与交易所在此之前双方已经建立的法律关系，交易所有权依法与该银行业金融机构了结相关业务。 </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第五十三条</w:t>
      </w:r>
      <w:r>
        <w:rPr>
          <w:rFonts w:hint="eastAsia" w:ascii="宋体" w:hAnsi="宋体"/>
          <w:sz w:val="28"/>
          <w:szCs w:val="28"/>
          <w:highlight w:val="none"/>
        </w:rPr>
        <w:t xml:space="preserve"> 被交易所终止存管银行资格的银行业金融机构，自终止之日起3年内不得申请期货保证金存管业务资格。</w:t>
      </w:r>
    </w:p>
    <w:p>
      <w:pPr>
        <w:spacing w:afterLines="50" w:line="360" w:lineRule="auto"/>
        <w:jc w:val="center"/>
        <w:rPr>
          <w:rFonts w:ascii="黑体" w:hAnsi="黑体" w:eastAsia="黑体"/>
          <w:sz w:val="32"/>
          <w:szCs w:val="32"/>
          <w:highlight w:val="none"/>
        </w:rPr>
      </w:pPr>
      <w:r>
        <w:rPr>
          <w:rFonts w:hint="eastAsia" w:ascii="黑体" w:hAnsi="黑体" w:eastAsia="黑体"/>
          <w:sz w:val="32"/>
          <w:szCs w:val="32"/>
          <w:highlight w:val="none"/>
        </w:rPr>
        <w:t>第九章 附 则</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第五十四条</w:t>
      </w:r>
      <w:r>
        <w:rPr>
          <w:rFonts w:hint="eastAsia" w:ascii="宋体" w:hAnsi="宋体"/>
          <w:sz w:val="28"/>
          <w:szCs w:val="28"/>
          <w:highlight w:val="none"/>
        </w:rPr>
        <w:t xml:space="preserve"> 除有国家法律、法规规定，对于涉及期货保证金存管业务的任何非公开信息，存管银行保证不以任何方式向第三方披露。</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第五十五条</w:t>
      </w:r>
      <w:r>
        <w:rPr>
          <w:rFonts w:hint="eastAsia" w:ascii="宋体" w:hAnsi="宋体"/>
          <w:sz w:val="28"/>
          <w:szCs w:val="28"/>
          <w:highlight w:val="none"/>
        </w:rPr>
        <w:t xml:space="preserve"> 本办法实施前已经开展业务的存管银行，无需重新申请期货保证金存管业务资格，但应当遵守本办法的其他规定。</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第五十六条</w:t>
      </w:r>
      <w:r>
        <w:rPr>
          <w:rFonts w:hint="eastAsia" w:ascii="宋体" w:hAnsi="宋体"/>
          <w:sz w:val="28"/>
          <w:szCs w:val="28"/>
          <w:highlight w:val="none"/>
        </w:rPr>
        <w:t xml:space="preserve"> 本办法由交易所负责解释。</w:t>
      </w:r>
    </w:p>
    <w:p>
      <w:pPr>
        <w:spacing w:afterLines="50" w:line="360" w:lineRule="auto"/>
        <w:ind w:firstLine="560" w:firstLineChars="200"/>
        <w:rPr>
          <w:rFonts w:ascii="宋体" w:hAnsi="宋体"/>
          <w:sz w:val="28"/>
          <w:szCs w:val="28"/>
          <w:highlight w:val="none"/>
        </w:rPr>
      </w:pPr>
      <w:r>
        <w:rPr>
          <w:rFonts w:hint="eastAsia" w:ascii="黑体" w:hAnsi="黑体" w:eastAsia="黑体"/>
          <w:sz w:val="28"/>
          <w:szCs w:val="28"/>
          <w:highlight w:val="none"/>
        </w:rPr>
        <w:t>第五十七条</w:t>
      </w:r>
      <w:r>
        <w:rPr>
          <w:rFonts w:hint="eastAsia" w:ascii="宋体" w:hAnsi="宋体"/>
          <w:sz w:val="28"/>
          <w:szCs w:val="28"/>
          <w:highlight w:val="none"/>
        </w:rPr>
        <w:t xml:space="preserve"> 本办法自202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default" w:ascii="宋体" w:hAnsi="宋体"/>
          <w:sz w:val="28"/>
          <w:szCs w:val="28"/>
          <w:highlight w:val="none"/>
          <w:lang w:val="en-US" w:eastAsia="zh-CN"/>
        </w:rPr>
        <w:t>5</w:t>
      </w:r>
      <w:r>
        <w:rPr>
          <w:rFonts w:hint="eastAsia" w:ascii="宋体" w:hAnsi="宋体"/>
          <w:sz w:val="28"/>
          <w:szCs w:val="28"/>
          <w:highlight w:val="none"/>
        </w:rPr>
        <w:t>月</w:t>
      </w:r>
      <w:r>
        <w:rPr>
          <w:rFonts w:hint="default" w:ascii="宋体" w:hAnsi="宋体"/>
          <w:sz w:val="28"/>
          <w:szCs w:val="28"/>
          <w:highlight w:val="none"/>
          <w:lang w:val="en-US" w:eastAsia="zh-CN"/>
        </w:rPr>
        <w:t>7</w:t>
      </w:r>
      <w:r>
        <w:rPr>
          <w:rFonts w:hint="eastAsia" w:ascii="宋体" w:hAnsi="宋体"/>
          <w:sz w:val="28"/>
          <w:szCs w:val="28"/>
          <w:highlight w:val="none"/>
        </w:rPr>
        <w:t>日起实施。</w:t>
      </w:r>
    </w:p>
    <w:p>
      <w:pPr>
        <w:rPr>
          <w:rFonts w:ascii="宋体" w:hAnsi="宋体"/>
          <w:sz w:val="28"/>
          <w:szCs w:val="28"/>
          <w:highlight w:val="none"/>
        </w:rPr>
      </w:pPr>
    </w:p>
    <w:p>
      <w:pPr>
        <w:rPr>
          <w:rFonts w:ascii="宋体" w:hAnsi="宋体"/>
          <w:sz w:val="28"/>
          <w:szCs w:val="28"/>
          <w:highlight w:val="none"/>
        </w:rPr>
      </w:pPr>
    </w:p>
    <w:p>
      <w:pPr>
        <w:rPr>
          <w:rFonts w:hint="eastAsia" w:ascii="宋体" w:hAnsi="宋体"/>
          <w:sz w:val="28"/>
          <w:szCs w:val="28"/>
          <w:highlight w:val="none"/>
        </w:rPr>
        <w:sectPr>
          <w:footerReference r:id="rId3" w:type="default"/>
          <w:pgSz w:w="11906" w:h="16838"/>
          <w:pgMar w:top="1440" w:right="1800" w:bottom="1440" w:left="1800" w:header="720" w:footer="720" w:gutter="0"/>
          <w:pgNumType w:fmt="decimal"/>
          <w:cols w:space="720" w:num="1"/>
          <w:docGrid w:type="lines" w:linePitch="312" w:charSpace="0"/>
        </w:sectPr>
      </w:pPr>
    </w:p>
    <w:p>
      <w:pPr>
        <w:rPr>
          <w:rFonts w:ascii="宋体" w:hAnsi="宋体"/>
          <w:sz w:val="28"/>
          <w:szCs w:val="28"/>
          <w:highlight w:val="none"/>
        </w:rPr>
      </w:pPr>
      <w:r>
        <w:rPr>
          <w:rFonts w:hint="eastAsia" w:ascii="宋体" w:hAnsi="宋体"/>
          <w:sz w:val="28"/>
          <w:szCs w:val="28"/>
          <w:highlight w:val="none"/>
        </w:rPr>
        <w:t>附件1：</w:t>
      </w:r>
    </w:p>
    <w:p>
      <w:pPr>
        <w:jc w:val="center"/>
        <w:rPr>
          <w:rFonts w:ascii="宋体" w:hAnsi="宋体"/>
          <w:b/>
          <w:sz w:val="28"/>
          <w:szCs w:val="28"/>
          <w:highlight w:val="none"/>
        </w:rPr>
      </w:pPr>
      <w:r>
        <w:rPr>
          <w:rFonts w:hint="eastAsia" w:ascii="宋体" w:hAnsi="宋体"/>
          <w:b/>
          <w:sz w:val="28"/>
          <w:szCs w:val="28"/>
          <w:highlight w:val="none"/>
        </w:rPr>
        <w:t>期货保证金存管银行资格申请表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46"/>
        <w:gridCol w:w="2373"/>
        <w:gridCol w:w="1528"/>
        <w:gridCol w:w="1245"/>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申请人全称</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注册地址</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注册资本</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邮政编码</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法定代表人姓名</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企业法人营业执照号码</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金融业务许可证号码</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存管业务负责部门</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联系电话</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传真电话</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Merge w:val="restart"/>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p>
            <w:pPr>
              <w:rPr>
                <w:rFonts w:ascii="宋体" w:hAnsi="宋体"/>
                <w:sz w:val="24"/>
                <w:highlight w:val="none"/>
              </w:rPr>
            </w:pPr>
            <w:r>
              <w:rPr>
                <w:rFonts w:hint="eastAsia" w:ascii="宋体" w:hAnsi="宋体"/>
                <w:sz w:val="24"/>
                <w:highlight w:val="none"/>
              </w:rPr>
              <w:t>存管行业务负责人</w:t>
            </w: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姓名</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部门及职务</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联系方式</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河南分行业务负责人</w:t>
            </w: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姓名</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部门及职务</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联系方式</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河南分行技术负责人</w:t>
            </w: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姓名</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部门及职务</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联系方式</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指定网点上级机构业务负责人</w:t>
            </w: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姓名</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部门及职务</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联系方式</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经办人姓名</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经办人身份证号码</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经办人联系电话</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r>
              <w:rPr>
                <w:rFonts w:hint="eastAsia" w:ascii="宋体" w:hAnsi="宋体"/>
                <w:sz w:val="24"/>
                <w:highlight w:val="none"/>
              </w:rPr>
              <w:t>申请人基本财务状况及其他情况</w:t>
            </w:r>
          </w:p>
        </w:tc>
        <w:tc>
          <w:tcPr>
            <w:tcW w:w="3119" w:type="dxa"/>
            <w:gridSpan w:val="2"/>
            <w:vMerge w:val="restart"/>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 xml:space="preserve">  </w:t>
            </w:r>
          </w:p>
          <w:p>
            <w:pPr>
              <w:rPr>
                <w:rFonts w:ascii="宋体" w:hAnsi="宋体"/>
                <w:sz w:val="24"/>
                <w:highlight w:val="none"/>
              </w:rPr>
            </w:pPr>
            <w:r>
              <w:rPr>
                <w:rFonts w:hint="eastAsia" w:ascii="宋体" w:hAnsi="宋体"/>
                <w:sz w:val="24"/>
                <w:highlight w:val="none"/>
              </w:rPr>
              <w:t>上一年度期末（经审计）</w:t>
            </w:r>
          </w:p>
          <w:p>
            <w:pPr>
              <w:rPr>
                <w:rFonts w:ascii="宋体" w:hAnsi="宋体"/>
                <w:sz w:val="24"/>
                <w:highlight w:val="none"/>
              </w:rPr>
            </w:pPr>
            <w:r>
              <w:rPr>
                <w:rFonts w:hint="eastAsia" w:ascii="宋体" w:hAnsi="宋体"/>
                <w:sz w:val="24"/>
                <w:highlight w:val="none"/>
              </w:rPr>
              <w:t xml:space="preserve">总资产、净资产、净资本    </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总资产：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净资产：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4019" w:type="dxa"/>
            <w:gridSpan w:val="3"/>
            <w:tcBorders>
              <w:top w:val="single" w:color="auto" w:sz="4" w:space="0"/>
              <w:left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净资本：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最近三年的净利润</w:t>
            </w:r>
          </w:p>
        </w:tc>
        <w:tc>
          <w:tcPr>
            <w:tcW w:w="152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最近三年资本充足率</w:t>
            </w:r>
          </w:p>
        </w:tc>
        <w:tc>
          <w:tcPr>
            <w:tcW w:w="152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最近三年资产负债率</w:t>
            </w:r>
          </w:p>
        </w:tc>
        <w:tc>
          <w:tcPr>
            <w:tcW w:w="152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最近三年流动比率</w:t>
            </w:r>
          </w:p>
        </w:tc>
        <w:tc>
          <w:tcPr>
            <w:tcW w:w="152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分支机构的数量</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与期货存管业务有关的内部控制制度</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3119"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其他情况说明</w:t>
            </w:r>
          </w:p>
        </w:tc>
        <w:tc>
          <w:tcPr>
            <w:tcW w:w="4019"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r>
              <w:rPr>
                <w:rFonts w:hint="eastAsia" w:ascii="宋体" w:hAnsi="宋体"/>
                <w:sz w:val="24"/>
                <w:highlight w:val="none"/>
              </w:rPr>
              <w:t>法定代表人或授权代表人（签字并盖章） 申请人盖章</w:t>
            </w:r>
          </w:p>
        </w:tc>
      </w:tr>
    </w:tbl>
    <w:p>
      <w:pPr>
        <w:rPr>
          <w:rFonts w:ascii="宋体" w:hAnsi="宋体"/>
          <w:sz w:val="28"/>
          <w:szCs w:val="28"/>
          <w:highlight w:val="none"/>
        </w:rPr>
      </w:pPr>
      <w:r>
        <w:rPr>
          <w:rFonts w:hint="eastAsia" w:ascii="宋体" w:hAnsi="宋体"/>
          <w:sz w:val="28"/>
          <w:szCs w:val="28"/>
          <w:highlight w:val="none"/>
        </w:rPr>
        <w:t xml:space="preserve">附件2： </w:t>
      </w:r>
    </w:p>
    <w:p>
      <w:pPr>
        <w:jc w:val="center"/>
        <w:rPr>
          <w:rFonts w:ascii="宋体" w:hAnsi="宋体"/>
          <w:b/>
          <w:sz w:val="32"/>
          <w:szCs w:val="32"/>
          <w:highlight w:val="none"/>
        </w:rPr>
      </w:pPr>
      <w:r>
        <w:rPr>
          <w:rFonts w:hint="eastAsia" w:ascii="宋体" w:hAnsi="宋体"/>
          <w:b/>
          <w:sz w:val="32"/>
          <w:szCs w:val="32"/>
          <w:highlight w:val="none"/>
        </w:rPr>
        <w:t>授权书</w:t>
      </w:r>
    </w:p>
    <w:p>
      <w:pPr>
        <w:rPr>
          <w:rFonts w:ascii="宋体" w:hAnsi="宋体"/>
          <w:sz w:val="28"/>
          <w:szCs w:val="28"/>
          <w:highlight w:val="none"/>
        </w:rPr>
      </w:pPr>
      <w:r>
        <w:rPr>
          <w:rFonts w:hint="eastAsia" w:ascii="宋体" w:hAnsi="宋体"/>
          <w:sz w:val="28"/>
          <w:szCs w:val="28"/>
          <w:highlight w:val="none"/>
        </w:rPr>
        <w:t xml:space="preserve">郑州商品交易所： </w:t>
      </w:r>
    </w:p>
    <w:p>
      <w:pPr>
        <w:ind w:firstLine="560" w:firstLineChars="200"/>
        <w:rPr>
          <w:rFonts w:ascii="宋体" w:hAnsi="宋体"/>
          <w:sz w:val="28"/>
          <w:szCs w:val="28"/>
          <w:highlight w:val="none"/>
        </w:rPr>
      </w:pPr>
      <w:r>
        <w:rPr>
          <w:rFonts w:hint="eastAsia" w:ascii="宋体" w:hAnsi="宋体"/>
          <w:sz w:val="28"/>
          <w:szCs w:val="28"/>
          <w:highlight w:val="none"/>
        </w:rPr>
        <w:t>特授权我行职员</w:t>
      </w:r>
      <w:r>
        <w:rPr>
          <w:rFonts w:hint="eastAsia" w:ascii="宋体" w:hAnsi="宋体"/>
          <w:sz w:val="28"/>
          <w:szCs w:val="28"/>
          <w:highlight w:val="none"/>
          <w:u w:val="single"/>
        </w:rPr>
        <w:t xml:space="preserve">         </w:t>
      </w:r>
      <w:r>
        <w:rPr>
          <w:rFonts w:hint="eastAsia" w:ascii="宋体" w:hAnsi="宋体"/>
          <w:sz w:val="28"/>
          <w:szCs w:val="28"/>
          <w:highlight w:val="none"/>
        </w:rPr>
        <w:t xml:space="preserve"> （女士/先生）（身份证号</w:t>
      </w:r>
      <w:r>
        <w:rPr>
          <w:rFonts w:hint="eastAsia" w:ascii="宋体" w:hAnsi="宋体"/>
          <w:sz w:val="28"/>
          <w:szCs w:val="28"/>
          <w:highlight w:val="none"/>
          <w:u w:val="single"/>
        </w:rPr>
        <w:t xml:space="preserve">                </w:t>
      </w:r>
      <w:r>
        <w:rPr>
          <w:rFonts w:hint="eastAsia" w:ascii="宋体" w:hAnsi="宋体"/>
          <w:sz w:val="28"/>
          <w:szCs w:val="28"/>
          <w:highlight w:val="none"/>
        </w:rPr>
        <w:t xml:space="preserve">）代表我行前往贵所办理期货保证金存管银行资格的申请事宜。其权限范围：代表我行办理与贵所期货保证金存管银行资格申请有关的全部工作，包括但不限于向贵所提出期货保证金存管银行资格申请并提交申请文件、签署与期货保证金存管银行资格申请相关的文件，接收贵所向我行提交的与期货保证金存管银行资格申请相关的文件。本授权有效期从   年  月  日到   年  月 日止。 </w:t>
      </w:r>
    </w:p>
    <w:p>
      <w:pPr>
        <w:ind w:firstLine="560" w:firstLineChars="200"/>
        <w:rPr>
          <w:rFonts w:ascii="宋体" w:hAnsi="宋体"/>
          <w:sz w:val="28"/>
          <w:szCs w:val="28"/>
          <w:highlight w:val="none"/>
        </w:rPr>
      </w:pPr>
      <w:r>
        <w:rPr>
          <w:rFonts w:hint="eastAsia" w:ascii="宋体" w:hAnsi="宋体"/>
          <w:sz w:val="28"/>
          <w:szCs w:val="28"/>
          <w:highlight w:val="none"/>
        </w:rPr>
        <w:t xml:space="preserve">特此授权。   </w:t>
      </w:r>
    </w:p>
    <w:p>
      <w:pPr>
        <w:rPr>
          <w:rFonts w:ascii="宋体" w:hAnsi="宋体"/>
          <w:sz w:val="28"/>
          <w:szCs w:val="28"/>
          <w:highlight w:val="none"/>
        </w:rPr>
      </w:pPr>
      <w:r>
        <w:rPr>
          <w:rFonts w:hint="eastAsia" w:ascii="宋体" w:hAnsi="宋体"/>
          <w:sz w:val="28"/>
          <w:szCs w:val="28"/>
          <w:highlight w:val="none"/>
        </w:rPr>
        <w:t xml:space="preserve">                   授权人：</w:t>
      </w:r>
      <w:r>
        <w:rPr>
          <w:rFonts w:hint="eastAsia" w:ascii="宋体" w:hAnsi="宋体"/>
          <w:sz w:val="28"/>
          <w:szCs w:val="28"/>
          <w:highlight w:val="none"/>
          <w:u w:val="single"/>
        </w:rPr>
        <w:t xml:space="preserve">          </w:t>
      </w:r>
      <w:r>
        <w:rPr>
          <w:rFonts w:hint="eastAsia" w:ascii="宋体" w:hAnsi="宋体"/>
          <w:sz w:val="28"/>
          <w:szCs w:val="28"/>
          <w:highlight w:val="none"/>
        </w:rPr>
        <w:t xml:space="preserve"> 银行（盖章） </w:t>
      </w:r>
    </w:p>
    <w:p>
      <w:pPr>
        <w:rPr>
          <w:rFonts w:ascii="宋体" w:hAnsi="宋体"/>
          <w:sz w:val="28"/>
          <w:szCs w:val="28"/>
          <w:highlight w:val="none"/>
        </w:rPr>
      </w:pPr>
      <w:r>
        <w:rPr>
          <w:rFonts w:hint="eastAsia" w:ascii="宋体" w:hAnsi="宋体"/>
          <w:sz w:val="28"/>
          <w:szCs w:val="28"/>
          <w:highlight w:val="none"/>
        </w:rPr>
        <w:t xml:space="preserve">                 法定代表人：</w:t>
      </w:r>
      <w:r>
        <w:rPr>
          <w:rFonts w:hint="eastAsia" w:ascii="宋体" w:hAnsi="宋体"/>
          <w:sz w:val="28"/>
          <w:szCs w:val="28"/>
          <w:highlight w:val="none"/>
          <w:u w:val="single"/>
        </w:rPr>
        <w:t xml:space="preserve">          </w:t>
      </w:r>
      <w:r>
        <w:rPr>
          <w:rFonts w:hint="eastAsia" w:ascii="宋体" w:hAnsi="宋体"/>
          <w:sz w:val="28"/>
          <w:szCs w:val="28"/>
          <w:highlight w:val="none"/>
        </w:rPr>
        <w:t xml:space="preserve"> （签字并盖章） </w:t>
      </w:r>
    </w:p>
    <w:p>
      <w:pPr>
        <w:rPr>
          <w:rFonts w:ascii="宋体" w:hAnsi="宋体"/>
          <w:sz w:val="28"/>
          <w:szCs w:val="28"/>
          <w:highlight w:val="none"/>
        </w:rPr>
      </w:pPr>
      <w:r>
        <w:rPr>
          <w:rFonts w:hint="eastAsia" w:ascii="宋体" w:hAnsi="宋体"/>
          <w:sz w:val="28"/>
          <w:szCs w:val="28"/>
          <w:highlight w:val="none"/>
        </w:rPr>
        <w:t xml:space="preserve">                                     年   月   日 </w:t>
      </w:r>
    </w:p>
    <w:p>
      <w:pPr>
        <w:outlineLvl w:val="0"/>
        <w:rPr>
          <w:rFonts w:hint="eastAsia" w:ascii="黑体" w:hAnsi="黑体" w:eastAsia="黑体"/>
          <w:sz w:val="32"/>
          <w:szCs w:val="32"/>
          <w:highlight w:val="none"/>
          <w:lang w:val="en-US" w:eastAsia="zh-CN"/>
        </w:rPr>
      </w:pPr>
    </w:p>
    <w:p>
      <w:pPr>
        <w:outlineLvl w:val="0"/>
        <w:rPr>
          <w:rFonts w:hint="eastAsia" w:ascii="黑体" w:hAnsi="黑体" w:eastAsia="黑体"/>
          <w:sz w:val="32"/>
          <w:szCs w:val="32"/>
          <w:highlight w:val="none"/>
          <w:lang w:val="en-US" w:eastAsia="zh-CN"/>
        </w:rPr>
      </w:pPr>
    </w:p>
    <w:p>
      <w:pPr>
        <w:rPr>
          <w:highlight w:val="none"/>
        </w:rPr>
      </w:pPr>
    </w:p>
    <w:p>
      <w:pPr>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br w:type="page"/>
      </w:r>
      <w:r>
        <w:rPr>
          <w:rFonts w:hint="eastAsia" w:ascii="黑体" w:hAnsi="黑体" w:eastAsia="黑体" w:cs="黑体"/>
          <w:sz w:val="32"/>
          <w:szCs w:val="32"/>
          <w:highlight w:val="none"/>
          <w:lang w:val="en-US" w:eastAsia="zh-CN"/>
        </w:rPr>
        <w:t>附件8</w:t>
      </w:r>
    </w:p>
    <w:p>
      <w:pPr>
        <w:spacing w:before="240" w:after="240"/>
        <w:jc w:val="center"/>
        <w:rPr>
          <w:rFonts w:hint="eastAsia" w:ascii="黑体" w:hAnsi="黑体" w:eastAsia="黑体" w:cs="黑体"/>
          <w:sz w:val="40"/>
          <w:szCs w:val="40"/>
          <w:highlight w:val="none"/>
          <w:lang w:val="en-US" w:eastAsia="zh-CN"/>
        </w:rPr>
      </w:pPr>
      <w:r>
        <w:rPr>
          <w:rFonts w:hint="eastAsia" w:ascii="黑体" w:hAnsi="黑体" w:eastAsia="黑体" w:cs="黑体"/>
          <w:sz w:val="40"/>
          <w:szCs w:val="40"/>
          <w:highlight w:val="none"/>
          <w:lang w:val="en-US" w:eastAsia="zh-CN"/>
        </w:rPr>
        <w:t>郑州商品交易所期货交割管理办法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对《郑州商品交易所期货交割管理办法》作如下修订：</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将第一章第五条修订为：“会员的客户、委托会员结算的境外特殊参与者、委托会员交易结算的境外中介机构应当通过委托会员在交易所办理交割。</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“境外特殊经纪参与者、境外中介机构的客户，应当分别通过该境外特殊经纪参与者、境外中介机构办理交割。”</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七条修订为：“交易所上市的商品期货合约的交割业务按本办法进行，交易所、会员、客户、境外特殊参与者、境外中介机构、交割仓库（以下简称仓库）、交割厂库（以下简称厂库）、车（船）板交割服务机构、指定检验机构等交割业务参与者应当遵守本办法。”</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十条修订为：“最后交易日闭市前，非期货公司会员、境外特殊非经纪参与者和客户可以对其同一交易编码下的该交割月买卖持仓提出不自动平仓申请；未在规定时间内提出的，最后交易日闭市后，其相对应部分买卖持仓由计算机系统自动平仓，平仓价按当日结算价计算。其他未平仓合约，一律视为交割合约。”</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将第四章第三十六条修订为：“交易所发现会员、境外特殊参与者、境外中介机构或者客户在期转现业务中弄虚作假的，按照《郑州商品交易所违规处理办法》有关规定进行处理。”</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将五章第三十七条修订为：“进行实物交割的双方应当分别向交易所交纳交割手续费。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“客户、非期货公司会员、境外特殊非经纪参与者、仓库及厂库等根据相关品种期货业务细则有关规定，分别承担交割环节的各项费用。”</w:t>
      </w:r>
    </w:p>
    <w:p>
      <w:pPr>
        <w:widowControl/>
        <w:jc w:val="center"/>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sz w:val="40"/>
          <w:szCs w:val="40"/>
          <w:highlight w:val="none"/>
          <w:lang w:eastAsia="zh-CN"/>
        </w:rPr>
        <w:t>《</w:t>
      </w:r>
      <w:r>
        <w:rPr>
          <w:rFonts w:hint="eastAsia" w:ascii="方正小标宋简体" w:hAnsi="方正小标宋简体" w:eastAsia="方正小标宋简体" w:cs="方正小标宋简体"/>
          <w:b w:val="0"/>
          <w:bCs/>
          <w:sz w:val="40"/>
          <w:szCs w:val="40"/>
          <w:highlight w:val="none"/>
        </w:rPr>
        <w:t>郑州商品交易所期货交割管理办法》</w:t>
      </w:r>
    </w:p>
    <w:p>
      <w:pPr>
        <w:widowControl/>
        <w:jc w:val="center"/>
        <w:rPr>
          <w:rFonts w:hint="eastAsia" w:ascii="方正小标宋简体" w:hAnsi="方正小标宋简体" w:eastAsia="方正小标宋简体" w:cs="方正小标宋简体"/>
          <w:b/>
          <w:color w:val="000000"/>
          <w:sz w:val="40"/>
          <w:szCs w:val="40"/>
          <w:highlight w:val="none"/>
          <w:lang w:val="en-US" w:eastAsia="zh-CN"/>
        </w:rPr>
      </w:pPr>
      <w:r>
        <w:rPr>
          <w:rFonts w:hint="eastAsia" w:ascii="方正小标宋简体" w:hAnsi="方正小标宋简体" w:eastAsia="方正小标宋简体" w:cs="方正小标宋简体"/>
          <w:b w:val="0"/>
          <w:bCs/>
          <w:sz w:val="40"/>
          <w:szCs w:val="40"/>
          <w:highlight w:val="none"/>
        </w:rPr>
        <w:t>修订对照表</w:t>
      </w:r>
    </w:p>
    <w:p>
      <w:pPr>
        <w:widowControl/>
        <w:spacing w:line="276" w:lineRule="auto"/>
        <w:jc w:val="center"/>
        <w:outlineLvl w:val="0"/>
        <w:rPr>
          <w:rFonts w:hint="eastAsia" w:ascii="仿宋" w:hAnsi="仿宋" w:eastAsia="仿宋" w:cs="仿宋"/>
          <w:color w:val="000000"/>
          <w:kern w:val="0"/>
          <w:sz w:val="32"/>
          <w:szCs w:val="32"/>
          <w:highlight w:val="none"/>
        </w:rPr>
      </w:pPr>
      <w:r>
        <w:rPr>
          <w:rFonts w:hint="eastAsia" w:ascii="仿宋" w:hAnsi="仿宋" w:eastAsia="仿宋" w:cs="Calibri"/>
          <w:sz w:val="32"/>
          <w:szCs w:val="32"/>
          <w:highlight w:val="none"/>
        </w:rPr>
        <w:t>（删除线部分为删除，下划线加粗部分为修改增加）</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2"/>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59" w:type="pct"/>
            <w:noWrap w:val="0"/>
            <w:vAlign w:val="center"/>
          </w:tcPr>
          <w:p>
            <w:pPr>
              <w:snapToGrid w:val="0"/>
              <w:spacing w:line="276" w:lineRule="auto"/>
              <w:jc w:val="center"/>
              <w:rPr>
                <w:rFonts w:ascii="仿宋" w:hAnsi="仿宋" w:eastAsia="仿宋" w:cs="Calibri"/>
                <w:b/>
                <w:bCs/>
                <w:color w:val="000000"/>
                <w:sz w:val="24"/>
                <w:highlight w:val="none"/>
              </w:rPr>
            </w:pPr>
            <w:r>
              <w:rPr>
                <w:rFonts w:hint="eastAsia" w:ascii="仿宋" w:hAnsi="仿宋" w:eastAsia="仿宋"/>
                <w:b/>
                <w:bCs/>
                <w:color w:val="000000"/>
                <w:sz w:val="24"/>
                <w:highlight w:val="none"/>
                <w:lang w:eastAsia="zh-CN"/>
              </w:rPr>
              <w:t>修订前</w:t>
            </w:r>
            <w:r>
              <w:rPr>
                <w:rFonts w:hint="eastAsia" w:ascii="仿宋" w:hAnsi="仿宋" w:eastAsia="仿宋"/>
                <w:b/>
                <w:bCs/>
                <w:color w:val="000000"/>
                <w:sz w:val="24"/>
                <w:highlight w:val="none"/>
              </w:rPr>
              <w:t>条文</w:t>
            </w:r>
          </w:p>
        </w:tc>
        <w:tc>
          <w:tcPr>
            <w:tcW w:w="2341" w:type="pct"/>
            <w:noWrap w:val="0"/>
            <w:vAlign w:val="center"/>
          </w:tcPr>
          <w:p>
            <w:pPr>
              <w:snapToGrid w:val="0"/>
              <w:spacing w:line="276" w:lineRule="auto"/>
              <w:jc w:val="center"/>
              <w:rPr>
                <w:rFonts w:ascii="仿宋" w:hAnsi="仿宋" w:eastAsia="仿宋" w:cs="Calibri"/>
                <w:b/>
                <w:bCs/>
                <w:color w:val="000000"/>
                <w:sz w:val="24"/>
                <w:highlight w:val="none"/>
              </w:rPr>
            </w:pPr>
            <w:r>
              <w:rPr>
                <w:rFonts w:hint="eastAsia" w:ascii="仿宋" w:hAnsi="仿宋" w:eastAsia="仿宋"/>
                <w:b/>
                <w:bCs/>
                <w:color w:val="000000"/>
                <w:sz w:val="24"/>
                <w:highlight w:val="none"/>
              </w:rPr>
              <w:t>修订</w:t>
            </w:r>
            <w:r>
              <w:rPr>
                <w:rFonts w:hint="eastAsia" w:ascii="仿宋" w:hAnsi="仿宋" w:eastAsia="仿宋"/>
                <w:b/>
                <w:bCs/>
                <w:color w:val="000000"/>
                <w:sz w:val="24"/>
                <w:highlight w:val="none"/>
                <w:lang w:eastAsia="zh-CN"/>
              </w:rPr>
              <w:t>后</w:t>
            </w:r>
            <w:r>
              <w:rPr>
                <w:rFonts w:hint="eastAsia" w:ascii="仿宋" w:hAnsi="仿宋" w:eastAsia="仿宋"/>
                <w:b/>
                <w:bCs/>
                <w:color w:val="000000"/>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pct"/>
            <w:noWrap w:val="0"/>
            <w:vAlign w:val="top"/>
          </w:tcPr>
          <w:p>
            <w:pPr>
              <w:snapToGrid w:val="0"/>
              <w:spacing w:before="240"/>
              <w:ind w:firstLine="481" w:firstLineChars="200"/>
              <w:rPr>
                <w:rFonts w:hint="eastAsia" w:ascii="仿宋" w:hAnsi="仿宋" w:eastAsia="仿宋"/>
                <w:color w:val="000000"/>
                <w:kern w:val="0"/>
                <w:sz w:val="24"/>
                <w:highlight w:val="none"/>
              </w:rPr>
            </w:pPr>
            <w:r>
              <w:rPr>
                <w:rFonts w:hint="eastAsia" w:ascii="仿宋" w:hAnsi="仿宋" w:eastAsia="仿宋"/>
                <w:b/>
                <w:color w:val="000000"/>
                <w:kern w:val="0"/>
                <w:sz w:val="24"/>
                <w:highlight w:val="none"/>
              </w:rPr>
              <w:t xml:space="preserve">第五条 </w:t>
            </w:r>
            <w:r>
              <w:rPr>
                <w:rFonts w:hint="eastAsia" w:ascii="仿宋" w:hAnsi="仿宋" w:eastAsia="仿宋"/>
                <w:color w:val="000000"/>
                <w:kern w:val="0"/>
                <w:sz w:val="24"/>
                <w:highlight w:val="none"/>
              </w:rPr>
              <w:t>客户的实物交割应当委托会员办理，并以会员名义在交易所进行，交割结果由客户承担。</w:t>
            </w:r>
          </w:p>
          <w:p>
            <w:pPr>
              <w:snapToGrid w:val="0"/>
              <w:spacing w:before="240"/>
              <w:ind w:firstLine="480" w:firstLineChars="200"/>
              <w:rPr>
                <w:rFonts w:ascii="仿宋" w:hAnsi="仿宋" w:eastAsia="仿宋"/>
                <w:color w:val="000000"/>
                <w:sz w:val="24"/>
                <w:highlight w:val="none"/>
              </w:rPr>
            </w:pPr>
            <w:r>
              <w:rPr>
                <w:rFonts w:hint="eastAsia" w:ascii="仿宋" w:hAnsi="仿宋" w:eastAsia="仿宋"/>
                <w:color w:val="000000"/>
                <w:kern w:val="0"/>
                <w:sz w:val="24"/>
                <w:highlight w:val="none"/>
              </w:rPr>
              <w:t>委托境外经纪机构从事期货交易的客户的交割应当委托其境外经纪机构办理，境外经纪机构再委托会员办理，以会员名义在交易所进行。</w:t>
            </w:r>
          </w:p>
        </w:tc>
        <w:tc>
          <w:tcPr>
            <w:tcW w:w="2341" w:type="pct"/>
            <w:noWrap w:val="0"/>
            <w:vAlign w:val="top"/>
          </w:tcPr>
          <w:p>
            <w:pPr>
              <w:widowControl/>
              <w:shd w:val="clear" w:color="auto" w:fill="FFFFFF"/>
              <w:spacing w:after="150"/>
              <w:ind w:firstLine="480"/>
              <w:jc w:val="left"/>
              <w:rPr>
                <w:rFonts w:ascii="仿宋" w:hAnsi="仿宋" w:eastAsia="仿宋"/>
                <w:color w:val="000000"/>
                <w:kern w:val="0"/>
                <w:sz w:val="24"/>
                <w:highlight w:val="none"/>
              </w:rPr>
            </w:pPr>
            <w:r>
              <w:rPr>
                <w:rFonts w:ascii="仿宋" w:hAnsi="仿宋" w:eastAsia="仿宋"/>
                <w:b/>
                <w:color w:val="000000"/>
                <w:kern w:val="0"/>
                <w:sz w:val="24"/>
                <w:highlight w:val="none"/>
              </w:rPr>
              <w:t>第</w:t>
            </w:r>
            <w:r>
              <w:rPr>
                <w:rFonts w:hint="eastAsia" w:ascii="仿宋" w:hAnsi="仿宋" w:eastAsia="仿宋"/>
                <w:b/>
                <w:color w:val="000000"/>
                <w:kern w:val="0"/>
                <w:sz w:val="24"/>
                <w:highlight w:val="none"/>
                <w:lang w:eastAsia="zh-CN"/>
              </w:rPr>
              <w:t>五</w:t>
            </w:r>
            <w:r>
              <w:rPr>
                <w:rFonts w:ascii="仿宋" w:hAnsi="仿宋" w:eastAsia="仿宋"/>
                <w:b/>
                <w:color w:val="000000"/>
                <w:kern w:val="0"/>
                <w:sz w:val="24"/>
                <w:highlight w:val="none"/>
              </w:rPr>
              <w:t>条</w:t>
            </w:r>
            <w:r>
              <w:rPr>
                <w:rFonts w:ascii="仿宋" w:hAnsi="仿宋" w:eastAsia="仿宋"/>
                <w:color w:val="000000"/>
                <w:kern w:val="0"/>
                <w:sz w:val="24"/>
                <w:highlight w:val="none"/>
              </w:rPr>
              <w:t xml:space="preserve"> </w:t>
            </w:r>
            <w:r>
              <w:rPr>
                <w:rFonts w:hint="eastAsia" w:ascii="仿宋" w:hAnsi="仿宋" w:eastAsia="仿宋"/>
                <w:b/>
                <w:bCs/>
                <w:color w:val="000000"/>
                <w:kern w:val="0"/>
                <w:sz w:val="24"/>
                <w:highlight w:val="none"/>
                <w:u w:val="single"/>
              </w:rPr>
              <w:t>会员的</w:t>
            </w:r>
            <w:r>
              <w:rPr>
                <w:rFonts w:hint="eastAsia" w:ascii="仿宋" w:hAnsi="仿宋" w:eastAsia="仿宋"/>
                <w:color w:val="000000"/>
                <w:kern w:val="0"/>
                <w:sz w:val="24"/>
                <w:highlight w:val="none"/>
              </w:rPr>
              <w:t>客户</w:t>
            </w:r>
            <w:r>
              <w:rPr>
                <w:rFonts w:hint="eastAsia" w:ascii="仿宋" w:hAnsi="仿宋" w:eastAsia="仿宋"/>
                <w:b/>
                <w:bCs/>
                <w:color w:val="000000"/>
                <w:kern w:val="0"/>
                <w:sz w:val="24"/>
                <w:highlight w:val="none"/>
                <w:u w:val="single"/>
              </w:rPr>
              <w:t>、委托会员结算的境外特殊参与者、委托会员交易结算的境外中介机构</w:t>
            </w:r>
            <w:r>
              <w:rPr>
                <w:rFonts w:hint="eastAsia" w:ascii="仿宋" w:hAnsi="仿宋" w:eastAsia="仿宋"/>
                <w:dstrike/>
                <w:color w:val="000000"/>
                <w:kern w:val="0"/>
                <w:sz w:val="24"/>
                <w:highlight w:val="none"/>
              </w:rPr>
              <w:t>的实物交割</w:t>
            </w:r>
            <w:r>
              <w:rPr>
                <w:rFonts w:hint="eastAsia" w:ascii="仿宋" w:hAnsi="仿宋" w:eastAsia="仿宋"/>
                <w:color w:val="000000"/>
                <w:kern w:val="0"/>
                <w:sz w:val="24"/>
                <w:highlight w:val="none"/>
              </w:rPr>
              <w:t>应当</w:t>
            </w:r>
            <w:r>
              <w:rPr>
                <w:rFonts w:hint="eastAsia" w:ascii="仿宋" w:hAnsi="仿宋" w:eastAsia="仿宋"/>
                <w:b/>
                <w:bCs/>
                <w:color w:val="000000"/>
                <w:kern w:val="0"/>
                <w:sz w:val="24"/>
                <w:highlight w:val="none"/>
                <w:u w:val="single"/>
              </w:rPr>
              <w:t>通过</w:t>
            </w:r>
            <w:r>
              <w:rPr>
                <w:rFonts w:hint="eastAsia" w:ascii="仿宋" w:hAnsi="仿宋" w:eastAsia="仿宋"/>
                <w:color w:val="000000"/>
                <w:kern w:val="0"/>
                <w:sz w:val="24"/>
                <w:highlight w:val="none"/>
              </w:rPr>
              <w:t>委托会员</w:t>
            </w:r>
            <w:r>
              <w:rPr>
                <w:rFonts w:hint="eastAsia" w:ascii="仿宋" w:hAnsi="仿宋" w:eastAsia="仿宋"/>
                <w:b/>
                <w:bCs/>
                <w:color w:val="000000"/>
                <w:kern w:val="0"/>
                <w:sz w:val="24"/>
                <w:highlight w:val="none"/>
                <w:u w:val="single"/>
              </w:rPr>
              <w:t>在交易所办理交割</w:t>
            </w:r>
            <w:r>
              <w:rPr>
                <w:rFonts w:hint="eastAsia" w:ascii="仿宋" w:hAnsi="仿宋" w:eastAsia="仿宋"/>
                <w:dstrike/>
                <w:color w:val="000000"/>
                <w:kern w:val="0"/>
                <w:sz w:val="24"/>
                <w:highlight w:val="none"/>
              </w:rPr>
              <w:t>办理，并以会员名义在交易所进行，交割结果由客户承担</w:t>
            </w:r>
            <w:r>
              <w:rPr>
                <w:rFonts w:hint="eastAsia" w:ascii="仿宋" w:hAnsi="仿宋" w:eastAsia="仿宋"/>
                <w:color w:val="000000"/>
                <w:kern w:val="0"/>
                <w:sz w:val="24"/>
                <w:highlight w:val="none"/>
              </w:rPr>
              <w:t>。</w:t>
            </w:r>
          </w:p>
          <w:p>
            <w:pPr>
              <w:widowControl/>
              <w:shd w:val="clear" w:color="auto" w:fill="FFFFFF"/>
              <w:spacing w:after="150"/>
              <w:ind w:firstLine="480"/>
              <w:jc w:val="left"/>
              <w:rPr>
                <w:rFonts w:hint="eastAsia" w:ascii="仿宋" w:hAnsi="仿宋" w:eastAsia="仿宋"/>
                <w:color w:val="000000"/>
                <w:kern w:val="0"/>
                <w:sz w:val="24"/>
                <w:highlight w:val="none"/>
                <w:u w:val="single"/>
              </w:rPr>
            </w:pPr>
            <w:r>
              <w:rPr>
                <w:rFonts w:hint="eastAsia" w:ascii="仿宋" w:hAnsi="仿宋" w:eastAsia="仿宋"/>
                <w:b/>
                <w:bCs/>
                <w:color w:val="000000"/>
                <w:kern w:val="0"/>
                <w:sz w:val="24"/>
                <w:highlight w:val="none"/>
                <w:u w:val="single"/>
              </w:rPr>
              <w:t>境外特殊经纪参与者、境外中介机构的客户，应当分别通过该境外特殊经纪参与者、境外中介机构办理交割。</w:t>
            </w:r>
          </w:p>
          <w:p>
            <w:pPr>
              <w:widowControl/>
              <w:shd w:val="clear" w:color="auto" w:fill="FFFFFF"/>
              <w:spacing w:after="150"/>
              <w:ind w:firstLine="480"/>
              <w:jc w:val="left"/>
              <w:rPr>
                <w:rFonts w:hint="eastAsia" w:ascii="仿宋" w:hAnsi="仿宋" w:eastAsia="仿宋"/>
                <w:dstrike/>
                <w:color w:val="000000"/>
                <w:kern w:val="0"/>
                <w:sz w:val="24"/>
                <w:highlight w:val="none"/>
              </w:rPr>
            </w:pPr>
            <w:r>
              <w:rPr>
                <w:rFonts w:hint="eastAsia" w:ascii="仿宋" w:hAnsi="仿宋" w:eastAsia="仿宋"/>
                <w:dstrike/>
                <w:color w:val="000000"/>
                <w:kern w:val="0"/>
                <w:sz w:val="24"/>
                <w:highlight w:val="none"/>
              </w:rPr>
              <w:t>委托境外经纪机构从事期货交易的客户的交割应当委托其境外经纪机构办理，境外经纪机构再委托会员办理，以会员名义在交易所进行。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pct"/>
            <w:noWrap w:val="0"/>
            <w:vAlign w:val="top"/>
          </w:tcPr>
          <w:p>
            <w:pPr>
              <w:tabs>
                <w:tab w:val="left" w:pos="2716"/>
              </w:tabs>
              <w:snapToGrid w:val="0"/>
              <w:ind w:firstLine="481" w:firstLineChars="200"/>
              <w:rPr>
                <w:rFonts w:ascii="仿宋" w:hAnsi="仿宋" w:eastAsia="仿宋"/>
                <w:color w:val="000000"/>
                <w:kern w:val="0"/>
                <w:sz w:val="24"/>
                <w:highlight w:val="none"/>
              </w:rPr>
            </w:pPr>
            <w:r>
              <w:rPr>
                <w:rFonts w:hint="eastAsia" w:ascii="仿宋" w:hAnsi="仿宋" w:eastAsia="仿宋"/>
                <w:b/>
                <w:color w:val="000000"/>
                <w:kern w:val="0"/>
                <w:sz w:val="24"/>
                <w:highlight w:val="none"/>
              </w:rPr>
              <w:t xml:space="preserve">第七条 </w:t>
            </w:r>
            <w:r>
              <w:rPr>
                <w:rFonts w:hint="eastAsia" w:ascii="仿宋" w:hAnsi="仿宋" w:eastAsia="仿宋"/>
                <w:color w:val="000000"/>
                <w:kern w:val="0"/>
                <w:sz w:val="24"/>
                <w:highlight w:val="none"/>
              </w:rPr>
              <w:t>交易所上市的商品期货合约的交割业务按本办法进行，交易所、会员、客户、境外经纪机构、交割仓库（以下简称仓库）、交割厂库（以下简称厂库）、车（船）板交割服务机构、指定检验机构等交割业务参与者应当遵守本办法。</w:t>
            </w:r>
          </w:p>
        </w:tc>
        <w:tc>
          <w:tcPr>
            <w:tcW w:w="2341" w:type="pct"/>
            <w:noWrap w:val="0"/>
            <w:vAlign w:val="top"/>
          </w:tcPr>
          <w:p>
            <w:pPr>
              <w:tabs>
                <w:tab w:val="left" w:pos="2716"/>
              </w:tabs>
              <w:snapToGrid w:val="0"/>
              <w:ind w:firstLine="481" w:firstLineChars="200"/>
              <w:rPr>
                <w:rFonts w:hint="eastAsia" w:ascii="仿宋" w:hAnsi="仿宋" w:eastAsia="仿宋"/>
                <w:color w:val="000000"/>
                <w:sz w:val="24"/>
                <w:highlight w:val="none"/>
              </w:rPr>
            </w:pPr>
            <w:r>
              <w:rPr>
                <w:rFonts w:hint="eastAsia" w:ascii="仿宋" w:hAnsi="仿宋" w:eastAsia="仿宋"/>
                <w:b/>
                <w:color w:val="000000"/>
                <w:kern w:val="0"/>
                <w:sz w:val="24"/>
                <w:highlight w:val="none"/>
              </w:rPr>
              <w:t xml:space="preserve">第七条 </w:t>
            </w:r>
            <w:r>
              <w:rPr>
                <w:rFonts w:hint="eastAsia" w:ascii="仿宋" w:hAnsi="仿宋" w:eastAsia="仿宋"/>
                <w:color w:val="000000"/>
                <w:kern w:val="0"/>
                <w:sz w:val="24"/>
                <w:highlight w:val="none"/>
              </w:rPr>
              <w:t>交易所上市的商品期货合约的交割业务按本办法进行，交易所、会员、客户、</w:t>
            </w:r>
            <w:r>
              <w:rPr>
                <w:rFonts w:hint="eastAsia" w:ascii="仿宋" w:hAnsi="仿宋" w:eastAsia="仿宋"/>
                <w:b/>
                <w:bCs/>
                <w:color w:val="000000"/>
                <w:kern w:val="0"/>
                <w:sz w:val="24"/>
                <w:highlight w:val="none"/>
                <w:u w:val="single"/>
              </w:rPr>
              <w:t>境外特殊参与者、</w:t>
            </w:r>
            <w:r>
              <w:rPr>
                <w:rFonts w:hint="eastAsia" w:ascii="仿宋" w:hAnsi="仿宋" w:eastAsia="仿宋"/>
                <w:color w:val="000000"/>
                <w:kern w:val="0"/>
                <w:sz w:val="24"/>
                <w:highlight w:val="none"/>
              </w:rPr>
              <w:t>境外</w:t>
            </w:r>
            <w:r>
              <w:rPr>
                <w:rFonts w:hint="eastAsia" w:ascii="仿宋" w:hAnsi="仿宋" w:eastAsia="仿宋"/>
                <w:dstrike/>
                <w:color w:val="000000"/>
                <w:kern w:val="0"/>
                <w:sz w:val="24"/>
                <w:highlight w:val="none"/>
              </w:rPr>
              <w:t>经纪</w:t>
            </w:r>
            <w:r>
              <w:rPr>
                <w:rFonts w:hint="eastAsia" w:ascii="仿宋" w:hAnsi="仿宋" w:eastAsia="仿宋"/>
                <w:b/>
                <w:bCs/>
                <w:color w:val="000000"/>
                <w:kern w:val="0"/>
                <w:sz w:val="24"/>
                <w:highlight w:val="none"/>
                <w:u w:val="single"/>
              </w:rPr>
              <w:t>中介</w:t>
            </w:r>
            <w:r>
              <w:rPr>
                <w:rFonts w:hint="eastAsia" w:ascii="仿宋" w:hAnsi="仿宋" w:eastAsia="仿宋"/>
                <w:color w:val="000000"/>
                <w:kern w:val="0"/>
                <w:sz w:val="24"/>
                <w:highlight w:val="none"/>
              </w:rPr>
              <w:t>机构、交割仓库（以下简称仓库）、交割厂库（以下简称厂库）、车（船）板交割服务机构、指定检验机构等交割业务参与者应当遵守本办法。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pct"/>
            <w:noWrap w:val="0"/>
            <w:vAlign w:val="top"/>
          </w:tcPr>
          <w:p>
            <w:pPr>
              <w:tabs>
                <w:tab w:val="left" w:pos="2716"/>
              </w:tabs>
              <w:snapToGrid w:val="0"/>
              <w:ind w:firstLine="481" w:firstLineChars="200"/>
              <w:rPr>
                <w:rFonts w:ascii="仿宋" w:hAnsi="仿宋" w:eastAsia="仿宋"/>
                <w:b/>
                <w:color w:val="000000"/>
                <w:kern w:val="0"/>
                <w:sz w:val="24"/>
                <w:highlight w:val="none"/>
              </w:rPr>
            </w:pPr>
            <w:r>
              <w:rPr>
                <w:rFonts w:hint="eastAsia" w:ascii="仿宋" w:hAnsi="仿宋" w:eastAsia="仿宋"/>
                <w:b/>
                <w:color w:val="000000"/>
                <w:kern w:val="0"/>
                <w:sz w:val="24"/>
                <w:highlight w:val="none"/>
              </w:rPr>
              <w:t xml:space="preserve">第十条 </w:t>
            </w:r>
            <w:r>
              <w:rPr>
                <w:rFonts w:hint="eastAsia" w:ascii="仿宋" w:hAnsi="仿宋" w:eastAsia="仿宋"/>
                <w:color w:val="000000"/>
                <w:kern w:val="0"/>
                <w:sz w:val="24"/>
                <w:highlight w:val="none"/>
              </w:rPr>
              <w:t>最后交易日闭市前，客户可以对其同一会员同一交易编码下的该交割月买卖持仓提出不自动平仓申请；未在规定时间内提出不自动平仓申请的，最后交易日闭市后，其相对应部分买卖持仓由计算机系统自动平仓，平仓价按当日结算价计算。其他未平仓合约，一律视为交割合约。</w:t>
            </w:r>
          </w:p>
        </w:tc>
        <w:tc>
          <w:tcPr>
            <w:tcW w:w="2341" w:type="pct"/>
            <w:noWrap w:val="0"/>
            <w:vAlign w:val="top"/>
          </w:tcPr>
          <w:p>
            <w:pPr>
              <w:tabs>
                <w:tab w:val="left" w:pos="2716"/>
              </w:tabs>
              <w:snapToGrid w:val="0"/>
              <w:ind w:firstLine="481" w:firstLineChars="200"/>
              <w:rPr>
                <w:rFonts w:ascii="仿宋" w:hAnsi="仿宋" w:eastAsia="仿宋"/>
                <w:b/>
                <w:color w:val="000000"/>
                <w:kern w:val="0"/>
                <w:sz w:val="24"/>
                <w:highlight w:val="none"/>
              </w:rPr>
            </w:pPr>
            <w:r>
              <w:rPr>
                <w:rFonts w:hint="eastAsia" w:ascii="仿宋" w:hAnsi="仿宋" w:eastAsia="仿宋"/>
                <w:b/>
                <w:color w:val="000000"/>
                <w:kern w:val="0"/>
                <w:sz w:val="24"/>
                <w:highlight w:val="none"/>
              </w:rPr>
              <w:t xml:space="preserve">第十条 </w:t>
            </w:r>
            <w:r>
              <w:rPr>
                <w:rFonts w:hint="eastAsia" w:ascii="仿宋" w:hAnsi="仿宋" w:eastAsia="仿宋"/>
                <w:color w:val="000000"/>
                <w:kern w:val="0"/>
                <w:sz w:val="24"/>
                <w:highlight w:val="none"/>
              </w:rPr>
              <w:t>最后交易日闭市前，</w:t>
            </w:r>
            <w:r>
              <w:rPr>
                <w:rFonts w:hint="eastAsia" w:ascii="仿宋" w:hAnsi="仿宋" w:eastAsia="仿宋"/>
                <w:b/>
                <w:bCs/>
                <w:color w:val="000000"/>
                <w:kern w:val="0"/>
                <w:sz w:val="24"/>
                <w:highlight w:val="none"/>
                <w:u w:val="single"/>
              </w:rPr>
              <w:t>非期货公司会员、境外特殊非经纪参与者和</w:t>
            </w:r>
            <w:r>
              <w:rPr>
                <w:rFonts w:hint="eastAsia" w:ascii="仿宋" w:hAnsi="仿宋" w:eastAsia="仿宋"/>
                <w:color w:val="000000"/>
                <w:kern w:val="0"/>
                <w:sz w:val="24"/>
                <w:highlight w:val="none"/>
              </w:rPr>
              <w:t>客户可以对其</w:t>
            </w:r>
            <w:r>
              <w:rPr>
                <w:rFonts w:hint="eastAsia" w:ascii="仿宋" w:hAnsi="仿宋" w:eastAsia="仿宋"/>
                <w:dstrike/>
                <w:color w:val="000000"/>
                <w:kern w:val="0"/>
                <w:sz w:val="24"/>
                <w:highlight w:val="none"/>
              </w:rPr>
              <w:t>同一会员</w:t>
            </w:r>
            <w:r>
              <w:rPr>
                <w:rFonts w:hint="eastAsia" w:ascii="仿宋" w:hAnsi="仿宋" w:eastAsia="仿宋"/>
                <w:color w:val="000000"/>
                <w:kern w:val="0"/>
                <w:sz w:val="24"/>
                <w:highlight w:val="none"/>
              </w:rPr>
              <w:t>同一交易编码下的该交割月买卖持仓提出不自动平仓申请</w:t>
            </w:r>
            <w:r>
              <w:rPr>
                <w:rFonts w:hint="eastAsia" w:ascii="仿宋" w:hAnsi="仿宋" w:eastAsia="仿宋"/>
                <w:color w:val="000000"/>
                <w:kern w:val="0"/>
                <w:sz w:val="24"/>
                <w:highlight w:val="none"/>
                <w:lang w:eastAsia="zh-CN"/>
              </w:rPr>
              <w:t>；</w:t>
            </w:r>
            <w:r>
              <w:rPr>
                <w:rFonts w:hint="eastAsia" w:ascii="仿宋" w:hAnsi="仿宋" w:eastAsia="仿宋"/>
                <w:color w:val="000000"/>
                <w:kern w:val="0"/>
                <w:sz w:val="24"/>
                <w:highlight w:val="none"/>
              </w:rPr>
              <w:t>未在规定时间内提出</w:t>
            </w:r>
            <w:r>
              <w:rPr>
                <w:rFonts w:hint="eastAsia" w:ascii="仿宋" w:hAnsi="仿宋" w:eastAsia="仿宋"/>
                <w:dstrike/>
                <w:color w:val="000000"/>
                <w:kern w:val="0"/>
                <w:sz w:val="24"/>
                <w:highlight w:val="none"/>
              </w:rPr>
              <w:t>不自动平仓申请</w:t>
            </w:r>
            <w:r>
              <w:rPr>
                <w:rFonts w:hint="eastAsia" w:ascii="仿宋" w:hAnsi="仿宋" w:eastAsia="仿宋"/>
                <w:color w:val="000000"/>
                <w:kern w:val="0"/>
                <w:sz w:val="24"/>
                <w:highlight w:val="none"/>
              </w:rPr>
              <w:t>的，最后交易日闭市后，其相对应部分买卖持仓由计算机系统自动平仓，平仓价按当日结算价计算。其他未平仓合约，一律视为交割合约。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59" w:type="pct"/>
            <w:noWrap w:val="0"/>
            <w:vAlign w:val="top"/>
          </w:tcPr>
          <w:p>
            <w:pPr>
              <w:tabs>
                <w:tab w:val="left" w:pos="2716"/>
              </w:tabs>
              <w:snapToGrid w:val="0"/>
              <w:ind w:firstLine="481" w:firstLineChars="200"/>
              <w:rPr>
                <w:rFonts w:hint="default" w:ascii="仿宋" w:hAnsi="仿宋" w:eastAsia="仿宋"/>
                <w:b/>
                <w:color w:val="000000"/>
                <w:kern w:val="0"/>
                <w:sz w:val="24"/>
                <w:highlight w:val="none"/>
                <w:lang w:val="en-US" w:eastAsia="zh-CN"/>
              </w:rPr>
            </w:pPr>
            <w:r>
              <w:rPr>
                <w:rFonts w:hint="eastAsia" w:ascii="仿宋" w:hAnsi="仿宋" w:eastAsia="仿宋"/>
                <w:b/>
                <w:color w:val="000000"/>
                <w:kern w:val="0"/>
                <w:sz w:val="24"/>
                <w:highlight w:val="none"/>
                <w:lang w:eastAsia="zh-CN"/>
              </w:rPr>
              <w:t>第三十六条</w:t>
            </w:r>
            <w:r>
              <w:rPr>
                <w:rFonts w:hint="eastAsia" w:ascii="仿宋" w:hAnsi="仿宋" w:eastAsia="仿宋"/>
                <w:b/>
                <w:color w:val="000000"/>
                <w:kern w:val="0"/>
                <w:sz w:val="24"/>
                <w:highlight w:val="none"/>
                <w:lang w:val="en-US" w:eastAsia="zh-CN"/>
              </w:rPr>
              <w:t xml:space="preserve"> </w:t>
            </w:r>
            <w:r>
              <w:rPr>
                <w:rFonts w:hint="eastAsia" w:ascii="仿宋" w:hAnsi="仿宋" w:eastAsia="仿宋"/>
                <w:b w:val="0"/>
                <w:color w:val="000000"/>
                <w:kern w:val="0"/>
                <w:sz w:val="24"/>
                <w:highlight w:val="none"/>
                <w:lang w:val="en-US" w:eastAsia="zh-CN"/>
              </w:rPr>
              <w:t>交易所发现会员或者客户在期转现业务中弄虚作假的，按照《郑州商品交易所违规处理办法》有关规定进行处理。</w:t>
            </w:r>
          </w:p>
        </w:tc>
        <w:tc>
          <w:tcPr>
            <w:tcW w:w="2341" w:type="pct"/>
            <w:noWrap w:val="0"/>
            <w:vAlign w:val="top"/>
          </w:tcPr>
          <w:p>
            <w:pPr>
              <w:tabs>
                <w:tab w:val="left" w:pos="2716"/>
              </w:tabs>
              <w:snapToGrid w:val="0"/>
              <w:ind w:firstLine="481" w:firstLineChars="200"/>
              <w:rPr>
                <w:rFonts w:hint="eastAsia" w:ascii="仿宋" w:hAnsi="仿宋" w:eastAsia="仿宋"/>
                <w:b/>
                <w:color w:val="000000"/>
                <w:kern w:val="0"/>
                <w:sz w:val="24"/>
                <w:highlight w:val="none"/>
              </w:rPr>
            </w:pPr>
            <w:r>
              <w:rPr>
                <w:rFonts w:hint="eastAsia" w:ascii="仿宋" w:hAnsi="仿宋" w:eastAsia="仿宋"/>
                <w:b/>
                <w:color w:val="000000"/>
                <w:kern w:val="0"/>
                <w:sz w:val="24"/>
                <w:highlight w:val="none"/>
                <w:lang w:eastAsia="zh-CN"/>
              </w:rPr>
              <w:t>第三十六条</w:t>
            </w:r>
            <w:r>
              <w:rPr>
                <w:rFonts w:hint="eastAsia" w:ascii="仿宋" w:hAnsi="仿宋" w:eastAsia="仿宋"/>
                <w:b/>
                <w:color w:val="000000"/>
                <w:kern w:val="0"/>
                <w:sz w:val="24"/>
                <w:highlight w:val="none"/>
                <w:lang w:val="en-US" w:eastAsia="zh-CN"/>
              </w:rPr>
              <w:t xml:space="preserve"> </w:t>
            </w:r>
            <w:r>
              <w:rPr>
                <w:rFonts w:hint="eastAsia" w:ascii="仿宋" w:hAnsi="仿宋" w:eastAsia="仿宋"/>
                <w:b w:val="0"/>
                <w:color w:val="000000"/>
                <w:kern w:val="0"/>
                <w:sz w:val="24"/>
                <w:highlight w:val="none"/>
                <w:lang w:val="en-US" w:eastAsia="zh-CN"/>
              </w:rPr>
              <w:t>交易所发现会员</w:t>
            </w:r>
            <w:r>
              <w:rPr>
                <w:rFonts w:hint="eastAsia" w:ascii="仿宋" w:hAnsi="仿宋" w:eastAsia="仿宋"/>
                <w:b/>
                <w:bCs/>
                <w:color w:val="000000"/>
                <w:kern w:val="0"/>
                <w:sz w:val="24"/>
                <w:highlight w:val="none"/>
                <w:u w:val="single"/>
                <w:lang w:val="en-US" w:eastAsia="zh-CN"/>
              </w:rPr>
              <w:t>、境外特殊参与者、境外中介机构</w:t>
            </w:r>
            <w:r>
              <w:rPr>
                <w:rFonts w:hint="eastAsia" w:ascii="仿宋" w:hAnsi="仿宋" w:eastAsia="仿宋"/>
                <w:b w:val="0"/>
                <w:color w:val="000000"/>
                <w:kern w:val="0"/>
                <w:sz w:val="24"/>
                <w:highlight w:val="none"/>
                <w:lang w:val="en-US" w:eastAsia="zh-CN"/>
              </w:rPr>
              <w:t>或者客户在期转现业务中弄虚作假的，按照《郑州商品交易所违规处理办法》有关规定进行处理。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pct"/>
            <w:noWrap w:val="0"/>
            <w:vAlign w:val="top"/>
          </w:tcPr>
          <w:p>
            <w:pPr>
              <w:tabs>
                <w:tab w:val="left" w:pos="2716"/>
              </w:tabs>
              <w:snapToGrid w:val="0"/>
              <w:ind w:firstLine="481" w:firstLineChars="200"/>
              <w:rPr>
                <w:rFonts w:hint="eastAsia" w:ascii="仿宋" w:hAnsi="仿宋" w:eastAsia="仿宋"/>
                <w:b w:val="0"/>
                <w:bCs/>
                <w:color w:val="000000"/>
                <w:kern w:val="0"/>
                <w:sz w:val="24"/>
                <w:highlight w:val="none"/>
                <w:lang w:eastAsia="zh-CN"/>
              </w:rPr>
            </w:pPr>
            <w:r>
              <w:rPr>
                <w:rFonts w:hint="eastAsia" w:ascii="仿宋" w:hAnsi="仿宋" w:eastAsia="仿宋"/>
                <w:b/>
                <w:color w:val="000000"/>
                <w:kern w:val="0"/>
                <w:sz w:val="24"/>
                <w:highlight w:val="none"/>
                <w:lang w:eastAsia="zh-CN"/>
              </w:rPr>
              <w:t>第三十七条</w:t>
            </w:r>
            <w:r>
              <w:rPr>
                <w:rFonts w:hint="eastAsia" w:ascii="仿宋" w:hAnsi="仿宋" w:eastAsia="仿宋"/>
                <w:b w:val="0"/>
                <w:bCs/>
                <w:color w:val="000000"/>
                <w:kern w:val="0"/>
                <w:sz w:val="24"/>
                <w:highlight w:val="none"/>
                <w:lang w:val="en-US" w:eastAsia="zh-CN"/>
              </w:rPr>
              <w:t xml:space="preserve"> </w:t>
            </w:r>
            <w:r>
              <w:rPr>
                <w:rFonts w:hint="eastAsia" w:ascii="仿宋" w:hAnsi="仿宋" w:eastAsia="仿宋"/>
                <w:b w:val="0"/>
                <w:bCs/>
                <w:color w:val="000000"/>
                <w:kern w:val="0"/>
                <w:sz w:val="24"/>
                <w:highlight w:val="none"/>
                <w:lang w:eastAsia="zh-CN"/>
              </w:rPr>
              <w:t>进行实物交割的双方应当分别向交易所交纳交割手续费。</w:t>
            </w:r>
          </w:p>
          <w:p>
            <w:pPr>
              <w:tabs>
                <w:tab w:val="left" w:pos="2716"/>
              </w:tabs>
              <w:snapToGrid w:val="0"/>
              <w:ind w:firstLine="480" w:firstLineChars="200"/>
              <w:rPr>
                <w:rFonts w:hint="eastAsia" w:ascii="仿宋" w:hAnsi="仿宋" w:eastAsia="仿宋"/>
                <w:b/>
                <w:color w:val="000000"/>
                <w:kern w:val="0"/>
                <w:sz w:val="24"/>
                <w:highlight w:val="none"/>
                <w:lang w:eastAsia="zh-CN"/>
              </w:rPr>
            </w:pPr>
            <w:r>
              <w:rPr>
                <w:rFonts w:hint="eastAsia" w:ascii="仿宋" w:hAnsi="仿宋" w:eastAsia="仿宋"/>
                <w:b w:val="0"/>
                <w:bCs/>
                <w:color w:val="000000"/>
                <w:kern w:val="0"/>
                <w:sz w:val="24"/>
                <w:highlight w:val="none"/>
                <w:lang w:eastAsia="zh-CN"/>
              </w:rPr>
              <w:t>客户、仓库及厂库等根据相关品种期货业务细则有关规定，分别承担交割环节的各项费用。</w:t>
            </w:r>
          </w:p>
        </w:tc>
        <w:tc>
          <w:tcPr>
            <w:tcW w:w="2341" w:type="pct"/>
            <w:noWrap w:val="0"/>
            <w:vAlign w:val="top"/>
          </w:tcPr>
          <w:p>
            <w:pPr>
              <w:tabs>
                <w:tab w:val="left" w:pos="2716"/>
              </w:tabs>
              <w:snapToGrid w:val="0"/>
              <w:ind w:firstLine="481" w:firstLineChars="200"/>
              <w:rPr>
                <w:rFonts w:hint="eastAsia" w:ascii="仿宋" w:hAnsi="仿宋" w:eastAsia="仿宋"/>
                <w:b w:val="0"/>
                <w:bCs/>
                <w:color w:val="000000"/>
                <w:kern w:val="0"/>
                <w:sz w:val="24"/>
                <w:highlight w:val="none"/>
                <w:lang w:eastAsia="zh-CN"/>
              </w:rPr>
            </w:pPr>
            <w:r>
              <w:rPr>
                <w:rFonts w:hint="eastAsia" w:ascii="仿宋" w:hAnsi="仿宋" w:eastAsia="仿宋"/>
                <w:b/>
                <w:color w:val="000000"/>
                <w:kern w:val="0"/>
                <w:sz w:val="24"/>
                <w:highlight w:val="none"/>
                <w:lang w:eastAsia="zh-CN"/>
              </w:rPr>
              <w:t>第三十七条</w:t>
            </w:r>
            <w:r>
              <w:rPr>
                <w:rFonts w:hint="eastAsia" w:ascii="仿宋" w:hAnsi="仿宋" w:eastAsia="仿宋"/>
                <w:b w:val="0"/>
                <w:bCs/>
                <w:color w:val="000000"/>
                <w:kern w:val="0"/>
                <w:sz w:val="24"/>
                <w:highlight w:val="none"/>
                <w:lang w:val="en-US" w:eastAsia="zh-CN"/>
              </w:rPr>
              <w:t xml:space="preserve"> </w:t>
            </w:r>
            <w:r>
              <w:rPr>
                <w:rFonts w:hint="eastAsia" w:ascii="仿宋" w:hAnsi="仿宋" w:eastAsia="仿宋"/>
                <w:b w:val="0"/>
                <w:bCs/>
                <w:color w:val="000000"/>
                <w:kern w:val="0"/>
                <w:sz w:val="24"/>
                <w:highlight w:val="none"/>
                <w:lang w:eastAsia="zh-CN"/>
              </w:rPr>
              <w:t>进行实物交割的双方应当分别向交易所交纳交割手续费。</w:t>
            </w:r>
          </w:p>
          <w:p>
            <w:pPr>
              <w:tabs>
                <w:tab w:val="left" w:pos="2716"/>
              </w:tabs>
              <w:snapToGrid w:val="0"/>
              <w:ind w:firstLine="480" w:firstLineChars="200"/>
              <w:rPr>
                <w:rFonts w:hint="eastAsia" w:ascii="仿宋" w:hAnsi="仿宋" w:eastAsia="仿宋"/>
                <w:b/>
                <w:color w:val="000000"/>
                <w:kern w:val="0"/>
                <w:sz w:val="24"/>
                <w:highlight w:val="none"/>
                <w:lang w:eastAsia="zh-CN"/>
              </w:rPr>
            </w:pPr>
            <w:r>
              <w:rPr>
                <w:rFonts w:hint="eastAsia" w:ascii="仿宋" w:hAnsi="仿宋" w:eastAsia="仿宋"/>
                <w:b w:val="0"/>
                <w:bCs/>
                <w:color w:val="000000"/>
                <w:kern w:val="0"/>
                <w:sz w:val="24"/>
                <w:highlight w:val="none"/>
                <w:lang w:eastAsia="zh-CN"/>
              </w:rPr>
              <w:t>客户、</w:t>
            </w:r>
            <w:r>
              <w:rPr>
                <w:rFonts w:hint="eastAsia" w:ascii="仿宋" w:hAnsi="仿宋" w:eastAsia="仿宋"/>
                <w:b/>
                <w:bCs w:val="0"/>
                <w:color w:val="000000"/>
                <w:kern w:val="0"/>
                <w:sz w:val="24"/>
                <w:highlight w:val="none"/>
                <w:u w:val="single"/>
                <w:lang w:eastAsia="zh-CN"/>
              </w:rPr>
              <w:t>非期货公司会员、境外特殊非经纪参与者、</w:t>
            </w:r>
            <w:r>
              <w:rPr>
                <w:rFonts w:hint="eastAsia" w:ascii="仿宋" w:hAnsi="仿宋" w:eastAsia="仿宋"/>
                <w:b w:val="0"/>
                <w:bCs/>
                <w:color w:val="000000"/>
                <w:kern w:val="0"/>
                <w:sz w:val="24"/>
                <w:highlight w:val="none"/>
                <w:lang w:eastAsia="zh-CN"/>
              </w:rPr>
              <w:t>仓库及厂库等根据相关品种期货业务细则有关规定，分别承担交割环节的各项费用。</w:t>
            </w:r>
          </w:p>
        </w:tc>
      </w:tr>
    </w:tbl>
    <w:p>
      <w:pPr>
        <w:rPr>
          <w:rFonts w:hint="eastAsia" w:ascii="黑体" w:hAnsi="黑体" w:eastAsia="黑体" w:cs="黑体"/>
          <w:sz w:val="32"/>
          <w:szCs w:val="32"/>
          <w:highlight w:val="none"/>
          <w:lang w:val="en-US" w:eastAsia="zh-CN"/>
        </w:rPr>
        <w:sectPr>
          <w:pgSz w:w="11906" w:h="16838"/>
          <w:pgMar w:top="1440" w:right="1800" w:bottom="1440" w:left="1800" w:header="720" w:footer="720" w:gutter="0"/>
          <w:cols w:space="720" w:num="1"/>
          <w:docGrid w:type="lines" w:linePitch="312" w:charSpace="0"/>
        </w:sectPr>
      </w:pPr>
    </w:p>
    <w:p>
      <w:pPr>
        <w:widowControl/>
        <w:shd w:val="clear" w:color="auto" w:fill="FFFFFF"/>
        <w:spacing w:after="50" w:line="105" w:lineRule="atLeast"/>
        <w:jc w:val="center"/>
        <w:rPr>
          <w:rFonts w:ascii="黑体" w:hAnsi="黑体" w:eastAsia="黑体" w:cs="黑体"/>
          <w:color w:val="333333"/>
          <w:kern w:val="0"/>
          <w:sz w:val="44"/>
          <w:szCs w:val="44"/>
          <w:highlight w:val="none"/>
          <w:shd w:val="clear" w:color="auto" w:fill="FFFFFF"/>
        </w:rPr>
      </w:pPr>
      <w:r>
        <w:rPr>
          <w:rFonts w:hint="eastAsia" w:ascii="黑体" w:hAnsi="黑体" w:eastAsia="黑体" w:cs="黑体"/>
          <w:color w:val="333333"/>
          <w:kern w:val="0"/>
          <w:sz w:val="44"/>
          <w:szCs w:val="44"/>
          <w:highlight w:val="none"/>
          <w:shd w:val="clear" w:color="auto" w:fill="FFFFFF"/>
        </w:rPr>
        <w:t>郑州商品交易所期货交割管理办法</w:t>
      </w:r>
    </w:p>
    <w:p>
      <w:pPr>
        <w:spacing w:before="240" w:after="24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widowControl/>
        <w:shd w:val="clear" w:color="auto" w:fill="FFFFFF"/>
        <w:suppressAutoHyphens/>
        <w:bidi w:val="0"/>
        <w:spacing w:before="240" w:after="240" w:line="105" w:lineRule="atLeast"/>
        <w:jc w:val="center"/>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32"/>
          <w:szCs w:val="32"/>
          <w:highlight w:val="none"/>
          <w:shd w:val="clear" w:color="auto" w:fill="FFFFFF"/>
        </w:rPr>
        <w:t>第一章 总 则</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第一条 </w:t>
      </w:r>
      <w:r>
        <w:rPr>
          <w:rFonts w:hint="default" w:ascii="Times New Roman" w:hAnsi="Times New Roman" w:cs="Times New Roman"/>
          <w:color w:val="auto"/>
          <w:kern w:val="0"/>
          <w:sz w:val="28"/>
          <w:szCs w:val="28"/>
          <w:highlight w:val="none"/>
          <w:shd w:val="clear" w:color="auto" w:fill="FFFFFF"/>
        </w:rPr>
        <w:t>为了保证郑州商品交易所（以下简称交易所）期货交割业务的正常进行，规范期货交割行为，根据《郑州商品交易所交易规则》，制定本办法。</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第二条 </w:t>
      </w:r>
      <w:r>
        <w:rPr>
          <w:rFonts w:hint="default" w:ascii="Times New Roman" w:hAnsi="Times New Roman" w:cs="Times New Roman"/>
          <w:color w:val="auto"/>
          <w:kern w:val="0"/>
          <w:sz w:val="28"/>
          <w:szCs w:val="28"/>
          <w:highlight w:val="none"/>
          <w:shd w:val="clear" w:color="auto" w:fill="FFFFFF"/>
        </w:rPr>
        <w:t>实物交割是指期货合约到期时，按照交易所的规则和规定程序，交易双方通过该期货合约标的物所有权的转移，了结到期未平仓合约的过程。</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第三条 </w:t>
      </w:r>
      <w:r>
        <w:rPr>
          <w:rFonts w:hint="default" w:ascii="Times New Roman" w:hAnsi="Times New Roman" w:cs="Times New Roman"/>
          <w:color w:val="auto"/>
          <w:kern w:val="0"/>
          <w:sz w:val="28"/>
          <w:szCs w:val="28"/>
          <w:highlight w:val="none"/>
          <w:shd w:val="clear" w:color="auto" w:fill="FFFFFF"/>
        </w:rPr>
        <w:t>实物交割可以采用标准仓单交割、车（船）板交割以及交易所规定的其他方式。</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标准仓单交割是指卖方将相关商品标准仓单转移给买方以完成实物交割的交割方式。根据标准仓单开具主体的不同，标准仓单交割可以分为仓库标准仓单交割和厂库标准仓单交割。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车（船）板交割是指卖方在交易所指定交割计价点将货物装至买方汽车板、火车板或者轮船板，以完成货物交收的实物交割方式。</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交割计价点是指由交易所指定的用于计算车（船）板交割中买卖双方各自应当承担交割费用的地点。交易所在交割计价点设置车（船）板交割服务机构，买卖双方选择在交割计价点交割的，应当通过以上机构开展，并须交付一定的费用。车（船）板交割服务机构仅提供交割中转、临时仓储等服务，不承担货物临时存储期间的质量变化责任。</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第四条 </w:t>
      </w:r>
      <w:r>
        <w:rPr>
          <w:rFonts w:hint="default" w:ascii="Times New Roman" w:hAnsi="Times New Roman" w:cs="Times New Roman"/>
          <w:color w:val="auto"/>
          <w:kern w:val="0"/>
          <w:sz w:val="28"/>
          <w:szCs w:val="28"/>
          <w:highlight w:val="none"/>
          <w:shd w:val="clear" w:color="auto" w:fill="FFFFFF"/>
        </w:rPr>
        <w:t>各品种采用的交割方式由交易所在相关品种期货业务细则中规定。</w:t>
      </w:r>
    </w:p>
    <w:p>
      <w:pPr>
        <w:widowControl/>
        <w:shd w:val="clear" w:color="auto" w:fill="FFFFFF"/>
        <w:suppressAutoHyphens/>
        <w:bidi w:val="0"/>
        <w:spacing w:after="50" w:line="105" w:lineRule="atLeast"/>
        <w:ind w:firstLine="560"/>
        <w:jc w:val="left"/>
        <w:rPr>
          <w:rFonts w:hint="eastAsia" w:cs="Times New Roman"/>
          <w:color w:val="auto"/>
          <w:kern w:val="0"/>
          <w:sz w:val="28"/>
          <w:szCs w:val="28"/>
          <w:highlight w:val="none"/>
          <w:shd w:val="clear" w:color="auto" w:fill="FFFFFF"/>
          <w:lang w:eastAsia="zh-CN"/>
        </w:rPr>
      </w:pPr>
      <w:r>
        <w:rPr>
          <w:rFonts w:hint="default" w:ascii="Times New Roman" w:hAnsi="Times New Roman" w:eastAsia="黑体" w:cs="Times New Roman"/>
          <w:color w:val="auto"/>
          <w:kern w:val="0"/>
          <w:sz w:val="28"/>
          <w:szCs w:val="28"/>
          <w:highlight w:val="none"/>
          <w:shd w:val="clear" w:color="auto" w:fill="FFFFFF"/>
        </w:rPr>
        <w:t>第五条 </w:t>
      </w:r>
      <w:r>
        <w:rPr>
          <w:rFonts w:hint="default" w:eastAsia="宋体" w:cs="Times New Roman"/>
          <w:color w:val="auto"/>
          <w:kern w:val="0"/>
          <w:sz w:val="28"/>
          <w:szCs w:val="28"/>
          <w:highlight w:val="none"/>
          <w:shd w:val="clear" w:color="auto" w:fill="FFFFFF"/>
          <w:lang w:eastAsia="zh-CN"/>
        </w:rPr>
        <w:t>会员的</w:t>
      </w:r>
      <w:r>
        <w:rPr>
          <w:rFonts w:hint="default" w:ascii="Times New Roman" w:hAnsi="Times New Roman" w:cs="Times New Roman"/>
          <w:color w:val="auto"/>
          <w:kern w:val="0"/>
          <w:sz w:val="28"/>
          <w:szCs w:val="28"/>
          <w:highlight w:val="none"/>
          <w:shd w:val="clear" w:color="auto" w:fill="FFFFFF"/>
        </w:rPr>
        <w:t>客户、委托会员结算的境外特殊参与者、委托会员交易结算的境外中介机构应当</w:t>
      </w:r>
      <w:r>
        <w:rPr>
          <w:rFonts w:hint="eastAsia" w:cs="Times New Roman"/>
          <w:color w:val="auto"/>
          <w:kern w:val="0"/>
          <w:sz w:val="28"/>
          <w:szCs w:val="28"/>
          <w:highlight w:val="none"/>
          <w:shd w:val="clear" w:color="auto" w:fill="FFFFFF"/>
          <w:lang w:eastAsia="zh-CN"/>
        </w:rPr>
        <w:t>通过</w:t>
      </w:r>
      <w:r>
        <w:rPr>
          <w:rFonts w:hint="default" w:ascii="Times New Roman" w:hAnsi="Times New Roman" w:cs="Times New Roman"/>
          <w:color w:val="auto"/>
          <w:kern w:val="0"/>
          <w:sz w:val="28"/>
          <w:szCs w:val="28"/>
          <w:highlight w:val="none"/>
          <w:shd w:val="clear" w:color="auto" w:fill="FFFFFF"/>
        </w:rPr>
        <w:t>委托会员在交易所办理交割</w:t>
      </w:r>
      <w:r>
        <w:rPr>
          <w:rFonts w:hint="eastAsia" w:cs="Times New Roman"/>
          <w:color w:val="auto"/>
          <w:kern w:val="0"/>
          <w:sz w:val="28"/>
          <w:szCs w:val="28"/>
          <w:highlight w:val="none"/>
          <w:shd w:val="clear" w:color="auto" w:fill="FFFFFF"/>
          <w:lang w:eastAsia="zh-CN"/>
        </w:rPr>
        <w:t>。</w:t>
      </w:r>
    </w:p>
    <w:p>
      <w:pPr>
        <w:widowControl/>
        <w:shd w:val="clear" w:color="auto" w:fill="FFFFFF"/>
        <w:suppressAutoHyphens/>
        <w:bidi w:val="0"/>
        <w:spacing w:after="50" w:line="105"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境外特殊经纪参与者、境外中介机构的客户，应当分别通过该境外特殊经纪参与者、境外中介机构办理交割。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第六条 </w:t>
      </w:r>
      <w:r>
        <w:rPr>
          <w:rFonts w:hint="default" w:ascii="Times New Roman" w:hAnsi="Times New Roman" w:cs="Times New Roman"/>
          <w:color w:val="auto"/>
          <w:kern w:val="0"/>
          <w:sz w:val="28"/>
          <w:szCs w:val="28"/>
          <w:highlight w:val="none"/>
          <w:shd w:val="clear" w:color="auto" w:fill="FFFFFF"/>
        </w:rPr>
        <w:t>不能交付或者接收增值税专用（普通）发票或者交易所认可的其他单据的客户不得交割；持仓量为非交割单位整数倍的相应持仓不得交割；期货合约所载商品为危险化学品的，不具备相应商品生产、储存、使用、经营或者运输资质的客户不得参与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进入交割月前，不得交割的客户应当将交割月份的相应持仓予以平仓。自进入交割月第一个交易日起，自然人客户不得开新仓，交易所有权对自然人客户的交割月份持仓予以强行平仓。不得交割的持仓被配对的，交易所对其处以按交割结算价计算的合约价值10%的违约金，违约金支付给对方，终止交割；买卖双方均属于上述情况的，交易所按照交割结算价计算的合约价值10%对双方进行处罚，终止交割。</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第七条 </w:t>
      </w:r>
      <w:r>
        <w:rPr>
          <w:rFonts w:hint="default" w:ascii="Times New Roman" w:hAnsi="Times New Roman" w:cs="Times New Roman"/>
          <w:color w:val="auto"/>
          <w:kern w:val="0"/>
          <w:sz w:val="28"/>
          <w:szCs w:val="28"/>
          <w:highlight w:val="none"/>
          <w:shd w:val="clear" w:color="auto" w:fill="FFFFFF"/>
        </w:rPr>
        <w:t>交易所上市的商品期货合约的交割业务按本办法进行，交易所、会员、客户、境外特殊参与者、境外</w:t>
      </w:r>
      <w:r>
        <w:rPr>
          <w:rFonts w:hint="eastAsia" w:cs="Times New Roman"/>
          <w:color w:val="auto"/>
          <w:kern w:val="0"/>
          <w:sz w:val="28"/>
          <w:szCs w:val="28"/>
          <w:highlight w:val="none"/>
          <w:shd w:val="clear" w:color="auto" w:fill="FFFFFF"/>
          <w:lang w:eastAsia="zh-CN"/>
        </w:rPr>
        <w:t>中介</w:t>
      </w:r>
      <w:r>
        <w:rPr>
          <w:rFonts w:hint="default" w:ascii="Times New Roman" w:hAnsi="Times New Roman" w:cs="Times New Roman"/>
          <w:color w:val="auto"/>
          <w:kern w:val="0"/>
          <w:sz w:val="28"/>
          <w:szCs w:val="28"/>
          <w:highlight w:val="none"/>
          <w:shd w:val="clear" w:color="auto" w:fill="FFFFFF"/>
        </w:rPr>
        <w:t>机构、交割仓库（以下简称仓库）、交割厂库（以下简称厂库）、车（船）板交割服务机构、指定检验机构等交割业务参与者应当遵守本办法。</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32"/>
          <w:szCs w:val="32"/>
          <w:highlight w:val="none"/>
          <w:shd w:val="clear" w:color="auto" w:fill="FFFFFF"/>
        </w:rPr>
        <w:t>第二章 交割流程</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第八条 </w:t>
      </w:r>
      <w:r>
        <w:rPr>
          <w:rFonts w:hint="default" w:ascii="Times New Roman" w:hAnsi="Times New Roman" w:cs="Times New Roman"/>
          <w:color w:val="auto"/>
          <w:kern w:val="0"/>
          <w:sz w:val="28"/>
          <w:szCs w:val="28"/>
          <w:highlight w:val="none"/>
          <w:shd w:val="clear" w:color="auto" w:fill="FFFFFF"/>
        </w:rPr>
        <w:t>实物交割在交割月的连续三个交易日完成，分别称为第一交割日、第二交割日、第三交割日，可以适用的流程包括滚动交割和集中交割。</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滚动交割是指交割月第一个交易日至最后交易日的前一交易日，由卖方提出交割申请，并由交易所组织配对双方在规定时间内完成的交割。</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集中交割是指在合约最后交易日闭市后，交易所组织所有未平仓合约持有者进行的交割。</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第九条 </w:t>
      </w:r>
      <w:r>
        <w:rPr>
          <w:rFonts w:hint="default" w:ascii="Times New Roman" w:hAnsi="Times New Roman" w:cs="Times New Roman"/>
          <w:color w:val="auto"/>
          <w:kern w:val="0"/>
          <w:sz w:val="28"/>
          <w:szCs w:val="28"/>
          <w:highlight w:val="none"/>
          <w:shd w:val="clear" w:color="auto" w:fill="FFFFFF"/>
        </w:rPr>
        <w:t>滚动交割流程如下：</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（一）第一交割日（配对日）</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1.自进入交割月第一个交易日起至最后交易日的前一交易日，同时持有交割月合约和相应品种标准仓单或者车（船）板交割货物的卖方会员可以在每个交易日下午2时30分之前，通过会员服务系统提出交割申请，并同时提交相应的标准仓单信息或者车（船）板拟交割货物信息。车（船）板拟交割货物信息类型见相关品种期货业务细则。</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2.买方会员在会员服务系统响应卖方会员的交割申请。买方会员响应交割申请的，视为确认，买卖双方均不得撤销。未得到买方会员响应的交割申请，卖方会员可以于申请当日下午2时30分之前予以撤销。交割申请仅在申请当日有效。</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3.交割配对。当日闭市后，交易所按照以下方式进行交割配对：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（1）响应配对。对于得到买方会员响应的交割申请，交易所依据买卖双方相对应的持仓量、买卖双方确认申请量和卖方持有标准仓单量，取最小数进行配对。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（2）组织配对。对于未得到买方会员响应的交割申请，交易所通过计算机系统，先按照“建仓时间最早的法人持仓优先”原则确定参与配对的买方持仓，再按照“先车（船）板、后标准仓单”原则予以配对。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各品种均适用响应配对，适用组织配对的品种见相关品种期货业务细则。</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（二）第二交割日</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买卖双方通过交易所会员服务系统收取《交割通知单》。</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（三）第三交割日</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交易所对买卖双方进行交割结算。具体流程见本章关于交割结算流程的有关规定。</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第十条 </w:t>
      </w:r>
      <w:r>
        <w:rPr>
          <w:rFonts w:hint="default" w:ascii="Times New Roman" w:hAnsi="Times New Roman" w:cs="Times New Roman"/>
          <w:color w:val="auto"/>
          <w:kern w:val="0"/>
          <w:sz w:val="28"/>
          <w:szCs w:val="28"/>
          <w:highlight w:val="none"/>
          <w:shd w:val="clear" w:color="auto" w:fill="FFFFFF"/>
        </w:rPr>
        <w:t>最后交易日闭市前，非期货公司会员、境外特殊非经纪参与者和客户可以对其同一交易编码下的该交割月买卖持仓提出不自动平仓申请；未在规定时间内提出的，最后交易日闭市后，其相对应部分买卖持仓由计算机系统自动平仓，平仓价按当日结算价计算。其他未平仓合约，一律视为交割合约。</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第十一条 </w:t>
      </w:r>
      <w:r>
        <w:rPr>
          <w:rFonts w:hint="default" w:ascii="Times New Roman" w:hAnsi="Times New Roman" w:cs="Times New Roman"/>
          <w:color w:val="auto"/>
          <w:kern w:val="0"/>
          <w:sz w:val="28"/>
          <w:szCs w:val="28"/>
          <w:highlight w:val="none"/>
          <w:shd w:val="clear" w:color="auto" w:fill="FFFFFF"/>
        </w:rPr>
        <w:t>最后交易日闭市前，卖方应当将拟进行集中交割的标准仓单数量提交至交易所，交易所按照卖方提交的拟集中交割标准仓单数量、卖方相应合约持仓量和卖方持有的可流通标准仓单数量取最小值，释放卖方保证金。卖方相应数量的标准仓单不得办理注销、转让、质押、折抵、作为保证金等业务。卖方未在规定时间内提交拟集中交割标准仓单数量的，不释放卖方保证金。</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eastAsia="黑体" w:cs="Times New Roman"/>
          <w:color w:val="auto"/>
          <w:kern w:val="0"/>
          <w:sz w:val="28"/>
          <w:szCs w:val="28"/>
          <w:highlight w:val="none"/>
          <w:shd w:val="clear" w:color="auto" w:fill="FFFFFF"/>
        </w:rPr>
        <w:t>第十二条 </w:t>
      </w:r>
      <w:r>
        <w:rPr>
          <w:rFonts w:hint="default" w:ascii="Times New Roman" w:hAnsi="Times New Roman" w:cs="Times New Roman"/>
          <w:color w:val="auto"/>
          <w:kern w:val="0"/>
          <w:sz w:val="28"/>
          <w:szCs w:val="28"/>
          <w:highlight w:val="none"/>
          <w:shd w:val="clear" w:color="auto" w:fill="FFFFFF"/>
        </w:rPr>
        <w:t>集中交割流程如下：</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（一）第一交割日</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最后交易日后的第一个交易日，卖方按照以下规定公布交割信息：</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1.对于仅适用非通用标准仓单交割的品种，卖方应当在当日闭市前公布用于交割的标准仓单信息。未主动公布的，交易所于当日闭市后公布卖方相应品种所有可流通标准仓单信息。</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2.对于同时适用非通用标准仓单交割及车（船）板交割的品种，卖方应当在当日闭市前公布用于交割的标准仓单信息及车（船）板交割货物信息。未主动公布的，交易所于当日闭市后公布卖方相应品种所有可流通标准仓单信息。卖方未公布车（船）板交割货物信息的，交易所按标准仓单交割对待。</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3.对于同时适用通用标准仓单交割及车（船）板交割的品种，卖方应当在当日闭市前公布用于交割的车（船）板交割货物信息。卖方未公布车（船）板交割货物信息的，交易所按标准仓单交割对待。普麦品种期货业务细则另有规定的，适用其规定。</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4.对于仅适用车（船）板交割的品种，卖方应当在当日闭市前公布用于交割的车（船）板交割货物信息。卖方未公布车（船）板交割货物信息的，按交割违约处理。</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5.对于仅适用通用标准仓单交割的品种，卖方不需要公布交割信息。</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（二）第二交割日（配对日）</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1.买方申报交割意向。当日闭市前，买方根据卖方或者交易所公布的标准仓单信息，或者卖方公布的车（船）板交割货物信息，申报交割意向。买方可以申报三个交割意向，包括第一意向、第二意向和第三意向。</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2.当日结算时，交易所按照以下原则进行配对：对任一买方，先考虑其第一意向，第一意向未得到满足或未全部得到满足的，再依次考虑其第二意向、第三意向。对于任一相同优先级意向，平均持仓时间长的买方优先。买方平均持仓时间相同的，含有建仓时间早的买方优先。</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买方平均持仓时间=∑买方每手持仓时间/买方总持仓量</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cs="Times New Roman"/>
          <w:color w:val="auto"/>
          <w:kern w:val="0"/>
          <w:sz w:val="28"/>
          <w:szCs w:val="28"/>
          <w:highlight w:val="none"/>
          <w:shd w:val="clear" w:color="auto" w:fill="FFFFFF"/>
        </w:rPr>
        <w:t>其他仍未配对的未平仓持仓，由计算机系统按照“先车（船）板、后标准仓单”，再按照“数量取整、最少配对数”原则予以配对。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3.对于境外交易者参与的境内特定品种，适用保税标准仓单交割的，相关期货合约在集中交割配对时，参与交割的保税标准仓单优先分配给境外买方（不包括合格境外机构投资者和人民币合格境外机构投资者，下同）。境外买方持仓数量合计小于或者等于保税标准仓单数量的，境外买方均能分配到保税标准仓单。境外买方持仓数量大于保税标准仓单数量的，按照“持仓时间长优先”原则确定参与保税标准仓单交割配对的境外买方。其他未配对持仓和未分配标准仓单由计算机系统按照“数量取整、最少配对数”原则予以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4.当日结算后，买卖双方通过交易所会员服务系统收取《交割通知单》。</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（三）第三交割日</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交易所对买卖双方进行交割结算。具体流程见本章关于交割结算流程的有关规定。</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第十三条 </w:t>
      </w:r>
      <w:r>
        <w:rPr>
          <w:rFonts w:hint="default" w:ascii="Times New Roman" w:hAnsi="Times New Roman" w:cs="Times New Roman"/>
          <w:color w:val="auto"/>
          <w:kern w:val="0"/>
          <w:sz w:val="28"/>
          <w:szCs w:val="28"/>
          <w:highlight w:val="none"/>
          <w:shd w:val="clear" w:color="auto" w:fill="FFFFFF"/>
        </w:rPr>
        <w:t>交割配对后，标准仓单交割的，卖方相应的标准仓单予以冻结，交易所按照卖方实际配对的标准仓单数量，重新计算相应的卖方保证金并予以释放；车（船）板交割的，卖方保证金不予释放。</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第十四条 </w:t>
      </w:r>
      <w:r>
        <w:rPr>
          <w:rFonts w:hint="default" w:ascii="Times New Roman" w:hAnsi="Times New Roman" w:cs="Times New Roman"/>
          <w:color w:val="auto"/>
          <w:kern w:val="0"/>
          <w:sz w:val="28"/>
          <w:szCs w:val="28"/>
          <w:highlight w:val="none"/>
          <w:shd w:val="clear" w:color="auto" w:fill="FFFFFF"/>
        </w:rPr>
        <w:t>交割关系一经确定，买卖双方不得擅自调整或者变更。</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第十五条 </w:t>
      </w:r>
      <w:r>
        <w:rPr>
          <w:rFonts w:hint="default" w:ascii="Times New Roman" w:hAnsi="Times New Roman" w:cs="Times New Roman"/>
          <w:color w:val="auto"/>
          <w:kern w:val="0"/>
          <w:sz w:val="28"/>
          <w:szCs w:val="28"/>
          <w:highlight w:val="none"/>
          <w:shd w:val="clear" w:color="auto" w:fill="FFFFFF"/>
        </w:rPr>
        <w:t>会员对《交割通知单》有异议的，应当在第三交割日上午9时之前以书面形式通知交易所；未在规定时间内提出异议的，视为对《交割通知单》的认可。</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第十六条</w:t>
      </w:r>
      <w:r>
        <w:rPr>
          <w:rFonts w:hint="default" w:ascii="Times New Roman" w:hAnsi="Times New Roman" w:cs="Times New Roman"/>
          <w:color w:val="auto"/>
          <w:kern w:val="0"/>
          <w:sz w:val="28"/>
          <w:szCs w:val="28"/>
          <w:highlight w:val="none"/>
          <w:shd w:val="clear" w:color="auto" w:fill="FFFFFF"/>
        </w:rPr>
        <w:t> 标准仓单交割结算流程如下：</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一）第三交割日上午9时之前，买方会员应当将尚欠货款划入交易所账户，卖方会员应当持有可流通的标准仓单。交易所结算部门为买卖双方办理交割结算手续，买卖双方在《交割通知单》注明的时间通过交易所会员服务系统查收交割结算结果。</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非通用标准仓单的替代品升贴水、仓库或者厂库升贴水，在交割结算时一并划转。</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（二）交易所收取买方会员全额货款后，于第三交割日将全额货款的80%划转给卖方会员，同时将卖方会员的标准仓单交付买方会员。余款在买方会员确认收到增值税专用（普通）发票时结清。</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三）对于境外交易者参与的境内特定品种，适用保税标准仓单交割的，境外买方分配到相关品种完税标准仓单的，交易所负责组织对该完税标准仓单进行竞卖，竞卖产生的损益和费用由境外买方承担。若竞卖不成功，境外买方支付对应交割货款20%的补偿金给配对卖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第十七条 </w:t>
      </w:r>
      <w:r>
        <w:rPr>
          <w:rFonts w:hint="default" w:ascii="Times New Roman" w:hAnsi="Times New Roman" w:cs="Times New Roman"/>
          <w:color w:val="auto"/>
          <w:kern w:val="0"/>
          <w:sz w:val="28"/>
          <w:szCs w:val="28"/>
          <w:highlight w:val="none"/>
          <w:shd w:val="clear" w:color="auto" w:fill="FFFFFF"/>
        </w:rPr>
        <w:t>车（船）板交割结算流程如下：</w:t>
      </w:r>
    </w:p>
    <w:p>
      <w:pPr>
        <w:widowControl/>
        <w:shd w:val="clear" w:color="auto" w:fill="FFFFFF"/>
        <w:suppressAutoHyphens/>
        <w:bidi w:val="0"/>
        <w:spacing w:after="50" w:line="150" w:lineRule="atLeast"/>
        <w:ind w:firstLine="482"/>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（一）第三交割日上午9时之前，买方会员应当将100％货款（不含买方保证金）划入交易所账户。</w:t>
      </w:r>
    </w:p>
    <w:p>
      <w:pPr>
        <w:widowControl/>
        <w:shd w:val="clear" w:color="auto" w:fill="FFFFFF"/>
        <w:suppressAutoHyphens/>
        <w:bidi w:val="0"/>
        <w:spacing w:after="50" w:line="150" w:lineRule="atLeast"/>
        <w:ind w:firstLine="482"/>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（二）自第三交割日起，买卖双方在交易所规定时间内对车（船）板交割货物的交收事宜进行协商，办理交收。车（船）板交割货物交收具体事宜见相关品种期货业务细则有关规定。</w:t>
      </w:r>
    </w:p>
    <w:p>
      <w:pPr>
        <w:widowControl/>
        <w:shd w:val="clear" w:color="auto" w:fill="FFFFFF"/>
        <w:suppressAutoHyphens/>
        <w:bidi w:val="0"/>
        <w:spacing w:after="50" w:line="150" w:lineRule="atLeast"/>
        <w:ind w:firstLine="48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（三）配对后至最后交割日次日，交易所按双方确认情况进行结算。</w:t>
      </w:r>
    </w:p>
    <w:p>
      <w:pPr>
        <w:widowControl/>
        <w:shd w:val="clear" w:color="auto" w:fill="FFFFFF"/>
        <w:suppressAutoHyphens/>
        <w:bidi w:val="0"/>
        <w:spacing w:after="50" w:line="150" w:lineRule="atLeast"/>
        <w:ind w:firstLine="48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买卖双方委托交易所结算，且在相关品种合约规定的最后交割日之前全部货物交收完毕的，买方或者卖方一次性提交此次交割货物数量、质量、增值税专用（普通）发票流转及应划转货款等信息，对方应当在当日内进行确认，若有异议，应当在提交信息之日起（含该日）三个交易日内提交有效证明。逾期未提交有效证明的，计算机系统将按照发起方提交的信息自动确认。交易所按双方确认结果进行资金划转，释放买卖双方的剩余资金。</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在最后交割日仍没有全部货物交收完毕的，按照以下方式处理：</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1.卖方按照约定或者正常速度发货但仍未完成全部货物交收的，可以延期交收，买方不得拒绝。待货物交收完毕后，按照规定流程予以划款；</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2.一方未按照约定或者正常速度完成全部货物交收的，另一方可以申请终止交收。守约方通过会员服务系统提交《终止交收申请书》及相关证据，过错方在两个工作日内予以确认，逾期不予确认且未提出异议的，视为确认。交易所与卖方结清已发运部分的货款，剩余货款返还给买方。其余未交收部分双方可以协商另行交收，协商不成的，按过错方交割违约处理。</w:t>
      </w:r>
    </w:p>
    <w:p>
      <w:pPr>
        <w:widowControl/>
        <w:shd w:val="clear" w:color="auto" w:fill="FFFFFF"/>
        <w:suppressAutoHyphens/>
        <w:bidi w:val="0"/>
        <w:spacing w:after="50" w:line="150" w:lineRule="atLeast"/>
        <w:ind w:firstLine="482"/>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买卖双方不委托交易所结算的，交易所退还买卖双方交易保证金和买方货款。买卖双方终止交割。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第十八条 </w:t>
      </w:r>
      <w:r>
        <w:rPr>
          <w:rFonts w:hint="default" w:ascii="Times New Roman" w:hAnsi="Times New Roman" w:cs="Times New Roman"/>
          <w:color w:val="auto"/>
          <w:kern w:val="0"/>
          <w:sz w:val="28"/>
          <w:szCs w:val="28"/>
          <w:highlight w:val="none"/>
          <w:shd w:val="clear" w:color="auto" w:fill="FFFFFF"/>
        </w:rPr>
        <w:t>夜盘交易期间，交易所不办理交割相关业务。</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第十九条 </w:t>
      </w:r>
      <w:r>
        <w:rPr>
          <w:rFonts w:hint="default" w:ascii="Times New Roman" w:hAnsi="Times New Roman" w:cs="Times New Roman"/>
          <w:color w:val="auto"/>
          <w:kern w:val="0"/>
          <w:sz w:val="28"/>
          <w:szCs w:val="28"/>
          <w:highlight w:val="none"/>
          <w:shd w:val="clear" w:color="auto" w:fill="FFFFFF"/>
        </w:rPr>
        <w:t>滚动交割的交割结算价为期货合约配对日（含该日）前10个交易日交易结算价的算术平均价。</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集中交割的交割结算价为期货合约最后交易日（含该日）前10个交易日交易结算价的算术平均价。</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第二十条 </w:t>
      </w:r>
      <w:r>
        <w:rPr>
          <w:rFonts w:hint="default" w:ascii="Times New Roman" w:hAnsi="Times New Roman" w:cs="Times New Roman"/>
          <w:color w:val="auto"/>
          <w:kern w:val="0"/>
          <w:sz w:val="28"/>
          <w:szCs w:val="28"/>
          <w:highlight w:val="none"/>
          <w:shd w:val="clear" w:color="auto" w:fill="FFFFFF"/>
        </w:rPr>
        <w:t>实物交割由交割卖方向对应的买方开具增值税专用(普通)发票。增值税专用(普通)发票由双方会员协助客户直接联系、办理发票交收。双方会员负责调解、处理相关纠纷。各品种开具的发票类型见相关品种期货业务细则。保税交割开具发票流程按照相关品种期货业务细则有关规定执行。</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第二十一条 </w:t>
      </w:r>
      <w:r>
        <w:rPr>
          <w:rFonts w:hint="default" w:ascii="Times New Roman" w:hAnsi="Times New Roman" w:cs="Times New Roman"/>
          <w:color w:val="auto"/>
          <w:kern w:val="0"/>
          <w:sz w:val="28"/>
          <w:szCs w:val="28"/>
          <w:highlight w:val="none"/>
          <w:shd w:val="clear" w:color="auto" w:fill="FFFFFF"/>
        </w:rPr>
        <w:t>配对日后的一个工作日内，买方应当按照税务机关的规定将开具增值税专用（普通）发票所需的具体信息通知卖方。</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标准仓单交割的，自第三交割日（不含该日）起7个交易日内，卖方应当提交增值税专用（普通）发票。延迟1至10个日历日的，卖方会员应当每天支付货款金额0.5‰的滞纳金；超过10个日历日仍未提供增值税专用（普通）发票的，视为拒绝提供增值税专用（普通）发票，卖方会员应当按照货款金额的规定比例支付违约金。各品种违约金比例按照国家税务部门公布的增值税税率执行。滞纳金或者违约金从货款余额中扣除，补偿给买方会员，剩余货款属于卖方会员。卖方会员先行支付滞纳金或者违约金的，有权向客户追偿。</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车（船）板交割的，卖方应当在交货完毕后7个交易日内或者合同约定的时间向买方交付增值税专用（普通）发票。延期交付的，参考上款规定处理。</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第二十二条 </w:t>
      </w:r>
      <w:r>
        <w:rPr>
          <w:rFonts w:hint="default" w:ascii="Times New Roman" w:hAnsi="Times New Roman" w:cs="Times New Roman"/>
          <w:color w:val="auto"/>
          <w:kern w:val="0"/>
          <w:sz w:val="28"/>
          <w:szCs w:val="28"/>
          <w:highlight w:val="none"/>
          <w:shd w:val="clear" w:color="auto" w:fill="FFFFFF"/>
        </w:rPr>
        <w:t>买方应当在收到增值税专用（普通）发票之日（含该日）起两个工作日内，对增值税专用（普通）发票进行确认。</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因买方提供资料有误，致使发票作废的，买方责任自负；买方提供资料延迟的，卖方提供发票的时间可以顺延。</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自第三交割日（不含该日）起超过7个交易日，买方仍未提供有关资料的，交易所划转剩余20%货款至卖方会员，由此造成的后果由买方自负。</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第二十三条</w:t>
      </w:r>
      <w:r>
        <w:rPr>
          <w:rFonts w:hint="default" w:ascii="Times New Roman" w:hAnsi="Times New Roman" w:cs="Times New Roman"/>
          <w:color w:val="auto"/>
          <w:kern w:val="0"/>
          <w:sz w:val="28"/>
          <w:szCs w:val="28"/>
          <w:highlight w:val="none"/>
          <w:shd w:val="clear" w:color="auto" w:fill="FFFFFF"/>
        </w:rPr>
        <w:t> 各品种期货业务细则对交割流程另有规定的，按照其规定执行。</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32"/>
          <w:szCs w:val="32"/>
          <w:highlight w:val="none"/>
          <w:shd w:val="clear" w:color="auto" w:fill="FFFFFF"/>
        </w:rPr>
        <w:t>第三章 保税交割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第二十四条 </w:t>
      </w:r>
      <w:r>
        <w:rPr>
          <w:rFonts w:hint="default" w:ascii="Times New Roman" w:hAnsi="Times New Roman" w:cs="Times New Roman"/>
          <w:color w:val="auto"/>
          <w:kern w:val="0"/>
          <w:sz w:val="28"/>
          <w:szCs w:val="28"/>
          <w:highlight w:val="none"/>
          <w:shd w:val="clear" w:color="auto" w:fill="FFFFFF"/>
        </w:rPr>
        <w:t>保税交割是指以海关特殊监管区域或者保税监管场所内处于保税监管状态的期货合约所载商品作为交割标的物进行的实物交割。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第二十五条 </w:t>
      </w:r>
      <w:r>
        <w:rPr>
          <w:rFonts w:hint="default" w:ascii="Times New Roman" w:hAnsi="Times New Roman" w:cs="Times New Roman"/>
          <w:color w:val="auto"/>
          <w:kern w:val="0"/>
          <w:sz w:val="28"/>
          <w:szCs w:val="28"/>
          <w:highlight w:val="none"/>
          <w:shd w:val="clear" w:color="auto" w:fill="FFFFFF"/>
        </w:rPr>
        <w:t>保税交割仓库是指经交易所指定的，具有保税功能、履行期货保税交割的地点。</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第二十六条 </w:t>
      </w:r>
      <w:r>
        <w:rPr>
          <w:rFonts w:hint="default" w:ascii="Times New Roman" w:hAnsi="Times New Roman" w:cs="Times New Roman"/>
          <w:color w:val="auto"/>
          <w:kern w:val="0"/>
          <w:sz w:val="28"/>
          <w:szCs w:val="28"/>
          <w:highlight w:val="none"/>
          <w:shd w:val="clear" w:color="auto" w:fill="FFFFFF"/>
        </w:rPr>
        <w:t>保税交割可以采用保税标准仓单交割和出口型车（船）板交割。保税标准仓单是指由保税交割仓库按照交易所规定的程序提交标准仓单注册申请后，经交易所认可并登记注册，用于证明保税标准仓单持有人拥有实物或者可予提货的财产凭证。出口型车（船）板交割是指交割月第一个交易日至最后交易日的前一交易日由境外买方提出交割申请，由境内卖方响应，并由交易所组织配对双方在规定时间内完成的车（船）板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第二十七条</w:t>
      </w:r>
      <w:r>
        <w:rPr>
          <w:rFonts w:hint="default" w:ascii="Times New Roman" w:hAnsi="Times New Roman" w:cs="Times New Roman"/>
          <w:color w:val="auto"/>
          <w:kern w:val="0"/>
          <w:sz w:val="28"/>
          <w:szCs w:val="28"/>
          <w:highlight w:val="none"/>
          <w:shd w:val="clear" w:color="auto" w:fill="FFFFFF"/>
        </w:rPr>
        <w:t> 实行保税交割的品种由交易所另行公布。</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第二十八条</w:t>
      </w:r>
      <w:r>
        <w:rPr>
          <w:rFonts w:hint="default" w:ascii="Times New Roman" w:hAnsi="Times New Roman" w:cs="Times New Roman"/>
          <w:color w:val="auto"/>
          <w:kern w:val="0"/>
          <w:sz w:val="28"/>
          <w:szCs w:val="28"/>
          <w:highlight w:val="none"/>
          <w:shd w:val="clear" w:color="auto" w:fill="FFFFFF"/>
        </w:rPr>
        <w:t> 以保税标准仓单或者出口型车（船）板方式参与交割的，按照相关品种期货业务细则的有关规定办理。</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32"/>
          <w:szCs w:val="32"/>
          <w:highlight w:val="none"/>
          <w:shd w:val="clear" w:color="auto" w:fill="FFFFFF"/>
        </w:rPr>
        <w:t>第四章 期货转现货</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第二十九条 </w:t>
      </w:r>
      <w:r>
        <w:rPr>
          <w:rFonts w:hint="default" w:ascii="Times New Roman" w:hAnsi="Times New Roman" w:cs="Times New Roman"/>
          <w:color w:val="auto"/>
          <w:kern w:val="0"/>
          <w:sz w:val="28"/>
          <w:szCs w:val="28"/>
          <w:highlight w:val="none"/>
          <w:shd w:val="clear" w:color="auto" w:fill="FFFFFF"/>
        </w:rPr>
        <w:t>期货转现货（以下简称期转现）是指持有同一交割月份合约的交易双方协商一致并向交易所提出申请，获得交易所批准后，分别将各自期货持仓按照双方达成的平仓价格由交易所代为平仓，同时按照双方达成的现货买卖协议进行与期货合约标的物种类相同、数量相当的现货交换。其中，现货的买方在期货市场应当持有多头部位，现货的卖方在期货市场应当持有空头部位。</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第三十条 </w:t>
      </w:r>
      <w:r>
        <w:rPr>
          <w:rFonts w:hint="default" w:ascii="Times New Roman" w:hAnsi="Times New Roman" w:cs="Times New Roman"/>
          <w:color w:val="auto"/>
          <w:kern w:val="0"/>
          <w:sz w:val="28"/>
          <w:szCs w:val="28"/>
          <w:highlight w:val="none"/>
          <w:shd w:val="clear" w:color="auto" w:fill="FFFFFF"/>
        </w:rPr>
        <w:t>期货合约自上市之日起至该合约最后交易日期间，可以进行期转现。买卖双方可以通过交易所会员服务系统发布期转现意向。持有同一交割月份合约的买卖双方达成协议后，可以在每个交易日下午2时30分之前向交易所提交期转现申请。</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第三十一条 </w:t>
      </w:r>
      <w:r>
        <w:rPr>
          <w:rFonts w:hint="default" w:ascii="Times New Roman" w:hAnsi="Times New Roman" w:cs="Times New Roman"/>
          <w:color w:val="auto"/>
          <w:kern w:val="0"/>
          <w:sz w:val="28"/>
          <w:szCs w:val="28"/>
          <w:highlight w:val="none"/>
          <w:shd w:val="clear" w:color="auto" w:fill="FFFFFF"/>
        </w:rPr>
        <w:t>交易所批准期转现申请当日下午闭市之后，由交易所按照买卖双方达成的平仓价格对买卖双方持有的期货持仓进行平仓。买卖双方达成的平仓价格应当在审批日合约价格限制的范围内。</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第三十二条 </w:t>
      </w:r>
      <w:r>
        <w:rPr>
          <w:rFonts w:hint="default" w:ascii="Times New Roman" w:hAnsi="Times New Roman" w:cs="Times New Roman"/>
          <w:color w:val="auto"/>
          <w:kern w:val="0"/>
          <w:sz w:val="28"/>
          <w:szCs w:val="28"/>
          <w:highlight w:val="none"/>
          <w:shd w:val="clear" w:color="auto" w:fill="FFFFFF"/>
        </w:rPr>
        <w:t>用标准仓单进行期转现的，买方提交期转现申请前应当有20%以上的货款，货款不足的不予批准或者办理。期转现申请批准后的下一交易日，交易所为平仓成功的期转现买卖双方办理标准仓单过户手续。买卖双方可以委托交易所进行货款划转，卖方客户按照双方协商的交货价格向买方客户开具增值税专用（普通）发票，货款划转及发票流转参照本办法第二章关于交割结算流程的有关规定执行。</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买卖双方的相应持仓平仓后，交易所办理标准仓单过户手续时，卖方未能如数交付标准仓单，或者委托交易所进行货款划转的买方未能如数解付货款的，由交易所按照买卖双方达成的交货价格代扣违约方违约部分的20%作为违约金支付给守约方。</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第三十三条</w:t>
      </w:r>
      <w:r>
        <w:rPr>
          <w:rFonts w:hint="default" w:ascii="Times New Roman" w:hAnsi="Times New Roman" w:cs="Times New Roman"/>
          <w:color w:val="auto"/>
          <w:kern w:val="0"/>
          <w:sz w:val="28"/>
          <w:szCs w:val="28"/>
          <w:highlight w:val="none"/>
          <w:shd w:val="clear" w:color="auto" w:fill="FFFFFF"/>
        </w:rPr>
        <w:t> 采用标准仓单以外的方式期转现的，买卖双方应当提供相关现货买卖协议。货物交收和货款划转方式由买卖双方自行协商确定，由此产生的纠纷自行解决，交易所不承担责任。</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第三十四条 </w:t>
      </w:r>
      <w:r>
        <w:rPr>
          <w:rFonts w:hint="default" w:ascii="Times New Roman" w:hAnsi="Times New Roman" w:cs="Times New Roman"/>
          <w:color w:val="auto"/>
          <w:kern w:val="0"/>
          <w:sz w:val="28"/>
          <w:szCs w:val="28"/>
          <w:highlight w:val="none"/>
          <w:shd w:val="clear" w:color="auto" w:fill="FFFFFF"/>
        </w:rPr>
        <w:t>实行保税交割的品种期货业务细则对保税标准仓单的期转现具体流程另有规定的，按照其规定执行。</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第三十五条 </w:t>
      </w:r>
      <w:r>
        <w:rPr>
          <w:rFonts w:hint="default" w:ascii="Times New Roman" w:hAnsi="Times New Roman" w:cs="Times New Roman"/>
          <w:color w:val="auto"/>
          <w:kern w:val="0"/>
          <w:sz w:val="28"/>
          <w:szCs w:val="28"/>
          <w:highlight w:val="none"/>
          <w:shd w:val="clear" w:color="auto" w:fill="FFFFFF"/>
        </w:rPr>
        <w:t>买卖双方分别负担标准仓单期转现中标准仓单转让环节的手续费。</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第三十六条 </w:t>
      </w:r>
      <w:r>
        <w:rPr>
          <w:rFonts w:hint="default" w:ascii="Times New Roman" w:hAnsi="Times New Roman" w:cs="Times New Roman"/>
          <w:color w:val="auto"/>
          <w:kern w:val="0"/>
          <w:sz w:val="28"/>
          <w:szCs w:val="28"/>
          <w:highlight w:val="none"/>
          <w:shd w:val="clear" w:color="auto" w:fill="FFFFFF"/>
        </w:rPr>
        <w:t>交易所发现会员、境外特殊参与者、境外中介机构或者客户在期转现业务中弄虚作假的，按照《郑州商品交易所违规处理办法》有关规定进行处理。</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32"/>
          <w:szCs w:val="32"/>
          <w:highlight w:val="none"/>
          <w:shd w:val="clear" w:color="auto" w:fill="FFFFFF"/>
        </w:rPr>
        <w:t>第五章 交割费用</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第三十七条 </w:t>
      </w:r>
      <w:r>
        <w:rPr>
          <w:rFonts w:hint="default" w:ascii="Times New Roman" w:hAnsi="Times New Roman" w:cs="Times New Roman"/>
          <w:color w:val="auto"/>
          <w:kern w:val="0"/>
          <w:sz w:val="28"/>
          <w:szCs w:val="28"/>
          <w:highlight w:val="none"/>
          <w:shd w:val="clear" w:color="auto" w:fill="FFFFFF"/>
        </w:rPr>
        <w:t>进行实物交割的双方应当分别向交易所交纳交割手续费。</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客户、非期货公司会员、境外特殊非经纪参与者、仓库及厂库等根据相关品种期货业务细则有关规定，分别承担交割环节的各项费用。</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第三十八条 </w:t>
      </w:r>
      <w:r>
        <w:rPr>
          <w:rFonts w:hint="default" w:ascii="Times New Roman" w:hAnsi="Times New Roman" w:cs="Times New Roman"/>
          <w:color w:val="auto"/>
          <w:kern w:val="0"/>
          <w:sz w:val="28"/>
          <w:szCs w:val="28"/>
          <w:highlight w:val="none"/>
          <w:shd w:val="clear" w:color="auto" w:fill="FFFFFF"/>
        </w:rPr>
        <w:t>交割商品出入库费用收取标准，每年由各仓库或者厂库申报，经交易所审核批准后公告执行；当年度没有公告新标准的，沿用上年度标准。</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第三十九条 </w:t>
      </w:r>
      <w:r>
        <w:rPr>
          <w:rFonts w:hint="default" w:ascii="Times New Roman" w:hAnsi="Times New Roman" w:cs="Times New Roman"/>
          <w:color w:val="auto"/>
          <w:kern w:val="0"/>
          <w:sz w:val="28"/>
          <w:szCs w:val="28"/>
          <w:highlight w:val="none"/>
          <w:shd w:val="clear" w:color="auto" w:fill="FFFFFF"/>
        </w:rPr>
        <w:t>各品种出入库费用、车（船）板交割服务机构中转费用、交割手续费、仓储费及检验费等标准由交易所另行公告。</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第四十条 </w:t>
      </w:r>
      <w:r>
        <w:rPr>
          <w:rFonts w:hint="default" w:ascii="Times New Roman" w:hAnsi="Times New Roman" w:cs="Times New Roman"/>
          <w:color w:val="auto"/>
          <w:kern w:val="0"/>
          <w:sz w:val="28"/>
          <w:szCs w:val="28"/>
          <w:highlight w:val="none"/>
          <w:shd w:val="clear" w:color="auto" w:fill="FFFFFF"/>
        </w:rPr>
        <w:t>自标准仓单注册之日起至交易所开具《提货通知单》前一日，交易所代仓库、厂库收取仓储费，交易所在每月第一个交易日计算并收取上个月发生的仓储费。交易所代收的仓储费之外的费用，由仓库、厂库直接向客户收取。</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第四十一条 </w:t>
      </w:r>
      <w:r>
        <w:rPr>
          <w:rFonts w:hint="default" w:ascii="Times New Roman" w:hAnsi="Times New Roman" w:cs="Times New Roman"/>
          <w:color w:val="auto"/>
          <w:kern w:val="0"/>
          <w:sz w:val="28"/>
          <w:szCs w:val="28"/>
          <w:highlight w:val="none"/>
          <w:shd w:val="clear" w:color="auto" w:fill="FFFFFF"/>
        </w:rPr>
        <w:t>根据国家政策规定和市场变化，交易所需要调整有关费用标准时，另行公告。</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32"/>
          <w:szCs w:val="32"/>
          <w:highlight w:val="none"/>
          <w:shd w:val="clear" w:color="auto" w:fill="FFFFFF"/>
        </w:rPr>
        <w:t>第六章 交割违约处理</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第四十二条 </w:t>
      </w:r>
      <w:r>
        <w:rPr>
          <w:rFonts w:hint="default" w:ascii="Times New Roman" w:hAnsi="Times New Roman" w:cs="Times New Roman"/>
          <w:color w:val="auto"/>
          <w:kern w:val="0"/>
          <w:sz w:val="28"/>
          <w:szCs w:val="28"/>
          <w:highlight w:val="none"/>
          <w:shd w:val="clear" w:color="auto" w:fill="FFFFFF"/>
        </w:rPr>
        <w:t>具有下列行为之一的，构成交割违约：</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（一）规定期限内，卖方未能如数交付标准仓单或者未能如数交付实物的；</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（二）规定期限内，买方未能如数解付货款的；</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（三）车（船）板卖方交割的货物质量不符合交割质量规定的；</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（四）交易所认定的其他违约行为。</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第四十三条 </w:t>
      </w:r>
      <w:r>
        <w:rPr>
          <w:rFonts w:hint="default" w:ascii="Times New Roman" w:hAnsi="Times New Roman" w:cs="Times New Roman"/>
          <w:color w:val="auto"/>
          <w:kern w:val="0"/>
          <w:sz w:val="28"/>
          <w:szCs w:val="28"/>
          <w:highlight w:val="none"/>
          <w:shd w:val="clear" w:color="auto" w:fill="FFFFFF"/>
        </w:rPr>
        <w:t>构成交割违约的，由违约方支付违约部分合约价值20%的违约金给守约方，合约价值按交割结算价计算。买卖双方终止交割。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第四十四条 </w:t>
      </w:r>
      <w:r>
        <w:rPr>
          <w:rFonts w:hint="default" w:ascii="Times New Roman" w:hAnsi="Times New Roman" w:cs="Times New Roman"/>
          <w:color w:val="auto"/>
          <w:kern w:val="0"/>
          <w:sz w:val="28"/>
          <w:szCs w:val="28"/>
          <w:highlight w:val="none"/>
          <w:shd w:val="clear" w:color="auto" w:fill="FFFFFF"/>
        </w:rPr>
        <w:t>计算买方交割违约合约数量时，交易所应当对违约部分预扣合约价值20%的违约金。</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计算卖方交割违约合约数量的公式为：</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卖方交割违约合约数量（手）=[应交标准仓单数量（张）-已交标准仓单数量（张）]×交割单位（吨/手）÷交易单位（吨/手）</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计算买方交割违约合约数量的公式为：</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买方接到的仓单为完税标准仓单的，买方交割违约合约数量（手）=[应交货款(元) -已交货款(元)]÷（1-20%）÷[交割结算价（元/吨）+包装物单价（元/吨）]÷交易单位（吨/手）</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cs="Times New Roman"/>
          <w:color w:val="auto"/>
          <w:kern w:val="0"/>
          <w:sz w:val="28"/>
          <w:szCs w:val="28"/>
          <w:highlight w:val="none"/>
          <w:shd w:val="clear" w:color="auto" w:fill="FFFFFF"/>
        </w:rPr>
        <w:t>买方接到的仓单为保税标准仓单的，买方交割违约合约数量（手）=[保税应交货款（元）-已交货款（元）]÷ 保税交割结算价（元/吨）÷（1-20%）÷交易单位（吨/手）</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第四十五条 </w:t>
      </w:r>
      <w:r>
        <w:rPr>
          <w:rFonts w:hint="default" w:ascii="Times New Roman" w:hAnsi="Times New Roman" w:cs="Times New Roman"/>
          <w:color w:val="auto"/>
          <w:kern w:val="0"/>
          <w:sz w:val="28"/>
          <w:szCs w:val="28"/>
          <w:highlight w:val="none"/>
          <w:shd w:val="clear" w:color="auto" w:fill="FFFFFF"/>
        </w:rPr>
        <w:t>买卖双方同时违约的，交易所按终止交割处理，并对双方分别处以违约部分合约价值5%的罚款。</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第四十六条 </w:t>
      </w:r>
      <w:r>
        <w:rPr>
          <w:rFonts w:hint="default" w:ascii="Times New Roman" w:hAnsi="Times New Roman" w:cs="Times New Roman"/>
          <w:color w:val="auto"/>
          <w:kern w:val="0"/>
          <w:sz w:val="28"/>
          <w:szCs w:val="28"/>
          <w:highlight w:val="none"/>
          <w:shd w:val="clear" w:color="auto" w:fill="FFFFFF"/>
        </w:rPr>
        <w:t>会员发生部分交割违约的，违约会员所接标准仓单或者所得货款可以用于违约处理。</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第四十七条 </w:t>
      </w:r>
      <w:r>
        <w:rPr>
          <w:rFonts w:hint="default" w:ascii="Times New Roman" w:hAnsi="Times New Roman" w:cs="Times New Roman"/>
          <w:color w:val="auto"/>
          <w:kern w:val="0"/>
          <w:sz w:val="28"/>
          <w:szCs w:val="28"/>
          <w:highlight w:val="none"/>
          <w:shd w:val="clear" w:color="auto" w:fill="FFFFFF"/>
        </w:rPr>
        <w:t>按本办法规定出现终止交割情形时，交易所的担保责任终止。</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32"/>
          <w:szCs w:val="32"/>
          <w:highlight w:val="none"/>
          <w:shd w:val="clear" w:color="auto" w:fill="FFFFFF"/>
        </w:rPr>
        <w:t>第七章 附 则</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第四十八条 </w:t>
      </w:r>
      <w:r>
        <w:rPr>
          <w:rFonts w:hint="default" w:ascii="Times New Roman" w:hAnsi="Times New Roman" w:cs="Times New Roman"/>
          <w:color w:val="auto"/>
          <w:kern w:val="0"/>
          <w:sz w:val="28"/>
          <w:szCs w:val="28"/>
          <w:highlight w:val="none"/>
          <w:shd w:val="clear" w:color="auto" w:fill="FFFFFF"/>
        </w:rPr>
        <w:t>违反本办法规定的，交易所按照《郑州商品交易所违规处理办法》有关规定处理。</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第四十九条</w:t>
      </w:r>
      <w:r>
        <w:rPr>
          <w:rFonts w:hint="default" w:ascii="Times New Roman" w:hAnsi="Times New Roman" w:cs="Times New Roman"/>
          <w:color w:val="auto"/>
          <w:kern w:val="0"/>
          <w:sz w:val="28"/>
          <w:szCs w:val="28"/>
          <w:highlight w:val="none"/>
          <w:shd w:val="clear" w:color="auto" w:fill="FFFFFF"/>
        </w:rPr>
        <w:t> 各品种期货业务细则有特别规定的，适用其规定。</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highlight w:val="none"/>
        </w:rPr>
      </w:pPr>
      <w:r>
        <w:rPr>
          <w:rFonts w:hint="default" w:ascii="Times New Roman" w:hAnsi="Times New Roman" w:eastAsia="黑体" w:cs="Times New Roman"/>
          <w:color w:val="auto"/>
          <w:kern w:val="0"/>
          <w:sz w:val="28"/>
          <w:szCs w:val="28"/>
          <w:highlight w:val="none"/>
          <w:shd w:val="clear" w:color="auto" w:fill="FFFFFF"/>
        </w:rPr>
        <w:t>第五十条 </w:t>
      </w:r>
      <w:r>
        <w:rPr>
          <w:rFonts w:hint="default" w:ascii="Times New Roman" w:hAnsi="Times New Roman" w:cs="Times New Roman"/>
          <w:color w:val="auto"/>
          <w:kern w:val="0"/>
          <w:sz w:val="28"/>
          <w:szCs w:val="28"/>
          <w:highlight w:val="none"/>
          <w:shd w:val="clear" w:color="auto" w:fill="FFFFFF"/>
        </w:rPr>
        <w:t>本办法解释权属于郑州商品交易所。</w:t>
      </w:r>
    </w:p>
    <w:p>
      <w:pPr>
        <w:widowControl/>
        <w:shd w:val="clear" w:color="auto" w:fill="FFFFFF"/>
        <w:suppressAutoHyphens/>
        <w:bidi w:val="0"/>
        <w:spacing w:after="50" w:line="105"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eastAsia="黑体" w:cs="Times New Roman"/>
          <w:color w:val="auto"/>
          <w:kern w:val="0"/>
          <w:sz w:val="28"/>
          <w:szCs w:val="28"/>
          <w:highlight w:val="none"/>
          <w:shd w:val="clear" w:color="auto" w:fill="FFFFFF"/>
        </w:rPr>
        <w:t>第五十一条 </w:t>
      </w:r>
      <w:r>
        <w:rPr>
          <w:rFonts w:hint="default" w:ascii="Times New Roman" w:hAnsi="Times New Roman" w:cs="Times New Roman"/>
          <w:color w:val="auto"/>
          <w:kern w:val="0"/>
          <w:sz w:val="28"/>
          <w:szCs w:val="28"/>
          <w:highlight w:val="none"/>
          <w:shd w:val="clear" w:color="auto" w:fill="FFFFFF"/>
        </w:rPr>
        <w:t>本办</w:t>
      </w:r>
      <w:r>
        <w:rPr>
          <w:rFonts w:hint="eastAsia" w:ascii="宋体" w:hAnsi="宋体" w:eastAsia="宋体" w:cs="宋体"/>
          <w:color w:val="auto"/>
          <w:kern w:val="0"/>
          <w:sz w:val="28"/>
          <w:szCs w:val="28"/>
          <w:highlight w:val="none"/>
          <w:shd w:val="clear" w:color="auto" w:fill="FFFFFF"/>
        </w:rPr>
        <w:t>法自</w:t>
      </w:r>
      <w:r>
        <w:rPr>
          <w:rFonts w:hint="eastAsia" w:ascii="宋体" w:hAnsi="宋体" w:eastAsia="宋体" w:cs="宋体"/>
          <w:color w:val="auto"/>
          <w:kern w:val="0"/>
          <w:sz w:val="28"/>
          <w:szCs w:val="28"/>
          <w:highlight w:val="none"/>
          <w:shd w:val="clear" w:color="auto" w:fill="FFFFFF"/>
          <w:lang w:val="en-US" w:eastAsia="zh-CN"/>
        </w:rPr>
        <w:t>2026</w:t>
      </w:r>
      <w:r>
        <w:rPr>
          <w:rFonts w:hint="eastAsia" w:ascii="宋体" w:hAnsi="宋体" w:eastAsia="宋体" w:cs="宋体"/>
          <w:color w:val="auto"/>
          <w:kern w:val="0"/>
          <w:sz w:val="28"/>
          <w:szCs w:val="28"/>
          <w:highlight w:val="none"/>
          <w:shd w:val="clear" w:color="auto" w:fill="FFFFFF"/>
        </w:rPr>
        <w:t>年</w:t>
      </w:r>
      <w:r>
        <w:rPr>
          <w:rFonts w:hint="default" w:ascii="宋体" w:hAnsi="宋体" w:cs="宋体"/>
          <w:color w:val="auto"/>
          <w:kern w:val="0"/>
          <w:sz w:val="28"/>
          <w:szCs w:val="28"/>
          <w:highlight w:val="none"/>
          <w:shd w:val="clear" w:color="auto" w:fill="FFFFFF"/>
          <w:lang w:val="en-US" w:eastAsia="zh-CN"/>
        </w:rPr>
        <w:t>5</w:t>
      </w:r>
      <w:r>
        <w:rPr>
          <w:rFonts w:hint="eastAsia" w:ascii="宋体" w:hAnsi="宋体" w:eastAsia="宋体" w:cs="宋体"/>
          <w:color w:val="auto"/>
          <w:kern w:val="0"/>
          <w:sz w:val="28"/>
          <w:szCs w:val="28"/>
          <w:highlight w:val="none"/>
          <w:shd w:val="clear" w:color="auto" w:fill="FFFFFF"/>
        </w:rPr>
        <w:t>月</w:t>
      </w:r>
      <w:r>
        <w:rPr>
          <w:rFonts w:hint="default" w:ascii="宋体" w:hAnsi="宋体" w:cs="宋体"/>
          <w:color w:val="auto"/>
          <w:kern w:val="0"/>
          <w:sz w:val="28"/>
          <w:szCs w:val="28"/>
          <w:highlight w:val="none"/>
          <w:shd w:val="clear" w:color="auto" w:fill="FFFFFF"/>
          <w:lang w:val="en-US" w:eastAsia="zh-CN"/>
        </w:rPr>
        <w:t>7</w:t>
      </w:r>
      <w:r>
        <w:rPr>
          <w:rFonts w:hint="eastAsia" w:ascii="宋体" w:hAnsi="宋体" w:eastAsia="宋体" w:cs="宋体"/>
          <w:color w:val="auto"/>
          <w:kern w:val="0"/>
          <w:sz w:val="28"/>
          <w:szCs w:val="28"/>
          <w:highlight w:val="none"/>
          <w:shd w:val="clear" w:color="auto" w:fill="FFFFFF"/>
        </w:rPr>
        <w:t>日起施行</w:t>
      </w:r>
      <w:r>
        <w:rPr>
          <w:rFonts w:hint="default" w:ascii="Times New Roman" w:hAnsi="Times New Roman" w:cs="Times New Roman"/>
          <w:color w:val="auto"/>
          <w:kern w:val="0"/>
          <w:sz w:val="28"/>
          <w:szCs w:val="28"/>
          <w:highlight w:val="none"/>
          <w:shd w:val="clear" w:color="auto" w:fill="FFFFFF"/>
        </w:rPr>
        <w:t>。</w:t>
      </w:r>
    </w:p>
    <w:p>
      <w:pPr>
        <w:rPr>
          <w:rFonts w:hint="default" w:ascii="黑体" w:hAnsi="黑体" w:eastAsia="黑体" w:cs="黑体"/>
          <w:sz w:val="32"/>
          <w:szCs w:val="32"/>
          <w:highlight w:val="none"/>
          <w:lang w:val="en-US"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left"/>
        <w:textAlignment w:val="auto"/>
        <w:rPr>
          <w:rFonts w:hint="default"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附件9</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郑州商品交易所标准仓单管理办法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对《郑州商品交易所标准仓单管理办法》作如下修订：</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三条修订为：“交易所、会员、客户、境外特殊参与者、境外中介机构、交割仓库(以下简称仓库)、交割厂库(以下简称厂库)、指定质检机构、相关银行等标准仓单业务参与者办理与标准仓单有关的各项业务，应当遵守本办法。”</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将第二章第五条第二款修订为：“通用标准仓单载明的内容包括：会员号、会员名称、客户或境外特殊非经纪参与者交易编码、品种、标准仓单数量、冻结数量、作为保证金数量等。”</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六条第二款修订为：“非通用标准仓单载明的内容包括：会员号、会员名称、客户或境外特殊非经纪参与者交易编码、品种、标准仓单数量、仓库或者厂库、检验时间、标准仓单编号、冻结数量、作为保证金数量等。”</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八条修订为：“会员、境外特殊非经纪参与者或者客户使用标准仓单向商业银行等第三方提供担保的，应当在交易所办理标准仓单质权登记手续。未经交易所办理质权登记的，不得约束其他会员、境外特殊非经纪参与者或者客户等第三人。”</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将第三章第二十四条修订为：“非期货公司会员、境外特殊非经纪参与者或者客户与厂库结清货款等费用后，厂库通过交易所仓单注册注销系统提交标准仓单注册申请。”</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将第四章第二十九条第三款修订为：“客户或者境外特殊非经纪参与者标准仓单的流通应当委托会员办理，以会员名义在交易所进行，流通结果由客户或者境外特殊非经纪参与者承担。”</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将第五章第三十三条第二款修订为：“标准仓单持有人注销标准仓单，应当通过会员向交易所提交标准仓单注销申请。”</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将第五章第三十五条第三款修订为：“提货人办理提货手续前，应当自行或者委托会员及时编制《提货通知单》验证密码。”</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七章第六十三条修订为：“标准仓单转让人与受让人（提货人）之间，或者提货人与仓库、厂库、仓单质量免检承诺人之间发生交割纠纷的，双方可以协商解决；协商无法达成一致意见的，应当在纠纷发生之日起5个工作日内以书面形式向交易所申请调解。调解不成的，依法向人民法院起诉或者依约向仲裁机构申请仲裁。”</w:t>
      </w:r>
    </w:p>
    <w:p>
      <w:pPr>
        <w:widowControl/>
        <w:jc w:val="center"/>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《郑州商品交易所标准仓单管理办法》</w:t>
      </w:r>
    </w:p>
    <w:p>
      <w:pPr>
        <w:widowControl/>
        <w:jc w:val="center"/>
        <w:rPr>
          <w:rFonts w:hint="eastAsia" w:ascii="宋体" w:hAnsi="宋体" w:eastAsia="方正小标宋简体"/>
          <w:b/>
          <w:sz w:val="40"/>
          <w:szCs w:val="40"/>
          <w:highlight w:val="none"/>
          <w:lang w:val="en-US" w:eastAsia="zh-CN"/>
        </w:rPr>
      </w:pPr>
      <w:r>
        <w:rPr>
          <w:rFonts w:hint="eastAsia" w:ascii="方正小标宋简体" w:hAnsi="方正小标宋简体" w:eastAsia="方正小标宋简体" w:cs="方正小标宋简体"/>
          <w:b w:val="0"/>
          <w:bCs/>
          <w:sz w:val="40"/>
          <w:szCs w:val="40"/>
          <w:highlight w:val="none"/>
        </w:rPr>
        <w:t>修订对照表</w:t>
      </w:r>
    </w:p>
    <w:p>
      <w:pPr>
        <w:widowControl/>
        <w:spacing w:line="360" w:lineRule="auto"/>
        <w:jc w:val="center"/>
        <w:outlineLvl w:val="0"/>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lang w:eastAsia="zh-CN"/>
              </w:rPr>
              <w:t>修订前</w:t>
            </w:r>
            <w:r>
              <w:rPr>
                <w:rFonts w:hint="eastAsia" w:ascii="仿宋" w:hAnsi="仿宋" w:eastAsia="仿宋"/>
                <w:b/>
                <w:bCs/>
                <w:sz w:val="24"/>
                <w:highlight w:val="none"/>
              </w:rPr>
              <w:t>条文</w:t>
            </w:r>
          </w:p>
        </w:tc>
        <w:tc>
          <w:tcPr>
            <w:tcW w:w="0" w:type="auto"/>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rPr>
              <w:t>修订</w:t>
            </w:r>
            <w:r>
              <w:rPr>
                <w:rFonts w:hint="eastAsia" w:ascii="仿宋" w:hAnsi="仿宋" w:eastAsia="仿宋"/>
                <w:b/>
                <w:bCs/>
                <w:sz w:val="24"/>
                <w:highlight w:val="none"/>
                <w:lang w:eastAsia="zh-CN"/>
              </w:rPr>
              <w:t>后</w:t>
            </w:r>
            <w:r>
              <w:rPr>
                <w:rFonts w:hint="eastAsia" w:ascii="仿宋" w:hAnsi="仿宋" w:eastAsia="仿宋"/>
                <w:b/>
                <w:bCs/>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2"/>
            <w:noWrap w:val="0"/>
            <w:vAlign w:val="top"/>
          </w:tcPr>
          <w:p>
            <w:pPr>
              <w:jc w:val="center"/>
              <w:rPr>
                <w:rFonts w:ascii="仿宋" w:hAnsi="仿宋" w:eastAsia="仿宋"/>
                <w:b/>
                <w:sz w:val="24"/>
                <w:highlight w:val="none"/>
              </w:rPr>
            </w:pPr>
            <w:r>
              <w:rPr>
                <w:rFonts w:hint="eastAsia" w:ascii="仿宋" w:hAnsi="仿宋" w:eastAsia="仿宋"/>
                <w:b/>
                <w:sz w:val="24"/>
                <w:highlight w:val="none"/>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ascii="仿宋" w:hAnsi="仿宋" w:eastAsia="仿宋"/>
                <w:sz w:val="24"/>
                <w:highlight w:val="none"/>
              </w:rPr>
            </w:pPr>
            <w:r>
              <w:rPr>
                <w:rFonts w:hint="eastAsia" w:ascii="仿宋" w:hAnsi="仿宋" w:eastAsia="仿宋"/>
                <w:b/>
                <w:color w:val="000000"/>
                <w:kern w:val="0"/>
                <w:sz w:val="24"/>
                <w:highlight w:val="none"/>
              </w:rPr>
              <w:t xml:space="preserve">第三条 </w:t>
            </w:r>
            <w:r>
              <w:rPr>
                <w:rFonts w:hint="eastAsia" w:ascii="仿宋" w:hAnsi="仿宋" w:eastAsia="仿宋"/>
                <w:b w:val="0"/>
                <w:bCs/>
                <w:color w:val="000000"/>
                <w:kern w:val="0"/>
                <w:sz w:val="24"/>
                <w:highlight w:val="none"/>
              </w:rPr>
              <w:t>交易所、会员、客户、境外经纪机构、交割仓库(以下简称仓库)、交割厂库(以下简称厂库)、指定质检机构、相关银行等标准仓单业务参与者办理与标准仓单有关的各项业务，应当遵守本办法。</w:t>
            </w:r>
          </w:p>
        </w:tc>
        <w:tc>
          <w:tcPr>
            <w:tcW w:w="0" w:type="auto"/>
            <w:noWrap w:val="0"/>
            <w:vAlign w:val="top"/>
          </w:tcPr>
          <w:p>
            <w:pPr>
              <w:ind w:firstLine="481" w:firstLineChars="200"/>
              <w:rPr>
                <w:rFonts w:ascii="仿宋" w:hAnsi="仿宋" w:eastAsia="仿宋"/>
                <w:sz w:val="24"/>
                <w:highlight w:val="none"/>
              </w:rPr>
            </w:pPr>
            <w:r>
              <w:rPr>
                <w:rFonts w:hint="eastAsia" w:ascii="仿宋" w:hAnsi="仿宋" w:eastAsia="仿宋"/>
                <w:b/>
                <w:color w:val="000000"/>
                <w:kern w:val="0"/>
                <w:sz w:val="24"/>
                <w:highlight w:val="none"/>
              </w:rPr>
              <w:t xml:space="preserve">第三条 </w:t>
            </w:r>
            <w:r>
              <w:rPr>
                <w:rFonts w:hint="eastAsia" w:ascii="仿宋" w:hAnsi="仿宋" w:eastAsia="仿宋"/>
                <w:b w:val="0"/>
                <w:bCs/>
                <w:color w:val="000000"/>
                <w:kern w:val="0"/>
                <w:sz w:val="24"/>
                <w:highlight w:val="none"/>
              </w:rPr>
              <w:t>交易所、会员、客户、</w:t>
            </w:r>
            <w:r>
              <w:rPr>
                <w:rFonts w:hint="eastAsia" w:ascii="仿宋" w:hAnsi="仿宋" w:eastAsia="仿宋"/>
                <w:b/>
                <w:bCs w:val="0"/>
                <w:strike w:val="0"/>
                <w:dstrike w:val="0"/>
                <w:color w:val="000000"/>
                <w:kern w:val="0"/>
                <w:sz w:val="24"/>
                <w:highlight w:val="none"/>
                <w:u w:val="single"/>
                <w:lang w:val="en-US" w:eastAsia="zh-CN"/>
              </w:rPr>
              <w:t>境外特殊参与者</w:t>
            </w:r>
            <w:r>
              <w:rPr>
                <w:rFonts w:hint="eastAsia" w:ascii="仿宋" w:hAnsi="仿宋" w:eastAsia="仿宋"/>
                <w:b w:val="0"/>
                <w:bCs/>
                <w:color w:val="000000"/>
                <w:kern w:val="0"/>
                <w:sz w:val="24"/>
                <w:highlight w:val="none"/>
              </w:rPr>
              <w:t>、</w:t>
            </w:r>
            <w:r>
              <w:rPr>
                <w:rFonts w:hint="eastAsia" w:ascii="仿宋" w:hAnsi="仿宋" w:eastAsia="仿宋"/>
                <w:b w:val="0"/>
                <w:bCs/>
                <w:strike w:val="0"/>
                <w:dstrike/>
                <w:color w:val="000000"/>
                <w:kern w:val="0"/>
                <w:sz w:val="24"/>
                <w:highlight w:val="none"/>
              </w:rPr>
              <w:t>境外经纪机构</w:t>
            </w:r>
            <w:r>
              <w:rPr>
                <w:rFonts w:hint="eastAsia" w:ascii="仿宋" w:hAnsi="仿宋" w:eastAsia="仿宋"/>
                <w:b/>
                <w:bCs w:val="0"/>
                <w:strike w:val="0"/>
                <w:dstrike w:val="0"/>
                <w:color w:val="000000"/>
                <w:kern w:val="0"/>
                <w:sz w:val="24"/>
                <w:highlight w:val="none"/>
                <w:u w:val="single"/>
                <w:lang w:val="en-US" w:eastAsia="zh-CN"/>
              </w:rPr>
              <w:t>境外中介机构、</w:t>
            </w:r>
            <w:r>
              <w:rPr>
                <w:rFonts w:hint="eastAsia" w:ascii="仿宋" w:hAnsi="仿宋" w:eastAsia="仿宋"/>
                <w:b w:val="0"/>
                <w:bCs/>
                <w:color w:val="000000"/>
                <w:kern w:val="0"/>
                <w:sz w:val="24"/>
                <w:highlight w:val="none"/>
              </w:rPr>
              <w:t>交割仓库(以下简称仓库)、交割厂库(以下简称厂库)、指定质检机构、相关银行等标准仓单业务参与者办理与标准仓单有关的各项业务，应当遵守本办法。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2"/>
            <w:noWrap w:val="0"/>
            <w:vAlign w:val="top"/>
          </w:tcPr>
          <w:p>
            <w:pPr>
              <w:jc w:val="center"/>
              <w:rPr>
                <w:rFonts w:hint="eastAsia" w:ascii="仿宋" w:hAnsi="仿宋" w:eastAsia="仿宋"/>
                <w:b/>
                <w:sz w:val="24"/>
                <w:highlight w:val="none"/>
                <w:lang w:eastAsia="zh-CN"/>
              </w:rPr>
            </w:pPr>
            <w:r>
              <w:rPr>
                <w:rFonts w:ascii="仿宋" w:hAnsi="仿宋" w:eastAsia="仿宋"/>
                <w:b/>
                <w:sz w:val="24"/>
                <w:highlight w:val="none"/>
              </w:rPr>
              <w:t xml:space="preserve">第二章 </w:t>
            </w:r>
            <w:r>
              <w:rPr>
                <w:rFonts w:hint="eastAsia" w:ascii="仿宋" w:hAnsi="仿宋" w:eastAsia="仿宋"/>
                <w:b/>
                <w:sz w:val="24"/>
                <w:highlight w:val="none"/>
                <w:lang w:val="en-US" w:eastAsia="zh-CN"/>
              </w:rPr>
              <w:t>一般规定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第五条 </w:t>
            </w:r>
            <w:r>
              <w:rPr>
                <w:rFonts w:hint="eastAsia" w:ascii="仿宋" w:hAnsi="仿宋" w:eastAsia="仿宋"/>
                <w:b w:val="0"/>
                <w:bCs/>
                <w:color w:val="000000"/>
                <w:kern w:val="0"/>
                <w:sz w:val="24"/>
                <w:highlight w:val="none"/>
              </w:rPr>
              <w:t>通用标准仓单是指标准仓单持有人按照交易所的规定和程序可以到标准仓单载明品种所在的任一仓库或者厂库选择提货的财产凭证。</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b/>
                <w:color w:val="000000"/>
                <w:kern w:val="0"/>
                <w:sz w:val="24"/>
                <w:highlight w:val="none"/>
              </w:rPr>
            </w:pPr>
            <w:r>
              <w:rPr>
                <w:rFonts w:hint="eastAsia" w:ascii="仿宋" w:hAnsi="仿宋" w:eastAsia="仿宋"/>
                <w:b w:val="0"/>
                <w:bCs/>
                <w:color w:val="000000"/>
                <w:kern w:val="0"/>
                <w:sz w:val="24"/>
                <w:highlight w:val="none"/>
              </w:rPr>
              <w:t>通用标准仓单载明的内容包括：会员号、会员名称、客户交易编码、品种、标准仓单数量、冻结数量、作为保证金数量等。</w:t>
            </w:r>
          </w:p>
        </w:tc>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第五条 </w:t>
            </w:r>
            <w:r>
              <w:rPr>
                <w:rFonts w:hint="eastAsia" w:ascii="仿宋" w:hAnsi="仿宋" w:eastAsia="仿宋"/>
                <w:b w:val="0"/>
                <w:bCs/>
                <w:color w:val="000000"/>
                <w:kern w:val="0"/>
                <w:sz w:val="24"/>
                <w:highlight w:val="none"/>
              </w:rPr>
              <w:t>通用标准仓单是指标准仓单持有人按照交易所的规定和程序可以到标准仓单载明品种所在的任一仓库或者厂库选择提货的财产凭证。</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仿宋" w:hAnsi="仿宋" w:eastAsia="仿宋"/>
                <w:color w:val="000000"/>
                <w:kern w:val="0"/>
                <w:sz w:val="24"/>
                <w:highlight w:val="none"/>
              </w:rPr>
            </w:pPr>
            <w:r>
              <w:rPr>
                <w:rFonts w:hint="eastAsia" w:ascii="仿宋" w:hAnsi="仿宋" w:eastAsia="仿宋"/>
                <w:b w:val="0"/>
                <w:bCs/>
                <w:color w:val="000000"/>
                <w:kern w:val="0"/>
                <w:sz w:val="24"/>
                <w:highlight w:val="none"/>
              </w:rPr>
              <w:t>通用标准仓单载明的内容包括：会员号、会员名称、客户</w:t>
            </w:r>
            <w:r>
              <w:rPr>
                <w:rFonts w:hint="eastAsia" w:ascii="仿宋" w:hAnsi="仿宋" w:eastAsia="仿宋"/>
                <w:b/>
                <w:bCs w:val="0"/>
                <w:color w:val="000000"/>
                <w:kern w:val="0"/>
                <w:sz w:val="24"/>
                <w:highlight w:val="none"/>
                <w:u w:val="single"/>
                <w:lang w:val="en-US" w:eastAsia="zh-CN"/>
              </w:rPr>
              <w:t>或境外特殊非经纪参与者</w:t>
            </w:r>
            <w:r>
              <w:rPr>
                <w:rFonts w:hint="eastAsia" w:ascii="仿宋" w:hAnsi="仿宋" w:eastAsia="仿宋"/>
                <w:b w:val="0"/>
                <w:bCs/>
                <w:color w:val="000000"/>
                <w:kern w:val="0"/>
                <w:sz w:val="24"/>
                <w:highlight w:val="none"/>
              </w:rPr>
              <w:t>交易编码、品种、标准仓单数量、冻结数量、作为保证金数量等。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第六条 </w:t>
            </w:r>
            <w:r>
              <w:rPr>
                <w:rFonts w:hint="eastAsia" w:ascii="仿宋" w:hAnsi="仿宋" w:eastAsia="仿宋"/>
                <w:b w:val="0"/>
                <w:bCs/>
                <w:color w:val="000000"/>
                <w:kern w:val="0"/>
                <w:sz w:val="24"/>
                <w:highlight w:val="none"/>
              </w:rPr>
              <w:t>非通用标准仓单是指标准仓单持有人按照交易所的规定和程序只能到标准仓单载明品种所在的仓库或者厂库提取对应货物的财产凭证。</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b w:val="0"/>
                <w:bCs/>
                <w:color w:val="000000"/>
                <w:kern w:val="0"/>
                <w:sz w:val="24"/>
                <w:highlight w:val="none"/>
              </w:rPr>
            </w:pPr>
            <w:r>
              <w:rPr>
                <w:rFonts w:hint="eastAsia" w:ascii="仿宋" w:hAnsi="仿宋" w:eastAsia="仿宋"/>
                <w:b w:val="0"/>
                <w:bCs/>
                <w:color w:val="000000"/>
                <w:kern w:val="0"/>
                <w:sz w:val="24"/>
                <w:highlight w:val="none"/>
              </w:rPr>
              <w:t>非通用标准仓单载明的内容包括：会员号、会员名称、客户交易编码、品种、标准仓单数量、仓库或者厂库、检验时间、标准仓单编号、冻结数量、作为保证金数量等。</w:t>
            </w:r>
          </w:p>
        </w:tc>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第六条 </w:t>
            </w:r>
            <w:r>
              <w:rPr>
                <w:rFonts w:hint="eastAsia" w:ascii="仿宋" w:hAnsi="仿宋" w:eastAsia="仿宋"/>
                <w:b w:val="0"/>
                <w:bCs/>
                <w:color w:val="000000"/>
                <w:kern w:val="0"/>
                <w:sz w:val="24"/>
                <w:highlight w:val="none"/>
              </w:rPr>
              <w:t>非通用标准仓单是指标准仓单持有人按照交易所的规定和程序只能到标准仓单载明品种所在的仓库或者厂库提取对应货物的财产凭证。</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b w:val="0"/>
                <w:bCs/>
                <w:color w:val="000000"/>
                <w:kern w:val="0"/>
                <w:sz w:val="24"/>
                <w:highlight w:val="none"/>
              </w:rPr>
            </w:pPr>
            <w:r>
              <w:rPr>
                <w:rFonts w:hint="eastAsia" w:ascii="仿宋" w:hAnsi="仿宋" w:eastAsia="仿宋"/>
                <w:b w:val="0"/>
                <w:bCs/>
                <w:color w:val="000000"/>
                <w:kern w:val="0"/>
                <w:sz w:val="24"/>
                <w:highlight w:val="none"/>
              </w:rPr>
              <w:t>非通用标准仓单载明的内容包括：会员号、会员名称、客户</w:t>
            </w:r>
            <w:r>
              <w:rPr>
                <w:rFonts w:hint="eastAsia" w:ascii="仿宋" w:hAnsi="仿宋" w:eastAsia="仿宋"/>
                <w:b/>
                <w:bCs w:val="0"/>
                <w:color w:val="000000"/>
                <w:kern w:val="0"/>
                <w:sz w:val="24"/>
                <w:highlight w:val="none"/>
                <w:u w:val="single"/>
                <w:lang w:val="en-US" w:eastAsia="zh-CN"/>
              </w:rPr>
              <w:t>或境外特殊非经纪参与者</w:t>
            </w:r>
            <w:r>
              <w:rPr>
                <w:rFonts w:hint="eastAsia" w:ascii="仿宋" w:hAnsi="仿宋" w:eastAsia="仿宋"/>
                <w:b w:val="0"/>
                <w:bCs/>
                <w:color w:val="000000"/>
                <w:kern w:val="0"/>
                <w:sz w:val="24"/>
                <w:highlight w:val="none"/>
              </w:rPr>
              <w:t>交易编码、品种、标准仓单数量、仓库或者厂库、检验时间、标准仓单编号、冻结数量、作为保证金数量等。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第八条 </w:t>
            </w:r>
            <w:r>
              <w:rPr>
                <w:rFonts w:hint="eastAsia" w:ascii="仿宋" w:hAnsi="仿宋" w:eastAsia="仿宋"/>
                <w:b w:val="0"/>
                <w:bCs/>
                <w:color w:val="000000"/>
                <w:kern w:val="0"/>
                <w:sz w:val="24"/>
                <w:highlight w:val="none"/>
              </w:rPr>
              <w:t>会员或者客户使用标准仓单向商业银行等第三方提供担保的，应当在交易所办理标准仓单质权登记手续。未经交易所办理质权登记的，不得约束其他会员或者客户等第三人。</w:t>
            </w:r>
          </w:p>
        </w:tc>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第八条 </w:t>
            </w:r>
            <w:r>
              <w:rPr>
                <w:rFonts w:hint="eastAsia" w:ascii="仿宋" w:hAnsi="仿宋" w:eastAsia="仿宋"/>
                <w:b w:val="0"/>
                <w:bCs/>
                <w:color w:val="000000"/>
                <w:kern w:val="0"/>
                <w:sz w:val="24"/>
                <w:highlight w:val="none"/>
              </w:rPr>
              <w:t>会员</w:t>
            </w:r>
            <w:r>
              <w:rPr>
                <w:rFonts w:hint="eastAsia" w:ascii="仿宋" w:hAnsi="仿宋" w:eastAsia="仿宋"/>
                <w:b/>
                <w:bCs w:val="0"/>
                <w:color w:val="000000"/>
                <w:kern w:val="0"/>
                <w:sz w:val="24"/>
                <w:highlight w:val="none"/>
                <w:u w:val="single"/>
                <w:lang w:eastAsia="zh-CN"/>
              </w:rPr>
              <w:t>、</w:t>
            </w:r>
            <w:r>
              <w:rPr>
                <w:rFonts w:hint="eastAsia" w:ascii="仿宋" w:hAnsi="仿宋" w:eastAsia="仿宋"/>
                <w:b/>
                <w:bCs w:val="0"/>
                <w:color w:val="000000"/>
                <w:kern w:val="0"/>
                <w:sz w:val="24"/>
                <w:highlight w:val="none"/>
                <w:u w:val="single"/>
                <w:lang w:val="en-US" w:eastAsia="zh-CN"/>
              </w:rPr>
              <w:t>境外特殊非经纪参与者</w:t>
            </w:r>
            <w:r>
              <w:rPr>
                <w:rFonts w:hint="eastAsia" w:ascii="仿宋" w:hAnsi="仿宋" w:eastAsia="仿宋"/>
                <w:b w:val="0"/>
                <w:bCs/>
                <w:strike w:val="0"/>
                <w:color w:val="000000"/>
                <w:kern w:val="0"/>
                <w:sz w:val="24"/>
                <w:highlight w:val="none"/>
              </w:rPr>
              <w:t>或者</w:t>
            </w:r>
            <w:r>
              <w:rPr>
                <w:rFonts w:hint="eastAsia" w:ascii="仿宋" w:hAnsi="仿宋" w:eastAsia="仿宋"/>
                <w:b w:val="0"/>
                <w:bCs/>
                <w:color w:val="000000"/>
                <w:kern w:val="0"/>
                <w:sz w:val="24"/>
                <w:highlight w:val="none"/>
              </w:rPr>
              <w:t>客户使用标准仓单向商业银行等第三方提供担保的，应当在交易所办理标准仓单质权登记手续。未经交易所办理质权登记的，不得约束其他会员</w:t>
            </w:r>
            <w:r>
              <w:rPr>
                <w:rFonts w:hint="eastAsia" w:ascii="仿宋" w:hAnsi="仿宋" w:eastAsia="仿宋"/>
                <w:b/>
                <w:bCs w:val="0"/>
                <w:color w:val="000000"/>
                <w:kern w:val="0"/>
                <w:sz w:val="24"/>
                <w:highlight w:val="none"/>
                <w:u w:val="single"/>
                <w:lang w:eastAsia="zh-CN"/>
              </w:rPr>
              <w:t>、</w:t>
            </w:r>
            <w:r>
              <w:rPr>
                <w:rFonts w:hint="eastAsia" w:ascii="仿宋" w:hAnsi="仿宋" w:eastAsia="仿宋"/>
                <w:b/>
                <w:bCs w:val="0"/>
                <w:color w:val="000000"/>
                <w:kern w:val="0"/>
                <w:sz w:val="24"/>
                <w:highlight w:val="none"/>
                <w:u w:val="single"/>
                <w:lang w:val="en-US" w:eastAsia="zh-CN"/>
              </w:rPr>
              <w:t>境外特殊非经纪参与者</w:t>
            </w:r>
            <w:r>
              <w:rPr>
                <w:rFonts w:hint="eastAsia" w:ascii="仿宋" w:hAnsi="仿宋" w:eastAsia="仿宋"/>
                <w:b w:val="0"/>
                <w:bCs/>
                <w:strike w:val="0"/>
                <w:color w:val="000000"/>
                <w:kern w:val="0"/>
                <w:sz w:val="24"/>
                <w:highlight w:val="none"/>
              </w:rPr>
              <w:t>或者</w:t>
            </w:r>
            <w:r>
              <w:rPr>
                <w:rFonts w:hint="eastAsia" w:ascii="仿宋" w:hAnsi="仿宋" w:eastAsia="仿宋"/>
                <w:b w:val="0"/>
                <w:bCs/>
                <w:color w:val="000000"/>
                <w:kern w:val="0"/>
                <w:sz w:val="24"/>
                <w:highlight w:val="none"/>
              </w:rPr>
              <w:t>客户等第三人。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2"/>
            <w:noWrap w:val="0"/>
            <w:vAlign w:val="center"/>
          </w:tcPr>
          <w:p>
            <w:pPr>
              <w:jc w:val="center"/>
              <w:rPr>
                <w:rFonts w:ascii="仿宋" w:hAnsi="仿宋" w:eastAsia="仿宋"/>
                <w:b/>
                <w:sz w:val="24"/>
                <w:highlight w:val="none"/>
              </w:rPr>
            </w:pPr>
            <w:r>
              <w:rPr>
                <w:rFonts w:hint="eastAsia" w:ascii="仿宋" w:hAnsi="仿宋" w:eastAsia="仿宋"/>
                <w:b/>
                <w:sz w:val="24"/>
                <w:highlight w:val="none"/>
              </w:rPr>
              <w:t>第三章  标准仓单的生成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ascii="仿宋" w:hAnsi="仿宋" w:eastAsia="仿宋"/>
                <w:b/>
                <w:color w:val="000000"/>
                <w:kern w:val="0"/>
                <w:sz w:val="24"/>
                <w:highlight w:val="none"/>
              </w:rPr>
            </w:pPr>
            <w:r>
              <w:rPr>
                <w:rFonts w:hint="eastAsia" w:ascii="仿宋" w:hAnsi="仿宋" w:eastAsia="仿宋"/>
                <w:b/>
                <w:color w:val="000000"/>
                <w:kern w:val="0"/>
                <w:sz w:val="24"/>
                <w:highlight w:val="none"/>
              </w:rPr>
              <w:t xml:space="preserve">第二十四条 </w:t>
            </w:r>
            <w:r>
              <w:rPr>
                <w:rFonts w:hint="eastAsia" w:ascii="仿宋" w:hAnsi="仿宋" w:eastAsia="仿宋"/>
                <w:b w:val="0"/>
                <w:bCs/>
                <w:color w:val="000000"/>
                <w:kern w:val="0"/>
                <w:sz w:val="24"/>
                <w:highlight w:val="none"/>
              </w:rPr>
              <w:t>非期货公司会员或者客户与厂库结清货款等费用后，厂库通过交易所仓单注册注销系统提交标准仓单注册申请。</w:t>
            </w:r>
          </w:p>
        </w:tc>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ascii="微软雅黑" w:hAnsi="微软雅黑" w:cs="宋体"/>
                <w:color w:val="333333"/>
                <w:kern w:val="0"/>
                <w:sz w:val="24"/>
                <w:highlight w:val="none"/>
              </w:rPr>
            </w:pPr>
            <w:r>
              <w:rPr>
                <w:rFonts w:hint="eastAsia" w:ascii="仿宋" w:hAnsi="仿宋" w:eastAsia="仿宋"/>
                <w:b/>
                <w:color w:val="000000"/>
                <w:kern w:val="0"/>
                <w:sz w:val="24"/>
                <w:highlight w:val="none"/>
              </w:rPr>
              <w:t xml:space="preserve">第二十四条 </w:t>
            </w:r>
            <w:r>
              <w:rPr>
                <w:rFonts w:hint="eastAsia" w:ascii="仿宋" w:hAnsi="仿宋" w:eastAsia="仿宋"/>
                <w:b w:val="0"/>
                <w:bCs/>
                <w:color w:val="000000"/>
                <w:kern w:val="0"/>
                <w:sz w:val="24"/>
                <w:highlight w:val="none"/>
              </w:rPr>
              <w:t>非期货公司会员</w:t>
            </w:r>
            <w:r>
              <w:rPr>
                <w:rFonts w:hint="eastAsia" w:ascii="仿宋" w:hAnsi="仿宋" w:eastAsia="仿宋"/>
                <w:b/>
                <w:bCs w:val="0"/>
                <w:color w:val="000000"/>
                <w:kern w:val="0"/>
                <w:sz w:val="24"/>
                <w:highlight w:val="none"/>
                <w:u w:val="single"/>
                <w:lang w:eastAsia="zh-CN"/>
              </w:rPr>
              <w:t>、</w:t>
            </w:r>
            <w:r>
              <w:rPr>
                <w:rFonts w:hint="eastAsia" w:ascii="仿宋" w:hAnsi="仿宋" w:eastAsia="仿宋"/>
                <w:b/>
                <w:bCs w:val="0"/>
                <w:color w:val="000000"/>
                <w:kern w:val="0"/>
                <w:sz w:val="24"/>
                <w:highlight w:val="none"/>
                <w:u w:val="single"/>
                <w:lang w:val="en-US" w:eastAsia="zh-CN"/>
              </w:rPr>
              <w:t>境外特殊非经纪参与者</w:t>
            </w:r>
            <w:r>
              <w:rPr>
                <w:rFonts w:hint="eastAsia" w:ascii="仿宋" w:hAnsi="仿宋" w:eastAsia="仿宋"/>
                <w:b w:val="0"/>
                <w:bCs/>
                <w:color w:val="000000"/>
                <w:kern w:val="0"/>
                <w:sz w:val="24"/>
                <w:highlight w:val="none"/>
              </w:rPr>
              <w:t>或者客户与厂库结清货款等费用后，厂库通过交易所仓单注册注销系统提交标准仓单注册申请。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2"/>
            <w:noWrap w:val="0"/>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b/>
                <w:color w:val="000000"/>
                <w:kern w:val="0"/>
                <w:sz w:val="24"/>
                <w:highlight w:val="none"/>
              </w:rPr>
            </w:pPr>
            <w:r>
              <w:rPr>
                <w:rFonts w:hint="eastAsia" w:ascii="仿宋" w:hAnsi="仿宋" w:eastAsia="仿宋"/>
                <w:b/>
                <w:sz w:val="24"/>
                <w:highlight w:val="none"/>
              </w:rPr>
              <w:t>第</w:t>
            </w:r>
            <w:r>
              <w:rPr>
                <w:rFonts w:hint="eastAsia" w:ascii="仿宋" w:hAnsi="仿宋" w:eastAsia="仿宋"/>
                <w:b/>
                <w:sz w:val="24"/>
                <w:highlight w:val="none"/>
                <w:lang w:val="en-US" w:eastAsia="zh-CN"/>
              </w:rPr>
              <w:t>四</w:t>
            </w:r>
            <w:r>
              <w:rPr>
                <w:rFonts w:hint="eastAsia" w:ascii="仿宋" w:hAnsi="仿宋" w:eastAsia="仿宋"/>
                <w:b/>
                <w:sz w:val="24"/>
                <w:highlight w:val="none"/>
              </w:rPr>
              <w:t>章  标准仓单的流通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第二十九条 </w:t>
            </w:r>
            <w:r>
              <w:rPr>
                <w:rFonts w:hint="eastAsia" w:ascii="仿宋" w:hAnsi="仿宋" w:eastAsia="仿宋"/>
                <w:b w:val="0"/>
                <w:bCs/>
                <w:color w:val="000000"/>
                <w:kern w:val="0"/>
                <w:sz w:val="24"/>
                <w:highlight w:val="none"/>
              </w:rPr>
              <w:t>标准仓单的流通是指标准仓单的交割和转让。</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b w:val="0"/>
                <w:bCs/>
                <w:color w:val="000000"/>
                <w:kern w:val="0"/>
                <w:sz w:val="24"/>
                <w:highlight w:val="none"/>
              </w:rPr>
            </w:pPr>
            <w:r>
              <w:rPr>
                <w:rFonts w:hint="eastAsia" w:ascii="仿宋" w:hAnsi="仿宋" w:eastAsia="仿宋"/>
                <w:b w:val="0"/>
                <w:bCs/>
                <w:color w:val="000000"/>
                <w:kern w:val="0"/>
                <w:sz w:val="24"/>
                <w:highlight w:val="none"/>
              </w:rPr>
              <w:t>处于冻结状态和作为保证金状态的标准仓单不能流通。</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仿宋" w:hAnsi="仿宋" w:eastAsia="仿宋"/>
                <w:b/>
                <w:color w:val="000000"/>
                <w:kern w:val="0"/>
                <w:sz w:val="24"/>
                <w:highlight w:val="none"/>
              </w:rPr>
            </w:pPr>
            <w:r>
              <w:rPr>
                <w:rFonts w:hint="eastAsia" w:ascii="仿宋" w:hAnsi="仿宋" w:eastAsia="仿宋"/>
                <w:b w:val="0"/>
                <w:bCs/>
                <w:color w:val="000000"/>
                <w:kern w:val="0"/>
                <w:sz w:val="24"/>
                <w:highlight w:val="none"/>
              </w:rPr>
              <w:t>客户标准仓单的流通应当委托会员办理，以会员名义在交易所进行，流通结果由客户承担。</w:t>
            </w:r>
          </w:p>
        </w:tc>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第二十九条 </w:t>
            </w:r>
            <w:r>
              <w:rPr>
                <w:rFonts w:hint="eastAsia" w:ascii="仿宋" w:hAnsi="仿宋" w:eastAsia="仿宋"/>
                <w:b w:val="0"/>
                <w:bCs/>
                <w:color w:val="000000"/>
                <w:kern w:val="0"/>
                <w:sz w:val="24"/>
                <w:highlight w:val="none"/>
              </w:rPr>
              <w:t>标准仓单的流通是指标准仓单的交割和转让。</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b w:val="0"/>
                <w:bCs/>
                <w:color w:val="000000"/>
                <w:kern w:val="0"/>
                <w:sz w:val="24"/>
                <w:highlight w:val="none"/>
              </w:rPr>
            </w:pPr>
            <w:r>
              <w:rPr>
                <w:rFonts w:hint="eastAsia" w:ascii="仿宋" w:hAnsi="仿宋" w:eastAsia="仿宋"/>
                <w:b w:val="0"/>
                <w:bCs/>
                <w:color w:val="000000"/>
                <w:kern w:val="0"/>
                <w:sz w:val="24"/>
                <w:highlight w:val="none"/>
              </w:rPr>
              <w:t>处于冻结状态和作为保证金状态的标准仓单不能流通。</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仿宋" w:hAnsi="仿宋" w:eastAsia="仿宋"/>
                <w:b/>
                <w:color w:val="000000"/>
                <w:kern w:val="0"/>
                <w:sz w:val="24"/>
                <w:highlight w:val="none"/>
              </w:rPr>
            </w:pPr>
            <w:r>
              <w:rPr>
                <w:rFonts w:hint="eastAsia" w:ascii="仿宋" w:hAnsi="仿宋" w:eastAsia="仿宋"/>
                <w:b w:val="0"/>
                <w:bCs/>
                <w:color w:val="000000"/>
                <w:kern w:val="0"/>
                <w:sz w:val="24"/>
                <w:highlight w:val="none"/>
              </w:rPr>
              <w:t>客户</w:t>
            </w:r>
            <w:r>
              <w:rPr>
                <w:rFonts w:hint="eastAsia" w:ascii="仿宋" w:hAnsi="仿宋" w:eastAsia="仿宋"/>
                <w:b/>
                <w:bCs w:val="0"/>
                <w:color w:val="000000"/>
                <w:kern w:val="0"/>
                <w:sz w:val="24"/>
                <w:highlight w:val="none"/>
                <w:u w:val="single"/>
                <w:lang w:val="en-US" w:eastAsia="zh-CN"/>
              </w:rPr>
              <w:t>或者境外特殊非经纪参与者</w:t>
            </w:r>
            <w:r>
              <w:rPr>
                <w:rFonts w:hint="eastAsia" w:ascii="仿宋" w:hAnsi="仿宋" w:eastAsia="仿宋"/>
                <w:b w:val="0"/>
                <w:bCs/>
                <w:color w:val="000000"/>
                <w:kern w:val="0"/>
                <w:sz w:val="24"/>
                <w:highlight w:val="none"/>
              </w:rPr>
              <w:t>标准仓单的流通应当委托会员办理，以会员名义在交易所进行，流通结果由客户</w:t>
            </w:r>
            <w:r>
              <w:rPr>
                <w:rFonts w:hint="eastAsia" w:ascii="仿宋" w:hAnsi="仿宋" w:eastAsia="仿宋"/>
                <w:b/>
                <w:bCs w:val="0"/>
                <w:color w:val="000000"/>
                <w:kern w:val="0"/>
                <w:sz w:val="24"/>
                <w:highlight w:val="none"/>
                <w:u w:val="single"/>
                <w:lang w:val="en-US" w:eastAsia="zh-CN"/>
              </w:rPr>
              <w:t>或者境外特殊非经纪参与者</w:t>
            </w:r>
            <w:r>
              <w:rPr>
                <w:rFonts w:hint="eastAsia" w:ascii="仿宋" w:hAnsi="仿宋" w:eastAsia="仿宋"/>
                <w:b w:val="0"/>
                <w:bCs/>
                <w:color w:val="000000"/>
                <w:kern w:val="0"/>
                <w:sz w:val="24"/>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2"/>
            <w:noWrap w:val="0"/>
            <w:vAlign w:val="center"/>
          </w:tcPr>
          <w:p>
            <w:pPr>
              <w:jc w:val="center"/>
              <w:rPr>
                <w:rFonts w:ascii="仿宋" w:hAnsi="仿宋" w:eastAsia="仿宋"/>
                <w:sz w:val="24"/>
                <w:highlight w:val="none"/>
              </w:rPr>
            </w:pPr>
            <w:r>
              <w:rPr>
                <w:rFonts w:hint="eastAsia" w:ascii="仿宋" w:hAnsi="仿宋" w:eastAsia="仿宋"/>
                <w:b/>
                <w:color w:val="000000"/>
                <w:kern w:val="0"/>
                <w:sz w:val="24"/>
                <w:highlight w:val="none"/>
              </w:rPr>
              <w:t>第五章 标准仓单的注销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第三十三条 </w:t>
            </w:r>
            <w:r>
              <w:rPr>
                <w:rFonts w:hint="eastAsia" w:ascii="仿宋" w:hAnsi="仿宋" w:eastAsia="仿宋"/>
                <w:b w:val="0"/>
                <w:bCs/>
                <w:color w:val="000000"/>
                <w:kern w:val="0"/>
                <w:sz w:val="24"/>
                <w:highlight w:val="none"/>
              </w:rPr>
              <w:t>标准仓单的注销是指标准仓单持有人直接或者委托会员到交易所办理标准仓单提货手续的过程。</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仿宋" w:hAnsi="仿宋" w:eastAsia="仿宋"/>
                <w:color w:val="000000"/>
                <w:kern w:val="0"/>
                <w:sz w:val="24"/>
                <w:highlight w:val="none"/>
              </w:rPr>
            </w:pPr>
            <w:r>
              <w:rPr>
                <w:rFonts w:hint="eastAsia" w:ascii="仿宋" w:hAnsi="仿宋" w:eastAsia="仿宋"/>
                <w:b w:val="0"/>
                <w:bCs/>
                <w:color w:val="000000"/>
                <w:kern w:val="0"/>
                <w:sz w:val="24"/>
                <w:highlight w:val="none"/>
              </w:rPr>
              <w:t>客户注销标准仓单，应当通过会员向交易所提交标准仓单注销申请。</w:t>
            </w:r>
          </w:p>
        </w:tc>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第三十三条 </w:t>
            </w:r>
            <w:r>
              <w:rPr>
                <w:rFonts w:hint="eastAsia" w:ascii="仿宋" w:hAnsi="仿宋" w:eastAsia="仿宋"/>
                <w:b w:val="0"/>
                <w:bCs/>
                <w:color w:val="000000"/>
                <w:kern w:val="0"/>
                <w:sz w:val="24"/>
                <w:highlight w:val="none"/>
              </w:rPr>
              <w:t>标准仓单的注销是指标准仓单持有人直接或者委托会员到交易所办理标准仓单提货手续的过程。</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仿宋" w:hAnsi="仿宋" w:eastAsia="仿宋"/>
                <w:color w:val="000000"/>
                <w:kern w:val="0"/>
                <w:sz w:val="24"/>
                <w:highlight w:val="none"/>
              </w:rPr>
            </w:pPr>
            <w:r>
              <w:rPr>
                <w:rFonts w:hint="eastAsia" w:ascii="仿宋" w:hAnsi="仿宋" w:eastAsia="仿宋"/>
                <w:b w:val="0"/>
                <w:bCs/>
                <w:strike w:val="0"/>
                <w:dstrike/>
                <w:color w:val="000000"/>
                <w:kern w:val="0"/>
                <w:sz w:val="24"/>
                <w:highlight w:val="none"/>
              </w:rPr>
              <w:t>客户</w:t>
            </w:r>
            <w:r>
              <w:rPr>
                <w:rFonts w:hint="eastAsia" w:ascii="仿宋" w:hAnsi="仿宋" w:eastAsia="仿宋"/>
                <w:b/>
                <w:bCs w:val="0"/>
                <w:strike w:val="0"/>
                <w:dstrike w:val="0"/>
                <w:color w:val="000000"/>
                <w:kern w:val="0"/>
                <w:sz w:val="24"/>
                <w:highlight w:val="none"/>
                <w:u w:val="single"/>
                <w:lang w:val="en-US" w:eastAsia="zh-CN"/>
              </w:rPr>
              <w:t>标准仓单持有人</w:t>
            </w:r>
            <w:r>
              <w:rPr>
                <w:rFonts w:hint="eastAsia" w:ascii="仿宋" w:hAnsi="仿宋" w:eastAsia="仿宋"/>
                <w:b w:val="0"/>
                <w:bCs/>
                <w:color w:val="000000"/>
                <w:kern w:val="0"/>
                <w:sz w:val="24"/>
                <w:highlight w:val="none"/>
              </w:rPr>
              <w:t>注销标准仓单，应当通过会员向交易所提交标准仓单注销申请。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第三十五条 </w:t>
            </w:r>
            <w:r>
              <w:rPr>
                <w:rFonts w:hint="eastAsia" w:ascii="仿宋" w:hAnsi="仿宋" w:eastAsia="仿宋"/>
                <w:b w:val="0"/>
                <w:bCs/>
                <w:color w:val="000000"/>
                <w:kern w:val="0"/>
                <w:sz w:val="24"/>
                <w:highlight w:val="none"/>
              </w:rPr>
              <w:t>交易所受理标准仓单注销申请后，注销相应的标准仓单，并开具《提货通知单》。</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b w:val="0"/>
                <w:bCs/>
                <w:color w:val="000000"/>
                <w:kern w:val="0"/>
                <w:sz w:val="24"/>
                <w:highlight w:val="none"/>
              </w:rPr>
            </w:pPr>
            <w:r>
              <w:rPr>
                <w:rFonts w:hint="eastAsia" w:ascii="仿宋" w:hAnsi="仿宋" w:eastAsia="仿宋"/>
                <w:b w:val="0"/>
                <w:bCs/>
                <w:color w:val="000000"/>
                <w:kern w:val="0"/>
                <w:sz w:val="24"/>
                <w:highlight w:val="none"/>
              </w:rPr>
              <w:t>提货人应当在《提货通知单》有效期内，到仓库或者厂库办理提货手续，《提货通知单》有效期、具体提货流程及商品交收规定见相关品种期货业务细则。</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b w:val="0"/>
                <w:bCs/>
                <w:color w:val="000000"/>
                <w:kern w:val="0"/>
                <w:sz w:val="24"/>
                <w:highlight w:val="none"/>
              </w:rPr>
            </w:pPr>
            <w:r>
              <w:rPr>
                <w:rFonts w:hint="eastAsia" w:ascii="仿宋" w:hAnsi="仿宋" w:eastAsia="仿宋"/>
                <w:b w:val="0"/>
                <w:bCs/>
                <w:color w:val="000000"/>
                <w:kern w:val="0"/>
                <w:sz w:val="24"/>
                <w:highlight w:val="none"/>
              </w:rPr>
              <w:t>客户办理提货手续前，应当自行或者委托会员及时编制《提货通知单》验证密码。</w:t>
            </w:r>
          </w:p>
        </w:tc>
        <w:tc>
          <w:tcPr>
            <w:tcW w:w="0" w:type="auto"/>
            <w:noWrap w:val="0"/>
            <w:vAlign w:val="top"/>
          </w:tcPr>
          <w:p>
            <w:pPr>
              <w:keepNext w:val="0"/>
              <w:keepLines w:val="0"/>
              <w:pageBreakBefore w:val="0"/>
              <w:widowControl w:val="0"/>
              <w:kinsoku/>
              <w:wordWrap/>
              <w:overflowPunct/>
              <w:topLinePunct w:val="0"/>
              <w:autoSpaceDE/>
              <w:autoSpaceDN/>
              <w:bidi w:val="0"/>
              <w:adjustRightInd/>
              <w:snapToGrid w:val="0"/>
              <w:ind w:firstLine="481" w:firstLineChars="200"/>
              <w:textAlignment w:val="auto"/>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第三十五条 </w:t>
            </w:r>
            <w:r>
              <w:rPr>
                <w:rFonts w:hint="eastAsia" w:ascii="仿宋" w:hAnsi="仿宋" w:eastAsia="仿宋"/>
                <w:b w:val="0"/>
                <w:bCs/>
                <w:color w:val="000000"/>
                <w:kern w:val="0"/>
                <w:sz w:val="24"/>
                <w:highlight w:val="none"/>
              </w:rPr>
              <w:t>交易所受理标准仓单注销申请后，注销相应的标准仓单，并开具《提货通知单》。</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b w:val="0"/>
                <w:bCs/>
                <w:color w:val="000000"/>
                <w:kern w:val="0"/>
                <w:sz w:val="24"/>
                <w:highlight w:val="none"/>
              </w:rPr>
            </w:pPr>
            <w:r>
              <w:rPr>
                <w:rFonts w:hint="eastAsia" w:ascii="仿宋" w:hAnsi="仿宋" w:eastAsia="仿宋"/>
                <w:b w:val="0"/>
                <w:bCs/>
                <w:color w:val="000000"/>
                <w:kern w:val="0"/>
                <w:sz w:val="24"/>
                <w:highlight w:val="none"/>
              </w:rPr>
              <w:t>提货人应当在《提货通知单》有效期内，到仓库或者厂库办理提货手续，《提货通知单》有效期、具体提货流程及商品交收规定见相关品种期货业务细则。</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b w:val="0"/>
                <w:bCs/>
                <w:color w:val="000000"/>
                <w:kern w:val="0"/>
                <w:sz w:val="24"/>
                <w:highlight w:val="none"/>
              </w:rPr>
            </w:pPr>
            <w:r>
              <w:rPr>
                <w:rFonts w:hint="eastAsia" w:ascii="仿宋" w:hAnsi="仿宋" w:eastAsia="仿宋"/>
                <w:b w:val="0"/>
                <w:bCs/>
                <w:strike w:val="0"/>
                <w:dstrike/>
                <w:color w:val="000000"/>
                <w:kern w:val="0"/>
                <w:sz w:val="24"/>
                <w:highlight w:val="none"/>
              </w:rPr>
              <w:t>客户</w:t>
            </w:r>
            <w:r>
              <w:rPr>
                <w:rFonts w:hint="eastAsia" w:ascii="仿宋" w:hAnsi="仿宋" w:eastAsia="仿宋"/>
                <w:b/>
                <w:bCs w:val="0"/>
                <w:strike w:val="0"/>
                <w:dstrike w:val="0"/>
                <w:color w:val="000000"/>
                <w:kern w:val="0"/>
                <w:sz w:val="24"/>
                <w:highlight w:val="none"/>
                <w:u w:val="single"/>
                <w:lang w:eastAsia="zh-CN"/>
              </w:rPr>
              <w:t>提货人</w:t>
            </w:r>
            <w:r>
              <w:rPr>
                <w:rFonts w:hint="eastAsia" w:ascii="仿宋" w:hAnsi="仿宋" w:eastAsia="仿宋"/>
                <w:b w:val="0"/>
                <w:bCs/>
                <w:color w:val="000000"/>
                <w:kern w:val="0"/>
                <w:sz w:val="24"/>
                <w:highlight w:val="none"/>
              </w:rPr>
              <w:t>办理提货手续前，应当自行或者委托会员及时编制《提货通知单》验证密码。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2"/>
            <w:noWrap w:val="0"/>
            <w:vAlign w:val="center"/>
          </w:tcPr>
          <w:p>
            <w:pPr>
              <w:jc w:val="center"/>
              <w:rPr>
                <w:rFonts w:ascii="仿宋" w:hAnsi="仿宋" w:eastAsia="仿宋"/>
                <w:b/>
                <w:color w:val="000000"/>
                <w:kern w:val="0"/>
                <w:sz w:val="24"/>
                <w:highlight w:val="none"/>
              </w:rPr>
            </w:pPr>
            <w:r>
              <w:rPr>
                <w:rFonts w:hint="eastAsia" w:ascii="仿宋" w:hAnsi="仿宋" w:eastAsia="仿宋"/>
                <w:b/>
                <w:color w:val="000000"/>
                <w:kern w:val="0"/>
                <w:sz w:val="24"/>
                <w:highlight w:val="none"/>
              </w:rPr>
              <w:t>第七章 监督、争议和处理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top"/>
          </w:tcPr>
          <w:p>
            <w:pPr>
              <w:snapToGrid w:val="0"/>
              <w:spacing w:before="240"/>
              <w:ind w:firstLine="481" w:firstLineChars="200"/>
              <w:rPr>
                <w:rFonts w:hint="eastAsia" w:ascii="仿宋" w:hAnsi="仿宋" w:eastAsia="仿宋"/>
                <w:b w:val="0"/>
                <w:bCs/>
                <w:color w:val="000000"/>
                <w:kern w:val="0"/>
                <w:sz w:val="24"/>
                <w:highlight w:val="none"/>
              </w:rPr>
            </w:pPr>
            <w:r>
              <w:rPr>
                <w:rFonts w:hint="eastAsia" w:ascii="仿宋" w:hAnsi="仿宋" w:eastAsia="仿宋"/>
                <w:b/>
                <w:color w:val="000000"/>
                <w:kern w:val="0"/>
                <w:sz w:val="24"/>
                <w:highlight w:val="none"/>
              </w:rPr>
              <w:t xml:space="preserve">第六十三条 </w:t>
            </w:r>
            <w:r>
              <w:rPr>
                <w:rFonts w:hint="eastAsia" w:ascii="仿宋" w:hAnsi="仿宋" w:eastAsia="仿宋"/>
                <w:b w:val="0"/>
                <w:bCs/>
                <w:color w:val="000000"/>
                <w:kern w:val="0"/>
                <w:sz w:val="24"/>
                <w:highlight w:val="none"/>
              </w:rPr>
              <w:t>标准仓单转让人与受让人（提货人）之间，或者客户与仓库、厂库、仓单质量免检承诺人之间发生交割纠纷的，双方可以协商解决；协商无法达成一致意见的，应当在纠纷发生之日起5个工作日内以书面形式向交易所申请调解。调解不成的，依法向人民法院起诉或者依约向仲裁机构申请仲裁。</w:t>
            </w:r>
          </w:p>
        </w:tc>
        <w:tc>
          <w:tcPr>
            <w:tcW w:w="0" w:type="auto"/>
            <w:noWrap w:val="0"/>
            <w:vAlign w:val="top"/>
          </w:tcPr>
          <w:p>
            <w:pPr>
              <w:snapToGrid w:val="0"/>
              <w:spacing w:before="240"/>
              <w:ind w:firstLine="481" w:firstLineChars="200"/>
              <w:rPr>
                <w:rFonts w:ascii="微软雅黑" w:hAnsi="微软雅黑" w:cs="宋体"/>
                <w:color w:val="333333"/>
                <w:kern w:val="0"/>
                <w:sz w:val="24"/>
                <w:highlight w:val="none"/>
              </w:rPr>
            </w:pPr>
            <w:r>
              <w:rPr>
                <w:rFonts w:hint="eastAsia" w:ascii="仿宋" w:hAnsi="仿宋" w:eastAsia="仿宋"/>
                <w:b/>
                <w:color w:val="000000"/>
                <w:kern w:val="0"/>
                <w:sz w:val="24"/>
                <w:highlight w:val="none"/>
              </w:rPr>
              <w:t xml:space="preserve">第六十三条 </w:t>
            </w:r>
            <w:r>
              <w:rPr>
                <w:rFonts w:hint="eastAsia" w:ascii="仿宋" w:hAnsi="仿宋" w:eastAsia="仿宋"/>
                <w:b w:val="0"/>
                <w:bCs/>
                <w:color w:val="000000"/>
                <w:kern w:val="0"/>
                <w:sz w:val="24"/>
                <w:highlight w:val="none"/>
              </w:rPr>
              <w:t>标准仓单转让人与受让人（提货人）之间，或者</w:t>
            </w:r>
            <w:r>
              <w:rPr>
                <w:rFonts w:hint="eastAsia" w:ascii="仿宋" w:hAnsi="仿宋" w:eastAsia="仿宋"/>
                <w:b w:val="0"/>
                <w:bCs/>
                <w:strike w:val="0"/>
                <w:dstrike/>
                <w:color w:val="000000"/>
                <w:kern w:val="0"/>
                <w:sz w:val="24"/>
                <w:highlight w:val="none"/>
                <w:u w:val="none"/>
              </w:rPr>
              <w:t>客户</w:t>
            </w:r>
            <w:r>
              <w:rPr>
                <w:rFonts w:hint="eastAsia" w:ascii="仿宋" w:hAnsi="仿宋" w:eastAsia="仿宋"/>
                <w:b/>
                <w:bCs w:val="0"/>
                <w:strike w:val="0"/>
                <w:dstrike w:val="0"/>
                <w:color w:val="000000"/>
                <w:kern w:val="0"/>
                <w:sz w:val="24"/>
                <w:highlight w:val="none"/>
                <w:u w:val="single"/>
                <w:lang w:val="en-US" w:eastAsia="zh-CN"/>
              </w:rPr>
              <w:t>提货人</w:t>
            </w:r>
            <w:r>
              <w:rPr>
                <w:rFonts w:hint="eastAsia" w:ascii="仿宋" w:hAnsi="仿宋" w:eastAsia="仿宋"/>
                <w:b w:val="0"/>
                <w:bCs/>
                <w:color w:val="000000"/>
                <w:kern w:val="0"/>
                <w:sz w:val="24"/>
                <w:highlight w:val="none"/>
              </w:rPr>
              <w:t>与仓库、厂库、仓单质量免检承诺人之间发生交割纠纷的，双方可以协商解决；协商无法达成一致意见的，应当在纠纷发生之日起5个工作日内以书面形式向交易所申请调解。调解不成的，依法向人民法院起诉或者依约向仲裁机构申请仲裁。</w:t>
            </w:r>
          </w:p>
        </w:tc>
      </w:tr>
    </w:tbl>
    <w:p>
      <w:pPr>
        <w:rPr>
          <w:rFonts w:hint="default" w:ascii="黑体" w:hAnsi="黑体" w:eastAsia="黑体" w:cs="黑体"/>
          <w:sz w:val="32"/>
          <w:szCs w:val="32"/>
          <w:highlight w:val="none"/>
          <w:lang w:val="en-US" w:eastAsia="zh-CN"/>
        </w:rPr>
        <w:sectPr>
          <w:pgSz w:w="11906" w:h="16838"/>
          <w:pgMar w:top="1440" w:right="1800" w:bottom="1440" w:left="1800" w:header="851" w:footer="992" w:gutter="0"/>
          <w:cols w:space="720" w:num="1"/>
          <w:docGrid w:type="lines" w:linePitch="312" w:charSpace="0"/>
        </w:sectPr>
      </w:pPr>
    </w:p>
    <w:p>
      <w:pPr>
        <w:jc w:val="center"/>
        <w:outlineLvl w:val="0"/>
        <w:rPr>
          <w:rFonts w:ascii="宋体" w:hAnsi="宋体"/>
          <w:b/>
          <w:sz w:val="44"/>
          <w:szCs w:val="44"/>
          <w:highlight w:val="none"/>
        </w:rPr>
      </w:pPr>
      <w:r>
        <w:rPr>
          <w:rFonts w:hint="eastAsia" w:ascii="宋体" w:hAnsi="宋体"/>
          <w:b/>
          <w:sz w:val="44"/>
          <w:szCs w:val="44"/>
          <w:highlight w:val="none"/>
        </w:rPr>
        <w:t>郑州商品交易所标准仓单管理办法</w:t>
      </w:r>
    </w:p>
    <w:p>
      <w:pPr>
        <w:spacing w:before="240" w:after="240"/>
        <w:ind w:firstLine="240" w:firstLineChars="100"/>
        <w:rPr>
          <w:rFonts w:ascii="楷体" w:hAnsi="楷体" w:eastAsia="楷体" w:cs="Times New Roman"/>
          <w:b/>
          <w:sz w:val="24"/>
          <w:szCs w:val="24"/>
          <w:highlight w:val="none"/>
        </w:rPr>
      </w:pPr>
      <w:r>
        <w:rPr>
          <w:rFonts w:hint="eastAsia" w:ascii="宋体" w:hAnsi="宋体"/>
          <w:sz w:val="24"/>
          <w:highlight w:val="none"/>
        </w:rPr>
        <w:t>（2026年4月7日郑州商品交易所第八届理事会第三十四次会议审议通过，2026年</w:t>
      </w:r>
      <w:r>
        <w:rPr>
          <w:rFonts w:hint="default" w:ascii="宋体" w:hAnsi="宋体"/>
          <w:sz w:val="24"/>
          <w:highlight w:val="none"/>
          <w:lang w:val="en-US"/>
        </w:rPr>
        <w:t>5</w:t>
      </w:r>
      <w:r>
        <w:rPr>
          <w:rFonts w:hint="eastAsia" w:ascii="宋体" w:hAnsi="宋体"/>
          <w:sz w:val="24"/>
          <w:highlight w:val="none"/>
        </w:rPr>
        <w:t>月</w:t>
      </w:r>
      <w:r>
        <w:rPr>
          <w:rFonts w:hint="default" w:ascii="宋体" w:hAnsi="宋体"/>
          <w:sz w:val="24"/>
          <w:highlight w:val="none"/>
          <w:lang w:val="en-US"/>
        </w:rPr>
        <w:t>7</w:t>
      </w:r>
      <w:r>
        <w:rPr>
          <w:rFonts w:hint="eastAsia" w:ascii="宋体" w:hAnsi="宋体"/>
          <w:sz w:val="24"/>
          <w:highlight w:val="none"/>
        </w:rPr>
        <w:t>日〔2026〕</w:t>
      </w:r>
      <w:r>
        <w:rPr>
          <w:rFonts w:hint="eastAsia" w:ascii="宋体" w:hAnsi="宋体"/>
          <w:sz w:val="24"/>
          <w:highlight w:val="none"/>
          <w:lang w:eastAsia="zh-CN"/>
        </w:rPr>
        <w:t>68号</w:t>
      </w:r>
      <w:r>
        <w:rPr>
          <w:rFonts w:hint="eastAsia" w:ascii="宋体" w:hAnsi="宋体"/>
          <w:sz w:val="24"/>
          <w:highlight w:val="none"/>
        </w:rPr>
        <w:t>公告发布，自发布之日起实施）</w:t>
      </w:r>
    </w:p>
    <w:p>
      <w:pPr>
        <w:spacing w:before="240" w:line="360" w:lineRule="auto"/>
        <w:jc w:val="center"/>
        <w:rPr>
          <w:rFonts w:ascii="宋体" w:hAnsi="宋体" w:eastAsia="黑体" w:cs="宋体"/>
          <w:kern w:val="0"/>
          <w:sz w:val="32"/>
          <w:szCs w:val="28"/>
          <w:highlight w:val="none"/>
        </w:rPr>
      </w:pPr>
      <w:r>
        <w:rPr>
          <w:rFonts w:hint="eastAsia" w:ascii="宋体" w:hAnsi="宋体" w:eastAsia="黑体" w:cs="宋体"/>
          <w:kern w:val="0"/>
          <w:sz w:val="32"/>
          <w:szCs w:val="28"/>
          <w:highlight w:val="none"/>
        </w:rPr>
        <w:t>第一章 总 则</w:t>
      </w:r>
    </w:p>
    <w:p>
      <w:pPr>
        <w:spacing w:line="360" w:lineRule="auto"/>
        <w:ind w:firstLine="560" w:firstLineChars="200"/>
        <w:rPr>
          <w:rFonts w:ascii="宋体" w:hAnsi="宋体" w:cs="宋体"/>
          <w:kern w:val="0"/>
          <w:sz w:val="28"/>
          <w:szCs w:val="21"/>
          <w:highlight w:val="none"/>
        </w:rPr>
      </w:pPr>
      <w:r>
        <w:rPr>
          <w:rFonts w:hint="eastAsia" w:ascii="黑体" w:hAnsi="黑体" w:eastAsia="黑体" w:cs="宋体"/>
          <w:kern w:val="0"/>
          <w:sz w:val="28"/>
          <w:szCs w:val="28"/>
          <w:highlight w:val="none"/>
        </w:rPr>
        <w:t>第一条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为了保障郑州商品交易所（以下简称交易所）商品期货交割业务的正常进行，规范标准仓单的管理，根据《郑州商品交易所交易规则》，制定本办法。</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第二条</w:t>
      </w:r>
      <w:r>
        <w:rPr>
          <w:rFonts w:hint="eastAsia" w:ascii="宋体" w:hAnsi="宋体" w:cs="宋体"/>
          <w:kern w:val="0"/>
          <w:sz w:val="28"/>
          <w:szCs w:val="28"/>
          <w:highlight w:val="none"/>
        </w:rPr>
        <w:t xml:space="preserve"> 交易所上市的商品期货合约标准仓单的生成、流通和注销等业务，按本办法执行。</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第三条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交易所、会员、客户、境外特殊参与者、境外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机构、交割仓库(以下简称仓库)、交割厂库(以下简称厂库)、指定质检机构、相关银行等标准仓单业务参与者办理与标准仓单有关的各项业务，应当遵守本办法。</w:t>
      </w:r>
    </w:p>
    <w:p>
      <w:pPr>
        <w:spacing w:line="360" w:lineRule="auto"/>
        <w:jc w:val="center"/>
        <w:rPr>
          <w:rFonts w:ascii="宋体" w:hAnsi="宋体" w:eastAsia="黑体" w:cs="宋体"/>
          <w:kern w:val="0"/>
          <w:sz w:val="32"/>
          <w:szCs w:val="28"/>
          <w:highlight w:val="none"/>
        </w:rPr>
      </w:pPr>
      <w:r>
        <w:rPr>
          <w:rFonts w:hint="eastAsia" w:ascii="宋体" w:hAnsi="宋体" w:eastAsia="黑体" w:cs="宋体"/>
          <w:kern w:val="0"/>
          <w:sz w:val="32"/>
          <w:szCs w:val="28"/>
          <w:highlight w:val="none"/>
        </w:rPr>
        <w:t>第二章 一般规定</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第四条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标准仓单是指由仓库或者厂库按照交易所规定的程序提交仓单注册申请后，经交易所注册，可用于证明标准仓单持有人拥有实物或者可予提货的财产凭证。</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根据申请注册的主体不同，标准仓单分为仓库标准仓单和厂库标准仓单。根据流通性质的不同，标准仓单分为通用标准仓单和非通用标准仓单。根据期货商品完税状态的不同，标准仓单分为保税标准仓单和完税标准仓单。各品种适用的标准仓单类型见相关品种期货业务细则。</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第五条 </w:t>
      </w:r>
      <w:r>
        <w:rPr>
          <w:rFonts w:hint="eastAsia" w:ascii="宋体" w:hAnsi="宋体" w:cs="宋体"/>
          <w:kern w:val="0"/>
          <w:sz w:val="28"/>
          <w:szCs w:val="28"/>
          <w:highlight w:val="none"/>
        </w:rPr>
        <w:t>通用标准仓单是指标准仓单持有人按照交易所的规定和程序可以到标准仓单载明品种所在的任一仓库或者厂库选择提货的财产凭证。</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通用标准仓单载明的内容包括：会员号、会员名称、客户或境外特殊非经纪参与者交易编码、品种、标准仓单数量、冻结数量、作为保证金数量等。</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第六条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非通用标准仓单是指标准仓单持有人按照交易所的规定和程序只能到标准仓单载明品种所在的仓库或者厂库提取对应货物的财产凭证。</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非通用标准仓单载明的内容包括：会员号、会员名称、客户或境外特殊非经纪参与者交易编码、品种、标准仓单数量、仓库或者厂库、检验时间、标准仓单编号、冻结数量、作为保证金数量等。</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第七条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标准仓单自交易所登记注册之日起生效。经交易所注册后，标准仓单可以用于交割、转让、作为保证金、提货以及交易所规定的其他用途。</w:t>
      </w:r>
    </w:p>
    <w:p>
      <w:pPr>
        <w:spacing w:line="360" w:lineRule="auto"/>
        <w:ind w:firstLine="560" w:firstLineChars="200"/>
        <w:rPr>
          <w:rFonts w:ascii="宋体" w:hAnsi="宋体" w:cs="宋体"/>
          <w:kern w:val="0"/>
          <w:sz w:val="28"/>
          <w:szCs w:val="21"/>
          <w:highlight w:val="none"/>
        </w:rPr>
      </w:pPr>
      <w:r>
        <w:rPr>
          <w:rFonts w:hint="eastAsia" w:ascii="宋体" w:hAnsi="宋体" w:cs="宋体"/>
          <w:kern w:val="0"/>
          <w:sz w:val="28"/>
          <w:szCs w:val="28"/>
          <w:highlight w:val="none"/>
        </w:rPr>
        <w:t>标准仓单有效期见相关品种期货业务细则。</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第八条 </w:t>
      </w:r>
      <w:r>
        <w:rPr>
          <w:rFonts w:hint="eastAsia" w:ascii="宋体" w:hAnsi="宋体" w:cs="宋体"/>
          <w:kern w:val="0"/>
          <w:sz w:val="28"/>
          <w:szCs w:val="28"/>
          <w:highlight w:val="none"/>
        </w:rPr>
        <w:t>会员、境外特殊非经纪参与者或者客户使用标准仓单向银行等第三方提供担保的，应当在交易所办理标准仓单质权登记手续。未经交易所办理质权登记的，不得约束其他会员、境外特殊非经纪参与者或者客户等第三人。</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第九条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仓库或者厂库向标准仓单持有人承担标准仓单对应货物的质量及数量责任。标准仓单流通转让的，其载明货物的权利及风险相应转移。</w:t>
      </w:r>
    </w:p>
    <w:p>
      <w:pPr>
        <w:spacing w:line="360" w:lineRule="auto"/>
        <w:jc w:val="center"/>
        <w:rPr>
          <w:rFonts w:ascii="黑体" w:hAnsi="黑体" w:eastAsia="黑体" w:cs="宋体"/>
          <w:kern w:val="0"/>
          <w:sz w:val="32"/>
          <w:szCs w:val="32"/>
          <w:highlight w:val="none"/>
        </w:rPr>
      </w:pPr>
      <w:r>
        <w:rPr>
          <w:rFonts w:hint="eastAsia" w:ascii="黑体" w:hAnsi="黑体" w:eastAsia="黑体" w:cs="宋体"/>
          <w:kern w:val="0"/>
          <w:sz w:val="32"/>
          <w:szCs w:val="32"/>
          <w:highlight w:val="none"/>
        </w:rPr>
        <w:t>第三章  标准仓单的生成</w:t>
      </w:r>
    </w:p>
    <w:p>
      <w:pPr>
        <w:spacing w:line="360" w:lineRule="auto"/>
        <w:jc w:val="center"/>
        <w:rPr>
          <w:rFonts w:ascii="黑体" w:hAnsi="黑体" w:eastAsia="黑体" w:cs="宋体"/>
          <w:kern w:val="0"/>
          <w:sz w:val="28"/>
          <w:szCs w:val="28"/>
          <w:highlight w:val="none"/>
          <w:u w:val="single"/>
        </w:rPr>
      </w:pPr>
      <w:r>
        <w:rPr>
          <w:rFonts w:hint="eastAsia" w:ascii="黑体" w:hAnsi="黑体" w:eastAsia="黑体" w:cs="宋体"/>
          <w:kern w:val="0"/>
          <w:sz w:val="28"/>
          <w:szCs w:val="28"/>
          <w:highlight w:val="none"/>
        </w:rPr>
        <w:t>第一节 仓库标准仓单的生成</w:t>
      </w:r>
    </w:p>
    <w:p>
      <w:pPr>
        <w:spacing w:line="360" w:lineRule="auto"/>
        <w:ind w:firstLine="560" w:firstLineChars="200"/>
        <w:rPr>
          <w:rFonts w:ascii="宋体" w:hAnsi="宋体" w:cs="宋体"/>
          <w:kern w:val="0"/>
          <w:sz w:val="28"/>
          <w:szCs w:val="21"/>
          <w:highlight w:val="none"/>
        </w:rPr>
      </w:pPr>
      <w:r>
        <w:rPr>
          <w:rFonts w:hint="eastAsia" w:ascii="黑体" w:hAnsi="黑体" w:eastAsia="黑体" w:cs="宋体"/>
          <w:kern w:val="0"/>
          <w:sz w:val="28"/>
          <w:szCs w:val="28"/>
          <w:highlight w:val="none"/>
        </w:rPr>
        <w:t>第十条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仓库标准仓单的生成包括交割预报、商品入库验收、质量检验、仓库申请注册以及交易所办理注册等环节。</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第十一条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标准仓单注册人向仓库发货前，应当由会员办理交割预报。会员应当填写《交割预报单》，并</w:t>
      </w:r>
      <w:r>
        <w:rPr>
          <w:rFonts w:hint="eastAsia" w:ascii="宋体" w:hAnsi="宋体" w:cs="宋体"/>
          <w:color w:val="000000"/>
          <w:kern w:val="0"/>
          <w:sz w:val="28"/>
          <w:szCs w:val="28"/>
          <w:highlight w:val="none"/>
        </w:rPr>
        <w:t>以书面形式</w:t>
      </w:r>
      <w:r>
        <w:rPr>
          <w:rFonts w:hint="eastAsia" w:ascii="宋体" w:hAnsi="宋体" w:cs="宋体"/>
          <w:kern w:val="0"/>
          <w:sz w:val="28"/>
          <w:szCs w:val="28"/>
          <w:highlight w:val="none"/>
        </w:rPr>
        <w:t>或者交易所认可的其他形式向仓库预报。</w:t>
      </w:r>
    </w:p>
    <w:p>
      <w:pPr>
        <w:spacing w:line="360" w:lineRule="auto"/>
        <w:ind w:firstLine="560" w:firstLineChars="200"/>
        <w:rPr>
          <w:rFonts w:ascii="宋体" w:hAnsi="宋体" w:cs="宋体"/>
          <w:kern w:val="0"/>
          <w:sz w:val="28"/>
          <w:szCs w:val="21"/>
          <w:highlight w:val="none"/>
        </w:rPr>
      </w:pPr>
      <w:r>
        <w:rPr>
          <w:rFonts w:hint="eastAsia" w:ascii="宋体" w:hAnsi="宋体" w:cs="宋体"/>
          <w:kern w:val="0"/>
          <w:sz w:val="28"/>
          <w:szCs w:val="28"/>
          <w:highlight w:val="none"/>
        </w:rPr>
        <w:t>交割</w:t>
      </w:r>
      <w:r>
        <w:rPr>
          <w:rFonts w:hint="eastAsia" w:ascii="宋体" w:hAnsi="宋体" w:cs="宋体"/>
          <w:spacing w:val="-6"/>
          <w:kern w:val="0"/>
          <w:sz w:val="28"/>
          <w:szCs w:val="28"/>
          <w:highlight w:val="none"/>
        </w:rPr>
        <w:t>预报数量较大的，交易所可以要求标准仓单注册人提供相关商品的权属证明。</w:t>
      </w:r>
      <w:r>
        <w:rPr>
          <w:rFonts w:hint="eastAsia" w:ascii="宋体" w:hAnsi="宋体" w:cs="宋体"/>
          <w:color w:val="000000"/>
          <w:kern w:val="0"/>
          <w:sz w:val="28"/>
          <w:szCs w:val="28"/>
          <w:highlight w:val="none"/>
        </w:rPr>
        <w:t>交易所可以根据市场情况，要求仓库优先批准有近期月份持仓的交割预报。</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第十二条 </w:t>
      </w:r>
      <w:r>
        <w:rPr>
          <w:rFonts w:hint="eastAsia" w:ascii="宋体" w:hAnsi="宋体" w:cs="宋体"/>
          <w:kern w:val="0"/>
          <w:sz w:val="28"/>
          <w:szCs w:val="28"/>
          <w:highlight w:val="none"/>
        </w:rPr>
        <w:t>仓库应当在收到《交割预报单》之日起2个工作日内，</w:t>
      </w:r>
      <w:r>
        <w:rPr>
          <w:rFonts w:hint="eastAsia" w:ascii="宋体" w:hAnsi="宋体" w:cs="宋体"/>
          <w:color w:val="000000"/>
          <w:kern w:val="0"/>
          <w:sz w:val="28"/>
          <w:szCs w:val="28"/>
          <w:highlight w:val="none"/>
        </w:rPr>
        <w:t>以书面形式</w:t>
      </w:r>
      <w:r>
        <w:rPr>
          <w:rFonts w:hint="eastAsia" w:ascii="宋体" w:hAnsi="宋体" w:cs="宋体"/>
          <w:kern w:val="0"/>
          <w:sz w:val="28"/>
          <w:szCs w:val="28"/>
          <w:highlight w:val="none"/>
        </w:rPr>
        <w:t>或者交易所认可的其他形式回复会员能够接收的商品数量。</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第十三条 </w:t>
      </w:r>
      <w:r>
        <w:rPr>
          <w:rFonts w:hint="eastAsia" w:ascii="宋体" w:hAnsi="宋体" w:cs="宋体"/>
          <w:kern w:val="0"/>
          <w:sz w:val="28"/>
          <w:szCs w:val="28"/>
          <w:highlight w:val="none"/>
        </w:rPr>
        <w:t>自接到仓库同意入库的回复之日起2个工作日内，会员应当向仓库交纳交割预报定金。交割预报定金具体金额见相关品种期货业务细则。</w:t>
      </w:r>
    </w:p>
    <w:p>
      <w:pPr>
        <w:spacing w:line="360" w:lineRule="auto"/>
        <w:ind w:firstLine="560" w:firstLineChars="200"/>
        <w:rPr>
          <w:rFonts w:ascii="宋体" w:hAnsi="宋体" w:cs="宋体"/>
          <w:kern w:val="0"/>
          <w:sz w:val="28"/>
          <w:szCs w:val="21"/>
          <w:highlight w:val="none"/>
        </w:rPr>
      </w:pPr>
      <w:r>
        <w:rPr>
          <w:rFonts w:hint="eastAsia" w:ascii="宋体" w:hAnsi="宋体" w:cs="宋体"/>
          <w:kern w:val="0"/>
          <w:sz w:val="28"/>
          <w:szCs w:val="28"/>
          <w:highlight w:val="none"/>
        </w:rPr>
        <w:t>仓库应当在收到交割预报定金的当日（如非工作日，顺延到下一个工作日），开具《入库通知单》。</w:t>
      </w:r>
    </w:p>
    <w:p>
      <w:pPr>
        <w:spacing w:line="360" w:lineRule="auto"/>
        <w:ind w:firstLine="560" w:firstLineChars="200"/>
        <w:rPr>
          <w:rFonts w:ascii="宋体" w:hAnsi="宋体" w:cs="宋体"/>
          <w:kern w:val="0"/>
          <w:sz w:val="28"/>
          <w:szCs w:val="21"/>
          <w:highlight w:val="none"/>
        </w:rPr>
      </w:pPr>
      <w:r>
        <w:rPr>
          <w:rFonts w:hint="eastAsia" w:ascii="黑体" w:hAnsi="黑体" w:eastAsia="黑体" w:cs="宋体"/>
          <w:kern w:val="0"/>
          <w:sz w:val="28"/>
          <w:szCs w:val="28"/>
          <w:highlight w:val="none"/>
        </w:rPr>
        <w:t>第十四条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已经存放在仓库的商品申请注册标准仓单的，仍应当办理交割预报，无须交纳交割预报定金。</w:t>
      </w:r>
    </w:p>
    <w:p>
      <w:pPr>
        <w:spacing w:line="360" w:lineRule="auto"/>
        <w:ind w:firstLine="560" w:firstLineChars="200"/>
        <w:rPr>
          <w:rFonts w:ascii="宋体" w:hAnsi="宋体" w:cs="宋体"/>
          <w:kern w:val="0"/>
          <w:sz w:val="28"/>
          <w:szCs w:val="21"/>
          <w:highlight w:val="none"/>
        </w:rPr>
      </w:pPr>
      <w:r>
        <w:rPr>
          <w:rFonts w:hint="eastAsia" w:ascii="黑体" w:hAnsi="黑体" w:eastAsia="黑体" w:cs="宋体"/>
          <w:kern w:val="0"/>
          <w:sz w:val="28"/>
          <w:szCs w:val="28"/>
          <w:highlight w:val="none"/>
        </w:rPr>
        <w:t xml:space="preserve">第十五条 </w:t>
      </w:r>
      <w:r>
        <w:rPr>
          <w:rFonts w:hint="eastAsia" w:ascii="宋体" w:hAnsi="宋体" w:cs="宋体"/>
          <w:kern w:val="0"/>
          <w:sz w:val="28"/>
          <w:szCs w:val="28"/>
          <w:highlight w:val="none"/>
        </w:rPr>
        <w:t>《入库通知单》自开具之日起生效。《入库通知单》有效期见相关品种期货业务细则。交易所可以根据市场情况对《入库通知单》有效期进行调整。</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第十六条 </w:t>
      </w:r>
      <w:r>
        <w:rPr>
          <w:rFonts w:hint="eastAsia" w:ascii="宋体" w:hAnsi="宋体" w:cs="宋体"/>
          <w:kern w:val="0"/>
          <w:sz w:val="28"/>
          <w:szCs w:val="28"/>
          <w:highlight w:val="none"/>
        </w:rPr>
        <w:t>《入库通知单》有效期内相对应数量的商品全部到库的，自商品入库完毕之日起2个工作日内，交割预报定金予以返还；商品部分到库的，按照实际到货量予以返还；未到库部分，交割预报定金不予返还。</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第十七条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交易所公告暂停仓库入库业务的，自公告之日（含该日）下午闭市起，该仓库发生的交割预报视为无效预报，交易所不再受理相关商品的仓库标准仓单注册申请。</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第十八条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标准仓单注册人应当按交易所有关规定，向仓库交纳各项费用。</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第十九条</w:t>
      </w:r>
      <w:r>
        <w:rPr>
          <w:rFonts w:hint="eastAsia" w:ascii="宋体" w:hAnsi="宋体" w:cs="宋体"/>
          <w:kern w:val="0"/>
          <w:sz w:val="28"/>
          <w:szCs w:val="28"/>
          <w:highlight w:val="none"/>
        </w:rPr>
        <w:t xml:space="preserve"> 标准仓单注册人办理交割预报后，应当在发货前将运输方式、车（船）号、商品数量、到货时间等信息通知仓库。</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第二十条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交割商品入库时，应当经过质量、重量、包装及相关单证的检验或者验收，具体按照相关品种期货业务细则有关规定执行。</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入库商品质量检验结束后，检验单位将检验报告以数字认证方式上传至交易所仓单注册注销系统。由指定质检机构检验的，指定质检机构应当及时将检验报告寄送仓库或由仓库领取。标准仓单注册人或者仓库业务急需的，指定质检机构可以先行告知检验结果。</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第二十一条 </w:t>
      </w:r>
      <w:r>
        <w:rPr>
          <w:rFonts w:hint="eastAsia" w:ascii="宋体" w:hAnsi="宋体" w:cs="宋体"/>
          <w:kern w:val="0"/>
          <w:sz w:val="28"/>
          <w:szCs w:val="28"/>
          <w:highlight w:val="none"/>
        </w:rPr>
        <w:t>仓库应当在出具或者接到指定质检机构的检验结果之日起1个工作日内，对检验结果进行确认并通知标准仓单注册人。对于质量符合交割规定的货物，标准仓单注册人无异议的，仓库应当自通知标准仓单注册人之日起2个工作日内向交易所申请注册仓库标准仓单。交易所可以在仓库提出标准仓单注册申请之日起7个工作日内予以注册。</w:t>
      </w:r>
    </w:p>
    <w:p>
      <w:pPr>
        <w:spacing w:line="360" w:lineRule="auto"/>
        <w:ind w:firstLine="560" w:firstLineChars="200"/>
        <w:rPr>
          <w:rFonts w:ascii="宋体" w:hAnsi="宋体" w:cs="宋体"/>
          <w:color w:val="000000"/>
          <w:kern w:val="0"/>
          <w:sz w:val="24"/>
          <w:szCs w:val="28"/>
          <w:highlight w:val="none"/>
        </w:rPr>
      </w:pPr>
      <w:r>
        <w:rPr>
          <w:rFonts w:hint="eastAsia" w:ascii="宋体" w:hAnsi="宋体" w:eastAsia="黑体" w:cs="宋体"/>
          <w:kern w:val="0"/>
          <w:sz w:val="28"/>
          <w:szCs w:val="28"/>
          <w:highlight w:val="none"/>
        </w:rPr>
        <w:t xml:space="preserve">第二十二条 </w:t>
      </w:r>
      <w:r>
        <w:rPr>
          <w:rFonts w:hint="eastAsia" w:ascii="宋体" w:hAnsi="宋体" w:cs="宋体"/>
          <w:kern w:val="0"/>
          <w:sz w:val="28"/>
          <w:szCs w:val="28"/>
          <w:highlight w:val="none"/>
        </w:rPr>
        <w:t>自交割月最后交易日下午3时起，交易所不再受理仓库提出的用于当月交割的标准仓单注册申请。该日下午3时以后的注册申请所形成的标准仓单可以参与后续月份交割。</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交易所规定的可予质量免检的商品用于期货交割的，最迟应当在合约最后交易日前一日申请注册标准仓单。</w:t>
      </w:r>
    </w:p>
    <w:p>
      <w:pPr>
        <w:spacing w:line="360" w:lineRule="auto"/>
        <w:jc w:val="center"/>
        <w:rPr>
          <w:rFonts w:ascii="宋体" w:hAnsi="宋体" w:eastAsia="黑体" w:cs="宋体"/>
          <w:kern w:val="0"/>
          <w:sz w:val="28"/>
          <w:szCs w:val="28"/>
          <w:highlight w:val="none"/>
        </w:rPr>
      </w:pPr>
      <w:r>
        <w:rPr>
          <w:rFonts w:hint="eastAsia" w:ascii="宋体" w:hAnsi="宋体" w:eastAsia="黑体" w:cs="宋体"/>
          <w:kern w:val="0"/>
          <w:sz w:val="28"/>
          <w:szCs w:val="28"/>
          <w:highlight w:val="none"/>
        </w:rPr>
        <w:t>第二节 厂库标准仓单的生成</w:t>
      </w:r>
    </w:p>
    <w:p>
      <w:pPr>
        <w:spacing w:line="360" w:lineRule="auto"/>
        <w:ind w:firstLine="560" w:firstLineChars="200"/>
        <w:rPr>
          <w:rFonts w:ascii="宋体" w:hAnsi="宋体" w:eastAsia="黑体" w:cs="宋体"/>
          <w:kern w:val="0"/>
          <w:sz w:val="28"/>
          <w:szCs w:val="28"/>
          <w:highlight w:val="none"/>
        </w:rPr>
      </w:pPr>
      <w:r>
        <w:rPr>
          <w:rFonts w:hint="eastAsia" w:ascii="黑体" w:hAnsi="黑体" w:eastAsia="黑体" w:cs="宋体"/>
          <w:kern w:val="0"/>
          <w:sz w:val="28"/>
          <w:szCs w:val="28"/>
          <w:highlight w:val="none"/>
        </w:rPr>
        <w:t>第二十三条</w:t>
      </w:r>
      <w:r>
        <w:rPr>
          <w:rFonts w:hint="eastAsia" w:ascii="宋体" w:hAnsi="宋体" w:eastAsia="黑体" w:cs="宋体"/>
          <w:kern w:val="0"/>
          <w:sz w:val="28"/>
          <w:szCs w:val="28"/>
          <w:highlight w:val="none"/>
        </w:rPr>
        <w:t xml:space="preserve"> </w:t>
      </w:r>
      <w:r>
        <w:rPr>
          <w:rFonts w:hint="eastAsia" w:ascii="宋体" w:hAnsi="宋体" w:cs="宋体"/>
          <w:color w:val="000000"/>
          <w:kern w:val="0"/>
          <w:sz w:val="28"/>
          <w:szCs w:val="28"/>
          <w:highlight w:val="none"/>
        </w:rPr>
        <w:t>厂库标准仓单的生成包括厂库申请注册、交易所办理注册等环节。</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第二十四条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非期货公司会员、境外特殊非经纪参与者或者客户与厂库结清货款等费用后，厂库通过交易所仓单注册注销系统提交标准仓单注册申请。</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第二十五条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厂库申请标准仓单注册时，应当提供交易所认可的银行履约保函、银行承兑汇票、现金或者交易所认可的其他担保方式。</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厂库提交的保证金数额按照最近交割月合约前一交易日结算价计算。</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第二十六条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厂库最迟应当在合约交割月最后交易日前三个交易日下午3时前提交标准仓单注册申请。厂库提供的担保方式符合规定的，交易所可以在厂库提出仓单注册申请之日起3个工作日内予以注册。</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第二十七条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单个厂库允许注册标准仓单的最大数量由交易所确定，交易所可以根据市场情况予以调整。</w:t>
      </w:r>
    </w:p>
    <w:p>
      <w:pPr>
        <w:spacing w:line="360" w:lineRule="auto"/>
        <w:ind w:firstLine="555"/>
        <w:jc w:val="left"/>
        <w:rPr>
          <w:rFonts w:ascii="宋体" w:hAnsi="宋体" w:cs="宋体"/>
          <w:dstrike/>
          <w:kern w:val="0"/>
          <w:sz w:val="28"/>
          <w:szCs w:val="28"/>
          <w:highlight w:val="none"/>
        </w:rPr>
      </w:pPr>
      <w:r>
        <w:rPr>
          <w:rFonts w:hint="eastAsia" w:ascii="黑体" w:hAnsi="黑体" w:eastAsia="黑体" w:cs="宋体"/>
          <w:kern w:val="0"/>
          <w:sz w:val="28"/>
          <w:szCs w:val="28"/>
          <w:highlight w:val="none"/>
        </w:rPr>
        <w:t>第二十八条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当商品市值发生较大波动时，交易所可以根据市场变化情况要求厂库调整银行履约保函、银行承兑汇票、现金或者交易所认可的其他担保方式的数额。</w:t>
      </w:r>
    </w:p>
    <w:p>
      <w:pPr>
        <w:spacing w:line="360" w:lineRule="auto"/>
        <w:jc w:val="center"/>
        <w:rPr>
          <w:rFonts w:ascii="宋体" w:hAnsi="宋体" w:eastAsia="黑体" w:cs="宋体"/>
          <w:kern w:val="0"/>
          <w:sz w:val="32"/>
          <w:szCs w:val="32"/>
          <w:highlight w:val="none"/>
        </w:rPr>
      </w:pPr>
      <w:r>
        <w:rPr>
          <w:rFonts w:hint="eastAsia" w:ascii="宋体" w:hAnsi="宋体" w:eastAsia="黑体" w:cs="宋体"/>
          <w:kern w:val="0"/>
          <w:sz w:val="32"/>
          <w:szCs w:val="32"/>
          <w:highlight w:val="none"/>
        </w:rPr>
        <w:t>第四章 标准仓单的流通</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第二十九条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标准仓单的流通是指标准仓单的交割和转让。</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处于冻结状态和作为保证金状态的标准仓单不能流通。</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客户或者境外特殊非经纪参与者标准仓单的流通应当委托会员办理，以会员名义在交易所进行，流通结果由客户或者境外特殊非经纪参与者承担。</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第三十条 </w:t>
      </w:r>
      <w:r>
        <w:rPr>
          <w:rFonts w:hint="eastAsia" w:ascii="宋体" w:hAnsi="宋体" w:cs="宋体"/>
          <w:kern w:val="0"/>
          <w:sz w:val="28"/>
          <w:szCs w:val="28"/>
          <w:highlight w:val="none"/>
        </w:rPr>
        <w:t>标准仓单进行实物交割的，按照《郑州商品交易所期货交割管理办法》和相关品种期货业务细则的有关规定办理。</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第三十一条 </w:t>
      </w:r>
      <w:r>
        <w:rPr>
          <w:rFonts w:hint="eastAsia" w:ascii="宋体" w:hAnsi="宋体" w:cs="宋体"/>
          <w:kern w:val="0"/>
          <w:sz w:val="28"/>
          <w:szCs w:val="28"/>
          <w:highlight w:val="none"/>
        </w:rPr>
        <w:t>标准仓单的转让是指会员自行协商买卖标准仓单的行为。达成转让意向的买卖双方会员应当向交易所提交标准仓单转让申请，交易所受理标准仓单转让的时间为每个交易日下午2时30分之前。</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交易所对标准仓单转让申请审核后，为买卖双方会员办理标准仓单过户和货款划转等手续。标准仓单转让的货款划转及增值税专用（普通）发票的开具、传递参照《郑州商品交易所期货交割管理办法》有关规定办理。</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标准仓单转让手续费标准由交易所另行公告。</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第三十二条</w:t>
      </w:r>
      <w:r>
        <w:rPr>
          <w:rFonts w:hint="eastAsia" w:ascii="宋体" w:hAnsi="宋体" w:cs="宋体"/>
          <w:kern w:val="0"/>
          <w:sz w:val="28"/>
          <w:szCs w:val="28"/>
          <w:highlight w:val="none"/>
        </w:rPr>
        <w:t xml:space="preserve"> 保税标准仓单的转让按照相关品种期货业务细则有关规定办理。</w:t>
      </w:r>
    </w:p>
    <w:p>
      <w:pPr>
        <w:spacing w:line="360" w:lineRule="auto"/>
        <w:jc w:val="center"/>
        <w:rPr>
          <w:rFonts w:ascii="宋体" w:hAnsi="宋体" w:eastAsia="黑体" w:cs="宋体"/>
          <w:kern w:val="0"/>
          <w:sz w:val="32"/>
          <w:szCs w:val="28"/>
          <w:highlight w:val="none"/>
        </w:rPr>
      </w:pPr>
      <w:r>
        <w:rPr>
          <w:rFonts w:hint="eastAsia" w:ascii="宋体" w:hAnsi="宋体" w:eastAsia="黑体" w:cs="宋体"/>
          <w:kern w:val="0"/>
          <w:sz w:val="32"/>
          <w:szCs w:val="28"/>
          <w:highlight w:val="none"/>
        </w:rPr>
        <w:t>第五章 标准仓单的注销</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第三十三条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标准仓单的注销是指标准仓单持有人直接或者委托会员到交易所办理标准仓单提货手续的过程。</w:t>
      </w:r>
    </w:p>
    <w:p>
      <w:pPr>
        <w:tabs>
          <w:tab w:val="left" w:pos="1276"/>
        </w:tabs>
        <w:spacing w:line="360" w:lineRule="auto"/>
        <w:ind w:firstLine="560" w:firstLineChars="200"/>
        <w:rPr>
          <w:rFonts w:ascii="宋体" w:hAnsi="宋体" w:cs="宋体"/>
          <w:kern w:val="0"/>
          <w:sz w:val="28"/>
          <w:szCs w:val="21"/>
          <w:highlight w:val="none"/>
        </w:rPr>
      </w:pPr>
      <w:r>
        <w:rPr>
          <w:rFonts w:hint="eastAsia" w:ascii="宋体" w:hAnsi="宋体" w:cs="宋体"/>
          <w:kern w:val="0"/>
          <w:sz w:val="28"/>
          <w:szCs w:val="28"/>
          <w:highlight w:val="none"/>
        </w:rPr>
        <w:t>标准仓单持有人注销标准仓单，应当通过会员向交易所提交标准仓单注销申请。</w:t>
      </w:r>
    </w:p>
    <w:p>
      <w:pPr>
        <w:spacing w:line="360" w:lineRule="auto"/>
        <w:ind w:firstLine="560" w:firstLineChars="200"/>
        <w:rPr>
          <w:rFonts w:ascii="黑体" w:hAnsi="黑体" w:eastAsia="黑体" w:cs="宋体"/>
          <w:kern w:val="0"/>
          <w:sz w:val="28"/>
          <w:szCs w:val="28"/>
          <w:highlight w:val="none"/>
        </w:rPr>
      </w:pPr>
      <w:r>
        <w:rPr>
          <w:rFonts w:hint="eastAsia" w:ascii="黑体" w:hAnsi="黑体" w:eastAsia="黑体" w:cs="宋体"/>
          <w:kern w:val="0"/>
          <w:sz w:val="28"/>
          <w:szCs w:val="28"/>
          <w:highlight w:val="none"/>
        </w:rPr>
        <w:t>第三十四条</w:t>
      </w:r>
      <w:r>
        <w:rPr>
          <w:rFonts w:hint="eastAsia" w:ascii="宋体" w:hAnsi="宋体" w:cs="宋体"/>
          <w:kern w:val="0"/>
          <w:sz w:val="28"/>
          <w:szCs w:val="28"/>
          <w:highlight w:val="none"/>
        </w:rPr>
        <w:t xml:space="preserve"> 标准仓单持有人应当在标准仓单到期日前办理注销手续。逾期未办理的，交易所可以在到期日将其注销，由此造成的一切损失，由标准仓单持有人承担，交易所不保证全部交割商品质量符合规定标准。</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第三十五条 </w:t>
      </w:r>
      <w:r>
        <w:rPr>
          <w:rFonts w:hint="eastAsia" w:ascii="宋体" w:hAnsi="宋体" w:cs="宋体"/>
          <w:kern w:val="0"/>
          <w:sz w:val="28"/>
          <w:szCs w:val="28"/>
          <w:highlight w:val="none"/>
        </w:rPr>
        <w:t>交易所受理标准仓单注销申请后，注销相应的标准仓单，并开具《提货通知单》。</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提货人应当在《提货通知单》有效期内，到仓库或者厂库办理提货手续，《提货通知单》有效期、具体提货流程及商品交收规定见相关品种期货业务细则。</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提货人办理提货手续前，应当自行或者委托会员及时编制《提货通知单》验证密码。</w:t>
      </w:r>
    </w:p>
    <w:p>
      <w:pPr>
        <w:spacing w:line="360" w:lineRule="auto"/>
        <w:ind w:firstLine="560" w:firstLineChars="200"/>
        <w:rPr>
          <w:rFonts w:ascii="宋体" w:hAnsi="宋体" w:eastAsia="黑体" w:cs="宋体"/>
          <w:kern w:val="0"/>
          <w:sz w:val="28"/>
          <w:szCs w:val="28"/>
          <w:highlight w:val="none"/>
        </w:rPr>
      </w:pPr>
      <w:r>
        <w:rPr>
          <w:rFonts w:hint="eastAsia" w:ascii="黑体" w:hAnsi="黑体" w:eastAsia="黑体" w:cs="宋体"/>
          <w:kern w:val="0"/>
          <w:sz w:val="28"/>
          <w:szCs w:val="28"/>
          <w:highlight w:val="none"/>
        </w:rPr>
        <w:t>第三十六条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通用标准仓单注销后需要提货的，交易所根据会员申请及仓库或者厂库的具体情况，确定《提货通知单》对应的商品。</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第三十七条</w:t>
      </w:r>
      <w:r>
        <w:rPr>
          <w:rFonts w:hint="eastAsia" w:ascii="宋体" w:hAnsi="宋体" w:cs="宋体"/>
          <w:kern w:val="0"/>
          <w:sz w:val="28"/>
          <w:szCs w:val="28"/>
          <w:highlight w:val="none"/>
        </w:rPr>
        <w:t xml:space="preserve"> 提货人在《提货通知单》有效期内向交易所提出商品质量复检申请的，自交易所收到复检申请之日起，《提货通知单》有效期停止计算，自复检结果通知提货人之日起重新计算。</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第三十八条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《提货通知单》有效期内未办理相关手续的，按现货提货单处理，仓库不再保证全部商品质量符合规定标准；厂库不再保证按期货规定承担日发货速度等责任，具体提货事宜由提货人与厂库自行协商。</w:t>
      </w:r>
    </w:p>
    <w:p>
      <w:pPr>
        <w:spacing w:line="360" w:lineRule="auto"/>
        <w:ind w:firstLine="560" w:firstLineChars="200"/>
        <w:rPr>
          <w:rFonts w:ascii="宋体" w:hAnsi="宋体" w:cs="宋体"/>
          <w:dstrike/>
          <w:kern w:val="0"/>
          <w:sz w:val="28"/>
          <w:szCs w:val="28"/>
          <w:highlight w:val="none"/>
        </w:rPr>
      </w:pPr>
      <w:r>
        <w:rPr>
          <w:rFonts w:hint="eastAsia" w:ascii="黑体" w:hAnsi="黑体" w:eastAsia="黑体" w:cs="宋体"/>
          <w:kern w:val="0"/>
          <w:sz w:val="28"/>
          <w:szCs w:val="28"/>
          <w:highlight w:val="none"/>
        </w:rPr>
        <w:t xml:space="preserve">第三十九条 </w:t>
      </w:r>
      <w:r>
        <w:rPr>
          <w:rFonts w:hint="eastAsia" w:ascii="宋体" w:hAnsi="宋体" w:cs="宋体"/>
          <w:kern w:val="0"/>
          <w:sz w:val="28"/>
          <w:szCs w:val="28"/>
          <w:highlight w:val="none"/>
        </w:rPr>
        <w:t>保税标准仓单的注销按照相关品种期货业务细则有关规定办理。</w:t>
      </w:r>
    </w:p>
    <w:p>
      <w:pPr>
        <w:spacing w:line="360" w:lineRule="auto"/>
        <w:jc w:val="center"/>
        <w:rPr>
          <w:rFonts w:ascii="宋体" w:hAnsi="宋体" w:eastAsia="黑体" w:cs="宋体"/>
          <w:kern w:val="0"/>
          <w:sz w:val="32"/>
          <w:szCs w:val="28"/>
          <w:highlight w:val="none"/>
        </w:rPr>
      </w:pPr>
      <w:r>
        <w:rPr>
          <w:rFonts w:hint="eastAsia" w:ascii="宋体" w:hAnsi="宋体" w:eastAsia="黑体" w:cs="宋体"/>
          <w:kern w:val="0"/>
          <w:sz w:val="32"/>
          <w:szCs w:val="28"/>
          <w:highlight w:val="none"/>
        </w:rPr>
        <w:t>第六章 入库和出库复检</w:t>
      </w:r>
    </w:p>
    <w:p>
      <w:pPr>
        <w:spacing w:line="360" w:lineRule="auto"/>
        <w:jc w:val="center"/>
        <w:rPr>
          <w:rFonts w:ascii="宋体" w:hAnsi="宋体" w:eastAsia="黑体" w:cs="宋体"/>
          <w:kern w:val="0"/>
          <w:sz w:val="28"/>
          <w:szCs w:val="28"/>
          <w:highlight w:val="none"/>
        </w:rPr>
      </w:pPr>
      <w:r>
        <w:rPr>
          <w:rFonts w:hint="eastAsia" w:ascii="宋体" w:hAnsi="宋体" w:eastAsia="黑体" w:cs="宋体"/>
          <w:kern w:val="0"/>
          <w:sz w:val="28"/>
          <w:szCs w:val="28"/>
          <w:highlight w:val="none"/>
        </w:rPr>
        <w:t>第一节 仓库商品入库复检</w:t>
      </w:r>
    </w:p>
    <w:p>
      <w:pPr>
        <w:spacing w:line="360" w:lineRule="auto"/>
        <w:ind w:firstLine="560" w:firstLineChars="200"/>
        <w:rPr>
          <w:rFonts w:ascii="宋体" w:hAnsi="宋体" w:cs="宋体"/>
          <w:color w:val="000000"/>
          <w:kern w:val="0"/>
          <w:sz w:val="24"/>
          <w:szCs w:val="28"/>
          <w:highlight w:val="none"/>
        </w:rPr>
      </w:pPr>
      <w:r>
        <w:rPr>
          <w:rFonts w:hint="eastAsia" w:ascii="黑体" w:hAnsi="黑体" w:eastAsia="黑体" w:cs="宋体"/>
          <w:kern w:val="0"/>
          <w:sz w:val="28"/>
          <w:szCs w:val="28"/>
          <w:highlight w:val="none"/>
        </w:rPr>
        <w:t xml:space="preserve">第四十条 </w:t>
      </w:r>
      <w:r>
        <w:rPr>
          <w:rFonts w:hint="eastAsia" w:ascii="宋体" w:hAnsi="宋体" w:cs="宋体"/>
          <w:kern w:val="0"/>
          <w:sz w:val="28"/>
          <w:szCs w:val="28"/>
          <w:highlight w:val="none"/>
        </w:rPr>
        <w:t>标准仓单注册人或者仓库对商品入库检验结果有异议的，应当自收到检验结果之日起3个工作日内向交易所书面提出复检申请，并预交复检费用。</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未在规定时间内提出复检申请的，视为同意检验结果。</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第四十一条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复检仅限于复检申请方提出的有异议的项目。</w:t>
      </w:r>
    </w:p>
    <w:p>
      <w:pPr>
        <w:spacing w:line="360" w:lineRule="auto"/>
        <w:ind w:firstLine="560" w:firstLineChars="200"/>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第四十二条 </w:t>
      </w:r>
      <w:r>
        <w:rPr>
          <w:rFonts w:hint="eastAsia" w:ascii="宋体" w:hAnsi="宋体" w:cs="宋体"/>
          <w:kern w:val="0"/>
          <w:sz w:val="28"/>
          <w:szCs w:val="28"/>
          <w:highlight w:val="none"/>
        </w:rPr>
        <w:t>入库检验由指定质检机构负责的品种，复检机构为原指定质检机构，交易所可以要求指定质检机构调换或者增加质检人员。入库检验由仓库负责的品种，复检机构由标准仓单注册人和仓库协商确定，协商不成的，由交易所指定。</w:t>
      </w:r>
    </w:p>
    <w:p>
      <w:pPr>
        <w:spacing w:line="360" w:lineRule="auto"/>
        <w:ind w:firstLine="560" w:firstLineChars="200"/>
        <w:rPr>
          <w:rFonts w:ascii="宋体" w:hAnsi="宋体" w:cs="宋体"/>
          <w:dstrike/>
          <w:kern w:val="0"/>
          <w:sz w:val="28"/>
          <w:szCs w:val="28"/>
          <w:highlight w:val="none"/>
        </w:rPr>
      </w:pPr>
      <w:r>
        <w:rPr>
          <w:rFonts w:hint="eastAsia" w:ascii="宋体" w:hAnsi="宋体" w:cs="宋体"/>
          <w:kern w:val="0"/>
          <w:sz w:val="28"/>
          <w:szCs w:val="28"/>
          <w:highlight w:val="none"/>
        </w:rPr>
        <w:t>复检结果为解决争议的依据。</w:t>
      </w:r>
    </w:p>
    <w:p>
      <w:pPr>
        <w:spacing w:line="360" w:lineRule="auto"/>
        <w:ind w:firstLine="560" w:firstLineChars="200"/>
        <w:rPr>
          <w:rFonts w:ascii="黑体" w:hAnsi="黑体" w:eastAsia="黑体" w:cs="宋体"/>
          <w:kern w:val="0"/>
          <w:sz w:val="28"/>
          <w:szCs w:val="28"/>
          <w:highlight w:val="none"/>
        </w:rPr>
      </w:pPr>
      <w:r>
        <w:rPr>
          <w:rFonts w:hint="eastAsia" w:ascii="黑体" w:hAnsi="黑体" w:eastAsia="黑体" w:cs="宋体"/>
          <w:kern w:val="0"/>
          <w:sz w:val="28"/>
          <w:szCs w:val="28"/>
          <w:highlight w:val="none"/>
        </w:rPr>
        <w:t xml:space="preserve">第四十三条 </w:t>
      </w:r>
      <w:r>
        <w:rPr>
          <w:rFonts w:hint="eastAsia" w:ascii="宋体" w:hAnsi="宋体" w:cs="宋体"/>
          <w:kern w:val="0"/>
          <w:sz w:val="28"/>
          <w:szCs w:val="28"/>
          <w:highlight w:val="none"/>
        </w:rPr>
        <w:t>由交易所指定复检机构的品种，复检样品由复检机构重新扦(采)取，仓库应当予以配合。复检机构应当自扦（采）样完毕次日起3个工作日内作出复检结果，并将复检结果书面通知交易所，交易所通知复检申请方；样品数量较大的，可以适当延迟。</w:t>
      </w:r>
    </w:p>
    <w:p>
      <w:pPr>
        <w:spacing w:line="360" w:lineRule="auto"/>
        <w:ind w:firstLine="560" w:firstLineChars="200"/>
        <w:rPr>
          <w:rFonts w:ascii="宋体" w:hAnsi="宋体" w:eastAsia="黑体" w:cs="宋体"/>
          <w:kern w:val="0"/>
          <w:sz w:val="28"/>
          <w:szCs w:val="28"/>
          <w:highlight w:val="none"/>
        </w:rPr>
      </w:pPr>
      <w:r>
        <w:rPr>
          <w:rFonts w:hint="eastAsia" w:ascii="宋体" w:hAnsi="宋体" w:cs="宋体"/>
          <w:kern w:val="0"/>
          <w:sz w:val="28"/>
          <w:szCs w:val="28"/>
          <w:highlight w:val="none"/>
        </w:rPr>
        <w:t>复检机构为原指定质检机构的品种，复检机构只对其保留的样品进行复检，不再重新扦(采)样。复检机构应当自收到交易所复检通知之日起4个工作日内完成复检，并将复检结果书面通知交易所，由交易所通知复检申请方。</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棉纱、红枣等品种期货业务细则对复检完成时限另有规定的，适用其规定。</w:t>
      </w:r>
    </w:p>
    <w:p>
      <w:pPr>
        <w:spacing w:line="360" w:lineRule="auto"/>
        <w:ind w:firstLine="560" w:firstLineChars="200"/>
        <w:rPr>
          <w:rFonts w:ascii="黑体" w:hAnsi="黑体" w:eastAsia="黑体" w:cs="宋体"/>
          <w:kern w:val="0"/>
          <w:sz w:val="28"/>
          <w:szCs w:val="28"/>
          <w:highlight w:val="none"/>
        </w:rPr>
      </w:pPr>
      <w:r>
        <w:rPr>
          <w:rFonts w:hint="eastAsia" w:ascii="宋体" w:hAnsi="宋体" w:eastAsia="黑体" w:cs="宋体"/>
          <w:kern w:val="0"/>
          <w:sz w:val="28"/>
          <w:szCs w:val="28"/>
          <w:highlight w:val="none"/>
        </w:rPr>
        <w:t xml:space="preserve">第四十四条 </w:t>
      </w:r>
      <w:r>
        <w:rPr>
          <w:rFonts w:hint="eastAsia" w:ascii="宋体" w:hAnsi="宋体" w:cs="宋体"/>
          <w:kern w:val="0"/>
          <w:sz w:val="28"/>
          <w:szCs w:val="28"/>
          <w:highlight w:val="none"/>
        </w:rPr>
        <w:t>由交易所指定复检机构的品种，复检结果与仓库原检验结论一致的，由复检申请方承担相关费用；复检结果与仓库原检验结论不一致的，相关费用由仓库承担。相关费用包括检验费、抽样费、差旅费、交通费等。</w:t>
      </w:r>
    </w:p>
    <w:p>
      <w:pPr>
        <w:spacing w:line="360" w:lineRule="auto"/>
        <w:ind w:firstLine="560" w:firstLineChars="200"/>
        <w:rPr>
          <w:rFonts w:ascii="宋体" w:hAnsi="宋体" w:eastAsia="黑体" w:cs="宋体"/>
          <w:kern w:val="0"/>
          <w:sz w:val="28"/>
          <w:szCs w:val="28"/>
          <w:highlight w:val="none"/>
        </w:rPr>
      </w:pPr>
      <w:r>
        <w:rPr>
          <w:rFonts w:hint="eastAsia" w:ascii="宋体" w:hAnsi="宋体" w:cs="宋体"/>
          <w:kern w:val="0"/>
          <w:sz w:val="28"/>
          <w:szCs w:val="28"/>
          <w:highlight w:val="none"/>
        </w:rPr>
        <w:t>复检机构为原指定质检机构的品种，复检结果与原检验结论一致的，由复检申请方承担相关费用；复检结果与原检验结论不一致的，相关费用由指定质检机构承担。</w:t>
      </w:r>
    </w:p>
    <w:p>
      <w:pPr>
        <w:spacing w:line="360" w:lineRule="auto"/>
        <w:ind w:firstLine="560" w:firstLineChars="200"/>
        <w:jc w:val="left"/>
        <w:rPr>
          <w:rFonts w:ascii="宋体" w:hAnsi="宋体" w:cs="宋体"/>
          <w:dstrike/>
          <w:kern w:val="0"/>
          <w:sz w:val="28"/>
          <w:szCs w:val="28"/>
          <w:highlight w:val="none"/>
        </w:rPr>
      </w:pPr>
      <w:r>
        <w:rPr>
          <w:rFonts w:hint="eastAsia" w:ascii="宋体" w:hAnsi="宋体" w:eastAsia="黑体" w:cs="宋体"/>
          <w:kern w:val="0"/>
          <w:sz w:val="28"/>
          <w:szCs w:val="28"/>
          <w:highlight w:val="none"/>
        </w:rPr>
        <w:t>第四十五条</w:t>
      </w:r>
      <w:r>
        <w:rPr>
          <w:rFonts w:hint="eastAsia" w:ascii="黑体" w:hAnsi="黑体" w:eastAsia="黑体" w:cs="宋体"/>
          <w:kern w:val="0"/>
          <w:sz w:val="28"/>
          <w:szCs w:val="28"/>
          <w:highlight w:val="none"/>
        </w:rPr>
        <w:t xml:space="preserve"> </w:t>
      </w:r>
      <w:r>
        <w:rPr>
          <w:rFonts w:hint="eastAsia" w:ascii="宋体" w:hAnsi="宋体" w:cs="宋体"/>
          <w:kern w:val="0"/>
          <w:sz w:val="28"/>
          <w:szCs w:val="28"/>
          <w:highlight w:val="none"/>
        </w:rPr>
        <w:t>棉花等品种期货业务细则对仓库商品入库复检另有规定的，适用其规定。</w:t>
      </w:r>
    </w:p>
    <w:p>
      <w:pPr>
        <w:spacing w:line="360" w:lineRule="auto"/>
        <w:jc w:val="center"/>
        <w:rPr>
          <w:rFonts w:ascii="宋体" w:hAnsi="宋体" w:eastAsia="黑体" w:cs="宋体"/>
          <w:kern w:val="0"/>
          <w:sz w:val="28"/>
          <w:szCs w:val="28"/>
          <w:highlight w:val="none"/>
        </w:rPr>
      </w:pPr>
      <w:r>
        <w:rPr>
          <w:rFonts w:hint="eastAsia" w:ascii="宋体" w:hAnsi="宋体" w:eastAsia="黑体" w:cs="宋体"/>
          <w:kern w:val="0"/>
          <w:sz w:val="28"/>
          <w:szCs w:val="28"/>
          <w:highlight w:val="none"/>
        </w:rPr>
        <w:t>第二节 仓库商品出库复检</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第四十六条</w:t>
      </w:r>
      <w:r>
        <w:rPr>
          <w:rFonts w:hint="eastAsia" w:ascii="黑体" w:hAnsi="黑体" w:eastAsia="黑体" w:cs="宋体"/>
          <w:kern w:val="0"/>
          <w:sz w:val="28"/>
          <w:szCs w:val="28"/>
          <w:highlight w:val="none"/>
        </w:rPr>
        <w:t xml:space="preserve"> </w:t>
      </w:r>
      <w:r>
        <w:rPr>
          <w:rFonts w:hint="eastAsia" w:ascii="宋体" w:hAnsi="宋体" w:cs="宋体"/>
          <w:kern w:val="0"/>
          <w:sz w:val="28"/>
          <w:szCs w:val="28"/>
          <w:highlight w:val="none"/>
        </w:rPr>
        <w:t>自《提货通知单》开具之日起10个工作日内，提货人对交割商品质量有异议的，可以向交易所申请一次复检，并预交复检费用。</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提货人未在规定时间内提出异议的，视为确认出库商品质量。</w:t>
      </w:r>
    </w:p>
    <w:p>
      <w:pPr>
        <w:spacing w:line="360" w:lineRule="auto"/>
        <w:ind w:firstLine="560" w:firstLineChars="200"/>
        <w:rPr>
          <w:rFonts w:ascii="宋体" w:hAnsi="宋体" w:eastAsia="黑体" w:cs="宋体"/>
          <w:kern w:val="0"/>
          <w:sz w:val="28"/>
          <w:szCs w:val="28"/>
          <w:highlight w:val="none"/>
        </w:rPr>
      </w:pPr>
      <w:r>
        <w:rPr>
          <w:rFonts w:hint="eastAsia" w:ascii="宋体" w:hAnsi="宋体" w:eastAsia="黑体" w:cs="宋体"/>
          <w:kern w:val="0"/>
          <w:sz w:val="28"/>
          <w:szCs w:val="28"/>
          <w:highlight w:val="none"/>
        </w:rPr>
        <w:t xml:space="preserve">第四十七条 </w:t>
      </w:r>
      <w:r>
        <w:rPr>
          <w:rFonts w:hint="eastAsia" w:ascii="宋体" w:hAnsi="宋体" w:cs="宋体"/>
          <w:kern w:val="0"/>
          <w:sz w:val="28"/>
          <w:szCs w:val="28"/>
          <w:highlight w:val="none"/>
        </w:rPr>
        <w:t>交易所不受理超出规定时间或者已经出库的交割商品的质量和数量复检，不承担由此产生的一切责任。</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第四十八条</w:t>
      </w:r>
      <w:r>
        <w:rPr>
          <w:rFonts w:hint="eastAsia" w:ascii="黑体" w:hAnsi="黑体" w:eastAsia="黑体" w:cs="宋体"/>
          <w:kern w:val="0"/>
          <w:sz w:val="28"/>
          <w:szCs w:val="28"/>
          <w:highlight w:val="none"/>
        </w:rPr>
        <w:t xml:space="preserve"> </w:t>
      </w:r>
      <w:r>
        <w:rPr>
          <w:rFonts w:hint="eastAsia" w:ascii="宋体" w:hAnsi="宋体" w:cs="宋体"/>
          <w:kern w:val="0"/>
          <w:sz w:val="28"/>
          <w:szCs w:val="28"/>
          <w:highlight w:val="none"/>
        </w:rPr>
        <w:t>复检仅限于复检申请方提出的有异议的项目。</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第四十九条 </w:t>
      </w:r>
      <w:r>
        <w:rPr>
          <w:rFonts w:hint="eastAsia" w:ascii="宋体" w:hAnsi="宋体" w:cs="宋体"/>
          <w:kern w:val="0"/>
          <w:sz w:val="28"/>
          <w:szCs w:val="28"/>
          <w:highlight w:val="none"/>
        </w:rPr>
        <w:t>入库检验由仓库负责的品种，出库复检机构由提货人和仓库协商确定，协商不成的，由交易所指定；入库检验由指定质检机构负责的品种，出库复检机构由交易所在指定质检机构中确定。</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复检结果为解决争议的依据。</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第五十条 </w:t>
      </w:r>
      <w:r>
        <w:rPr>
          <w:rFonts w:hint="eastAsia" w:ascii="宋体" w:hAnsi="宋体" w:cs="宋体"/>
          <w:kern w:val="0"/>
          <w:sz w:val="28"/>
          <w:szCs w:val="28"/>
          <w:highlight w:val="none"/>
        </w:rPr>
        <w:t>交易所自收到书面复检申请之日起2个工作日内通知仓库。复检机构在仓库协助下重新扦（采）样，样品经提货人、仓库和复检机构三方共同确认后封样。复检结果由交易所通知会员和仓库。</w:t>
      </w:r>
    </w:p>
    <w:p>
      <w:pPr>
        <w:spacing w:line="360" w:lineRule="auto"/>
        <w:ind w:firstLine="560" w:firstLineChars="200"/>
        <w:rPr>
          <w:rFonts w:ascii="黑体" w:hAnsi="黑体" w:eastAsia="黑体" w:cs="宋体"/>
          <w:bCs/>
          <w:kern w:val="36"/>
          <w:sz w:val="28"/>
          <w:szCs w:val="28"/>
          <w:highlight w:val="none"/>
        </w:rPr>
      </w:pPr>
      <w:r>
        <w:rPr>
          <w:rFonts w:hint="eastAsia" w:ascii="黑体" w:hAnsi="黑体" w:eastAsia="黑体" w:cs="宋体"/>
          <w:bCs/>
          <w:kern w:val="36"/>
          <w:sz w:val="28"/>
          <w:szCs w:val="28"/>
          <w:highlight w:val="none"/>
        </w:rPr>
        <w:t>第五十一条</w:t>
      </w:r>
      <w:r>
        <w:rPr>
          <w:rFonts w:hint="eastAsia" w:ascii="宋体" w:hAnsi="宋体" w:cs="宋体"/>
          <w:kern w:val="0"/>
          <w:sz w:val="28"/>
          <w:szCs w:val="28"/>
          <w:highlight w:val="none"/>
        </w:rPr>
        <w:t xml:space="preserve"> 复检结果符合交易所出库规定的，复检及相关费用由复检申请方承担；复检结果不符合出库规定的，复检及相关费用由过错方承担。</w:t>
      </w:r>
    </w:p>
    <w:p>
      <w:pPr>
        <w:spacing w:line="360" w:lineRule="auto"/>
        <w:ind w:firstLine="560" w:firstLineChars="200"/>
        <w:rPr>
          <w:rFonts w:ascii="宋体" w:hAnsi="宋体" w:eastAsia="黑体" w:cs="宋体"/>
          <w:kern w:val="0"/>
          <w:sz w:val="28"/>
          <w:szCs w:val="28"/>
          <w:highlight w:val="none"/>
        </w:rPr>
      </w:pPr>
      <w:r>
        <w:rPr>
          <w:rFonts w:hint="eastAsia" w:ascii="黑体" w:hAnsi="黑体" w:eastAsia="黑体" w:cs="宋体"/>
          <w:bCs/>
          <w:kern w:val="36"/>
          <w:sz w:val="28"/>
          <w:szCs w:val="28"/>
          <w:highlight w:val="none"/>
        </w:rPr>
        <w:t>第五十二条</w:t>
      </w:r>
      <w:r>
        <w:rPr>
          <w:rFonts w:hint="eastAsia" w:ascii="宋体" w:hAnsi="宋体" w:eastAsia="黑体" w:cs="宋体"/>
          <w:kern w:val="0"/>
          <w:sz w:val="28"/>
          <w:szCs w:val="28"/>
          <w:highlight w:val="none"/>
        </w:rPr>
        <w:t xml:space="preserve"> </w:t>
      </w:r>
      <w:r>
        <w:rPr>
          <w:rFonts w:hint="eastAsia" w:ascii="宋体" w:hAnsi="宋体" w:cs="宋体"/>
          <w:kern w:val="0"/>
          <w:sz w:val="28"/>
          <w:szCs w:val="28"/>
          <w:highlight w:val="none"/>
        </w:rPr>
        <w:t>复检结果不符合出库规定的，在双方约定或者交易所规定的出库时间内，仓库或者标准仓单转让人、仓单质量免检承诺人可以用符合出库规定的商品调换，提货方不得拒绝接收。商品调换不得影响商品及时出库，调换增加的运输、检验等费用由仓库或者标准仓单转让人、仓单质量免检承诺人承担。调换后商品的出库按相关品种期货业务细则有关规定执行。</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第五十三条</w:t>
      </w:r>
      <w:r>
        <w:rPr>
          <w:rFonts w:hint="eastAsia" w:ascii="黑体" w:hAnsi="黑体" w:eastAsia="黑体" w:cs="宋体"/>
          <w:kern w:val="0"/>
          <w:sz w:val="28"/>
          <w:szCs w:val="28"/>
          <w:highlight w:val="none"/>
        </w:rPr>
        <w:t xml:space="preserve"> </w:t>
      </w:r>
      <w:r>
        <w:rPr>
          <w:rFonts w:hint="eastAsia" w:ascii="宋体" w:hAnsi="宋体" w:cs="宋体"/>
          <w:kern w:val="0"/>
          <w:sz w:val="28"/>
          <w:szCs w:val="28"/>
          <w:highlight w:val="none"/>
        </w:rPr>
        <w:t>复检结果不符合出库规定，且仓库或者标准仓单转让人、仓单质量免检承诺人未能用符合出库规定的其他商品调换的，仓库或者标准仓单转让人、仓单质量免检承诺人可以与提货人协商处理。协商无法达成一致的，按照以下规定处理：</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一）仓库或者标准仓单转让人、仓单质量免检承诺人及时对交割商品加工处理，直至商品符合出库规定，并承担相应补偿责任。补偿金额=该品种期货最近交割月最高交割结算价（元/吨）×进行加工处理的商品数量（吨）×3%。商品经加工处理符合出库规定，且仓库支付补偿金的，提货人不得拒绝接受商品。</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商品无法加工处理或者加工处理后仍不符合出库规定的，仓库或者标准仓单转让人、仓单质量免检承诺人承担赔偿责任。赔偿金额=该品种期货最近交割月最高交割结算价（元/吨）×不符合出库规定的商品数量（吨）×120%，赔偿后对应商品归仓库或者标准仓单转让人、仓单质量免检承诺人所有。</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第五十四条</w:t>
      </w:r>
      <w:r>
        <w:rPr>
          <w:rFonts w:hint="eastAsia" w:ascii="黑体" w:hAnsi="黑体" w:eastAsia="黑体" w:cs="宋体"/>
          <w:bCs/>
          <w:kern w:val="36"/>
          <w:sz w:val="28"/>
          <w:szCs w:val="28"/>
          <w:highlight w:val="none"/>
        </w:rPr>
        <w:t xml:space="preserve"> </w:t>
      </w:r>
      <w:r>
        <w:rPr>
          <w:rFonts w:hint="eastAsia" w:ascii="宋体" w:hAnsi="宋体" w:cs="宋体"/>
          <w:kern w:val="0"/>
          <w:sz w:val="28"/>
          <w:szCs w:val="28"/>
          <w:highlight w:val="none"/>
        </w:rPr>
        <w:t>棉花等品种期货业务细则对仓库商品出库复检另有规定的，适用其规定。</w:t>
      </w:r>
    </w:p>
    <w:p>
      <w:pPr>
        <w:spacing w:line="360" w:lineRule="auto"/>
        <w:jc w:val="center"/>
        <w:rPr>
          <w:rFonts w:ascii="宋体" w:hAnsi="宋体" w:eastAsia="黑体" w:cs="宋体"/>
          <w:kern w:val="0"/>
          <w:sz w:val="28"/>
          <w:szCs w:val="28"/>
          <w:highlight w:val="none"/>
        </w:rPr>
      </w:pPr>
      <w:r>
        <w:rPr>
          <w:rFonts w:hint="eastAsia" w:ascii="宋体" w:hAnsi="宋体" w:eastAsia="黑体" w:cs="宋体"/>
          <w:kern w:val="0"/>
          <w:sz w:val="28"/>
          <w:szCs w:val="28"/>
          <w:highlight w:val="none"/>
        </w:rPr>
        <w:t>第三节 厂库商品出库复检</w:t>
      </w:r>
    </w:p>
    <w:p>
      <w:pPr>
        <w:spacing w:line="360" w:lineRule="auto"/>
        <w:ind w:firstLine="560" w:firstLineChars="200"/>
        <w:rPr>
          <w:rFonts w:ascii="宋体" w:hAnsi="宋体" w:cs="宋体"/>
          <w:dstrike/>
          <w:kern w:val="0"/>
          <w:sz w:val="28"/>
          <w:szCs w:val="28"/>
          <w:highlight w:val="none"/>
        </w:rPr>
      </w:pPr>
      <w:r>
        <w:rPr>
          <w:rFonts w:hint="eastAsia" w:ascii="宋体" w:hAnsi="宋体" w:eastAsia="黑体" w:cs="宋体"/>
          <w:kern w:val="0"/>
          <w:sz w:val="28"/>
          <w:szCs w:val="28"/>
          <w:highlight w:val="none"/>
        </w:rPr>
        <w:t xml:space="preserve">第五十五条 </w:t>
      </w:r>
      <w:r>
        <w:rPr>
          <w:rFonts w:hint="eastAsia" w:ascii="宋体" w:hAnsi="宋体" w:cs="宋体"/>
          <w:kern w:val="0"/>
          <w:sz w:val="28"/>
          <w:szCs w:val="28"/>
          <w:highlight w:val="none"/>
        </w:rPr>
        <w:t>提货人或者厂库对交割商品重量、质量有异议的，双方协商解决，协商不成的，可以向交易所申请一次复检，并预交复检及相关费用。重量异议应当在货物出库前或者交货时提出；质量异议应当在交易所规定的期限内提出，具体期限见相关品种期货业务细则。</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未在规定时间内提出异议的，视为确认出库商品的重量和质量。</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第五十六条</w:t>
      </w:r>
      <w:r>
        <w:rPr>
          <w:rFonts w:hint="eastAsia" w:ascii="黑体" w:hAnsi="黑体" w:eastAsia="黑体" w:cs="宋体"/>
          <w:kern w:val="0"/>
          <w:sz w:val="28"/>
          <w:szCs w:val="28"/>
          <w:highlight w:val="none"/>
        </w:rPr>
        <w:t xml:space="preserve"> </w:t>
      </w:r>
      <w:r>
        <w:rPr>
          <w:rFonts w:hint="eastAsia" w:ascii="宋体" w:hAnsi="宋体" w:cs="宋体"/>
          <w:kern w:val="0"/>
          <w:sz w:val="28"/>
          <w:szCs w:val="28"/>
          <w:highlight w:val="none"/>
        </w:rPr>
        <w:t>交易所不受理超出规定时间的交割商品的重量和质量复检，不承担由此产生的一切责任。</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w:t>
      </w:r>
      <w:r>
        <w:rPr>
          <w:rFonts w:hint="eastAsia" w:ascii="黑体" w:hAnsi="黑体" w:eastAsia="黑体" w:cs="宋体"/>
          <w:bCs/>
          <w:kern w:val="36"/>
          <w:sz w:val="28"/>
          <w:szCs w:val="28"/>
          <w:highlight w:val="none"/>
        </w:rPr>
        <w:t>五十七</w:t>
      </w:r>
      <w:r>
        <w:rPr>
          <w:rFonts w:hint="eastAsia" w:ascii="宋体" w:hAnsi="宋体" w:eastAsia="黑体" w:cs="宋体"/>
          <w:kern w:val="0"/>
          <w:sz w:val="28"/>
          <w:szCs w:val="28"/>
          <w:highlight w:val="none"/>
        </w:rPr>
        <w:t xml:space="preserve">条 </w:t>
      </w:r>
      <w:r>
        <w:rPr>
          <w:rFonts w:hint="eastAsia" w:ascii="宋体" w:hAnsi="宋体" w:cs="宋体"/>
          <w:kern w:val="0"/>
          <w:sz w:val="28"/>
          <w:szCs w:val="28"/>
          <w:highlight w:val="none"/>
        </w:rPr>
        <w:t>复检仅限于申请方提出的有异议的项目。动力煤等品种期货业务细则对复检项目另有规定的，适用其规定。</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w:t>
      </w:r>
      <w:r>
        <w:rPr>
          <w:rFonts w:hint="eastAsia" w:ascii="黑体" w:hAnsi="黑体" w:eastAsia="黑体" w:cs="宋体"/>
          <w:bCs/>
          <w:kern w:val="36"/>
          <w:sz w:val="28"/>
          <w:szCs w:val="28"/>
          <w:highlight w:val="none"/>
        </w:rPr>
        <w:t>五十八</w:t>
      </w:r>
      <w:r>
        <w:rPr>
          <w:rFonts w:hint="eastAsia" w:ascii="宋体" w:hAnsi="宋体" w:eastAsia="黑体" w:cs="宋体"/>
          <w:kern w:val="0"/>
          <w:sz w:val="28"/>
          <w:szCs w:val="28"/>
          <w:highlight w:val="none"/>
        </w:rPr>
        <w:t>条</w:t>
      </w:r>
      <w:r>
        <w:rPr>
          <w:rFonts w:hint="eastAsia" w:ascii="黑体" w:hAnsi="黑体" w:eastAsia="黑体" w:cs="宋体"/>
          <w:kern w:val="0"/>
          <w:sz w:val="28"/>
          <w:szCs w:val="28"/>
          <w:highlight w:val="none"/>
        </w:rPr>
        <w:t xml:space="preserve"> </w:t>
      </w:r>
      <w:r>
        <w:rPr>
          <w:rFonts w:hint="eastAsia" w:ascii="宋体" w:hAnsi="宋体" w:cs="宋体"/>
          <w:kern w:val="0"/>
          <w:sz w:val="28"/>
          <w:szCs w:val="28"/>
          <w:highlight w:val="none"/>
        </w:rPr>
        <w:t>复检机构由提货人和厂库在指定质检机构中协商确定，协商不成的，由交易所指定。</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复检结果作为解决争议的依据。</w:t>
      </w:r>
    </w:p>
    <w:p>
      <w:pPr>
        <w:spacing w:line="360" w:lineRule="auto"/>
        <w:ind w:firstLine="548" w:firstLineChars="196"/>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第五十九条 </w:t>
      </w:r>
      <w:r>
        <w:rPr>
          <w:rFonts w:hint="eastAsia" w:ascii="宋体" w:hAnsi="宋体" w:cs="宋体"/>
          <w:kern w:val="0"/>
          <w:sz w:val="28"/>
          <w:szCs w:val="28"/>
          <w:highlight w:val="none"/>
        </w:rPr>
        <w:t>复检结果符合交割规定的，复检及相关费用由复检申请方承担；复检结果不符合交割规定的，复检及相关费用由厂库承担。</w:t>
      </w:r>
    </w:p>
    <w:p>
      <w:pPr>
        <w:spacing w:line="360" w:lineRule="auto"/>
        <w:ind w:firstLine="548" w:firstLineChars="196"/>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第六十条 </w:t>
      </w:r>
      <w:r>
        <w:rPr>
          <w:rFonts w:hint="eastAsia" w:ascii="宋体" w:hAnsi="宋体" w:cs="宋体"/>
          <w:kern w:val="0"/>
          <w:sz w:val="28"/>
          <w:szCs w:val="28"/>
          <w:highlight w:val="none"/>
        </w:rPr>
        <w:t>复检结果不符合交割规定的，厂库与提货人协商处理，协商无法达成一致的，厂库应当承担赔偿责任。赔偿金额=该品种期货最近交割月最高交割结算价×复检不符合交割规定的商品数量×120%，赔偿后对应商品归厂库所有。</w:t>
      </w:r>
    </w:p>
    <w:p>
      <w:pPr>
        <w:spacing w:line="360" w:lineRule="auto"/>
        <w:ind w:firstLine="548" w:firstLineChars="196"/>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第六十一条 </w:t>
      </w:r>
      <w:r>
        <w:rPr>
          <w:rFonts w:hint="eastAsia" w:ascii="宋体" w:hAnsi="宋体" w:cs="宋体"/>
          <w:kern w:val="0"/>
          <w:sz w:val="28"/>
          <w:szCs w:val="28"/>
          <w:highlight w:val="none"/>
        </w:rPr>
        <w:t>棉纱、苹果、花生、红枣等品种期货业务细则对厂库出库复检另有规定的，适用其规定。</w:t>
      </w:r>
    </w:p>
    <w:p>
      <w:pPr>
        <w:spacing w:line="360" w:lineRule="auto"/>
        <w:jc w:val="center"/>
        <w:rPr>
          <w:rFonts w:ascii="宋体" w:hAnsi="宋体" w:eastAsia="黑体" w:cs="宋体"/>
          <w:kern w:val="0"/>
          <w:sz w:val="32"/>
          <w:szCs w:val="32"/>
          <w:highlight w:val="none"/>
        </w:rPr>
      </w:pPr>
      <w:r>
        <w:rPr>
          <w:rFonts w:hint="eastAsia" w:ascii="宋体" w:hAnsi="宋体" w:eastAsia="黑体" w:cs="宋体"/>
          <w:kern w:val="0"/>
          <w:sz w:val="32"/>
          <w:szCs w:val="32"/>
          <w:highlight w:val="none"/>
        </w:rPr>
        <w:t>第七章 监督、争议和处理</w:t>
      </w:r>
    </w:p>
    <w:p>
      <w:pPr>
        <w:spacing w:line="360" w:lineRule="auto"/>
        <w:ind w:firstLine="560" w:firstLineChars="200"/>
        <w:rPr>
          <w:rFonts w:ascii="宋体" w:hAnsi="宋体" w:cs="宋体"/>
          <w:dstrike/>
          <w:kern w:val="0"/>
          <w:sz w:val="28"/>
          <w:szCs w:val="28"/>
          <w:highlight w:val="none"/>
        </w:rPr>
      </w:pPr>
      <w:r>
        <w:rPr>
          <w:rFonts w:hint="eastAsia" w:ascii="宋体" w:hAnsi="宋体" w:eastAsia="黑体" w:cs="宋体"/>
          <w:kern w:val="0"/>
          <w:sz w:val="28"/>
          <w:szCs w:val="28"/>
          <w:highlight w:val="none"/>
        </w:rPr>
        <w:t xml:space="preserve">第六十二条 </w:t>
      </w:r>
      <w:r>
        <w:rPr>
          <w:rFonts w:hint="eastAsia" w:ascii="宋体" w:hAnsi="宋体" w:cs="宋体"/>
          <w:kern w:val="0"/>
          <w:sz w:val="28"/>
          <w:szCs w:val="28"/>
          <w:highlight w:val="none"/>
        </w:rPr>
        <w:t>交易所有权对用于期货交割的商品进行抽查。</w:t>
      </w:r>
    </w:p>
    <w:p>
      <w:pPr>
        <w:spacing w:line="360" w:lineRule="auto"/>
        <w:ind w:firstLine="560" w:firstLineChars="200"/>
        <w:rPr>
          <w:rFonts w:ascii="宋体" w:hAnsi="宋体" w:cs="宋体"/>
          <w:kern w:val="0"/>
          <w:sz w:val="28"/>
          <w:szCs w:val="21"/>
          <w:highlight w:val="none"/>
        </w:rPr>
      </w:pPr>
      <w:r>
        <w:rPr>
          <w:rFonts w:hint="eastAsia" w:ascii="宋体" w:hAnsi="宋体" w:cs="宋体"/>
          <w:kern w:val="0"/>
          <w:sz w:val="28"/>
          <w:szCs w:val="28"/>
          <w:highlight w:val="none"/>
        </w:rPr>
        <w:t>对期货交割商品抽查不合格的不予注册。</w:t>
      </w:r>
    </w:p>
    <w:p>
      <w:pPr>
        <w:spacing w:line="360" w:lineRule="auto"/>
        <w:ind w:firstLine="560" w:firstLineChars="200"/>
        <w:rPr>
          <w:rFonts w:ascii="宋体" w:hAnsi="宋体" w:cs="宋体"/>
          <w:kern w:val="0"/>
          <w:sz w:val="28"/>
          <w:szCs w:val="21"/>
          <w:highlight w:val="none"/>
        </w:rPr>
      </w:pPr>
      <w:r>
        <w:rPr>
          <w:rFonts w:hint="eastAsia" w:ascii="宋体" w:hAnsi="宋体" w:cs="宋体"/>
          <w:kern w:val="0"/>
          <w:sz w:val="28"/>
          <w:szCs w:val="28"/>
          <w:highlight w:val="none"/>
        </w:rPr>
        <w:t>对于已经注册成标准仓单的商品，在抽查中发现质量不合格或者数量有差额的，责令仓库、厂库或者标准仓单持有人、仓单质量免检承诺人采取限期提供足量、合格商品等补救措施，由此发生的一切费用和损失由其承担。出现违规行为的，交易所按照《郑州商品交易所违规处理办法》有关规定对违规者进行处理。</w:t>
      </w:r>
    </w:p>
    <w:p>
      <w:pPr>
        <w:spacing w:line="360" w:lineRule="auto"/>
        <w:ind w:firstLine="560" w:firstLineChars="200"/>
        <w:rPr>
          <w:rFonts w:ascii="宋体" w:hAnsi="宋体" w:eastAsia="黑体" w:cs="宋体"/>
          <w:kern w:val="0"/>
          <w:sz w:val="28"/>
          <w:szCs w:val="28"/>
          <w:highlight w:val="none"/>
        </w:rPr>
      </w:pPr>
      <w:r>
        <w:rPr>
          <w:rFonts w:hint="eastAsia" w:ascii="宋体" w:hAnsi="宋体" w:eastAsia="黑体" w:cs="宋体"/>
          <w:kern w:val="0"/>
          <w:sz w:val="28"/>
          <w:szCs w:val="28"/>
          <w:highlight w:val="none"/>
        </w:rPr>
        <w:t>第六十三条</w:t>
      </w:r>
      <w:r>
        <w:rPr>
          <w:rFonts w:hint="eastAsia" w:ascii="黑体" w:hAnsi="黑体" w:eastAsia="黑体" w:cs="宋体"/>
          <w:kern w:val="0"/>
          <w:sz w:val="28"/>
          <w:szCs w:val="28"/>
          <w:highlight w:val="none"/>
        </w:rPr>
        <w:t xml:space="preserve"> </w:t>
      </w:r>
      <w:r>
        <w:rPr>
          <w:rFonts w:hint="eastAsia" w:ascii="宋体" w:hAnsi="宋体" w:cs="宋体"/>
          <w:kern w:val="0"/>
          <w:sz w:val="28"/>
          <w:szCs w:val="28"/>
          <w:highlight w:val="none"/>
        </w:rPr>
        <w:t>标准仓单转让人与受让人（提货人）之间，或者提货人与仓库、厂库、仓单质量免检承诺人之间发生交割纠纷的，双方可以协商解决；协商无法达成一致意见的，应当在纠纷发生之日起5个工作日内以书面形式向交易所申请调解。调解不成的，依法向人民法院起诉或者依约向仲裁机构申请仲裁。</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第六十四条</w:t>
      </w:r>
      <w:r>
        <w:rPr>
          <w:rFonts w:hint="eastAsia" w:ascii="黑体" w:hAnsi="黑体" w:eastAsia="黑体" w:cs="宋体"/>
          <w:kern w:val="0"/>
          <w:sz w:val="28"/>
          <w:szCs w:val="28"/>
          <w:highlight w:val="none"/>
        </w:rPr>
        <w:t xml:space="preserve"> </w:t>
      </w:r>
      <w:r>
        <w:rPr>
          <w:rFonts w:hint="eastAsia" w:ascii="宋体" w:hAnsi="宋体" w:cs="宋体"/>
          <w:kern w:val="0"/>
          <w:sz w:val="28"/>
          <w:szCs w:val="28"/>
          <w:highlight w:val="none"/>
        </w:rPr>
        <w:t>交割商品出库时，对交割商品的质量和数量发生争议的，交易所按照本办法及相关品种期货业务细则有关规定对责任归属进行确认，最终责任由责任方承担。</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第六十五条 </w:t>
      </w:r>
      <w:r>
        <w:rPr>
          <w:rFonts w:hint="eastAsia" w:ascii="宋体" w:hAnsi="宋体" w:cs="宋体"/>
          <w:kern w:val="0"/>
          <w:sz w:val="28"/>
          <w:szCs w:val="28"/>
          <w:highlight w:val="none"/>
        </w:rPr>
        <w:t>仓库、厂库或者标准仓单转让人、仓单质量免检承诺人不能向提货人交付符合交易所规定出库标准的商品，造成提货人损失的，应当承担赔偿责任。仓库或者厂库不能履行其债务时，交易所仅对交割商品的重量和质量承担相应补充赔偿责任。</w:t>
      </w:r>
    </w:p>
    <w:p>
      <w:pPr>
        <w:spacing w:line="360" w:lineRule="auto"/>
        <w:jc w:val="center"/>
        <w:rPr>
          <w:rFonts w:ascii="黑体" w:hAnsi="黑体" w:eastAsia="黑体" w:cs="宋体"/>
          <w:kern w:val="0"/>
          <w:sz w:val="32"/>
          <w:szCs w:val="32"/>
          <w:highlight w:val="none"/>
        </w:rPr>
      </w:pPr>
      <w:r>
        <w:rPr>
          <w:rFonts w:hint="eastAsia" w:ascii="黑体" w:hAnsi="黑体" w:eastAsia="黑体" w:cs="宋体"/>
          <w:kern w:val="0"/>
          <w:sz w:val="32"/>
          <w:szCs w:val="32"/>
          <w:highlight w:val="none"/>
        </w:rPr>
        <w:t>第八章 附 则</w:t>
      </w:r>
    </w:p>
    <w:p>
      <w:pPr>
        <w:spacing w:line="360" w:lineRule="auto"/>
        <w:ind w:firstLine="560" w:firstLineChars="200"/>
        <w:rPr>
          <w:rFonts w:ascii="宋体" w:hAnsi="宋体" w:eastAsia="黑体" w:cs="宋体"/>
          <w:kern w:val="0"/>
          <w:sz w:val="28"/>
          <w:szCs w:val="28"/>
          <w:highlight w:val="none"/>
        </w:rPr>
      </w:pPr>
      <w:r>
        <w:rPr>
          <w:rFonts w:hint="eastAsia" w:ascii="宋体" w:hAnsi="宋体" w:eastAsia="黑体" w:cs="宋体"/>
          <w:kern w:val="0"/>
          <w:sz w:val="28"/>
          <w:szCs w:val="28"/>
          <w:highlight w:val="none"/>
        </w:rPr>
        <w:t xml:space="preserve">第六十六条 </w:t>
      </w:r>
      <w:r>
        <w:rPr>
          <w:rFonts w:hint="eastAsia" w:ascii="宋体" w:hAnsi="宋体" w:cs="宋体"/>
          <w:kern w:val="0"/>
          <w:sz w:val="28"/>
          <w:szCs w:val="28"/>
          <w:highlight w:val="none"/>
        </w:rPr>
        <w:t>违反本办法规定的，交易所按照《郑州商品交易所违规处理办法》有关规定处理。</w:t>
      </w:r>
    </w:p>
    <w:p>
      <w:pPr>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第六十七条 </w:t>
      </w:r>
      <w:r>
        <w:rPr>
          <w:rFonts w:hint="eastAsia" w:ascii="宋体" w:hAnsi="宋体" w:cs="宋体"/>
          <w:kern w:val="0"/>
          <w:sz w:val="28"/>
          <w:szCs w:val="28"/>
          <w:highlight w:val="none"/>
        </w:rPr>
        <w:t>本办法解释权属于郑州商品交易所。</w:t>
      </w:r>
    </w:p>
    <w:p>
      <w:pPr>
        <w:ind w:firstLine="560" w:firstLineChars="200"/>
        <w:rPr>
          <w:rFonts w:ascii="宋体" w:hAnsi="宋体" w:eastAsia="黑体" w:cs="宋体"/>
          <w:kern w:val="0"/>
          <w:sz w:val="28"/>
          <w:szCs w:val="28"/>
          <w:highlight w:val="none"/>
        </w:rPr>
      </w:pPr>
      <w:r>
        <w:rPr>
          <w:rFonts w:hint="eastAsia" w:ascii="宋体" w:hAnsi="宋体" w:eastAsia="黑体" w:cs="宋体"/>
          <w:kern w:val="0"/>
          <w:sz w:val="28"/>
          <w:szCs w:val="28"/>
          <w:highlight w:val="none"/>
        </w:rPr>
        <w:t>第六十八条</w:t>
      </w:r>
      <w:r>
        <w:rPr>
          <w:rFonts w:hint="eastAsia" w:ascii="宋体" w:hAnsi="宋体" w:cs="宋体"/>
          <w:kern w:val="0"/>
          <w:sz w:val="28"/>
          <w:szCs w:val="28"/>
          <w:highlight w:val="none"/>
        </w:rPr>
        <w:t xml:space="preserve"> 各品种期货业务细则有特别规定的，适用其规定。</w:t>
      </w:r>
    </w:p>
    <w:p>
      <w:pPr>
        <w:ind w:right="160" w:firstLine="560" w:firstLineChars="200"/>
        <w:rPr>
          <w:highlight w:val="none"/>
        </w:rPr>
      </w:pPr>
      <w:r>
        <w:rPr>
          <w:rFonts w:hint="eastAsia" w:ascii="宋体" w:hAnsi="宋体" w:eastAsia="黑体" w:cs="宋体"/>
          <w:kern w:val="0"/>
          <w:sz w:val="28"/>
          <w:szCs w:val="28"/>
          <w:highlight w:val="none"/>
        </w:rPr>
        <w:t xml:space="preserve">第六十九条 </w:t>
      </w:r>
      <w:r>
        <w:rPr>
          <w:rFonts w:hint="eastAsia" w:ascii="宋体" w:hAnsi="宋体" w:cs="宋体"/>
          <w:kern w:val="0"/>
          <w:sz w:val="28"/>
          <w:szCs w:val="28"/>
          <w:highlight w:val="none"/>
        </w:rPr>
        <w:t>本办法自</w:t>
      </w:r>
      <w:r>
        <w:rPr>
          <w:rFonts w:hint="eastAsia" w:ascii="宋体" w:hAnsi="宋体" w:cs="宋体"/>
          <w:kern w:val="0"/>
          <w:sz w:val="28"/>
          <w:szCs w:val="28"/>
          <w:highlight w:val="none"/>
          <w:lang w:val="en-US" w:eastAsia="zh-CN"/>
        </w:rPr>
        <w:t>2026</w:t>
      </w:r>
      <w:r>
        <w:rPr>
          <w:rFonts w:hint="eastAsia" w:ascii="宋体" w:hAnsi="宋体" w:cs="宋体"/>
          <w:kern w:val="0"/>
          <w:sz w:val="28"/>
          <w:szCs w:val="28"/>
          <w:highlight w:val="none"/>
        </w:rPr>
        <w:t>年</w:t>
      </w:r>
      <w:r>
        <w:rPr>
          <w:rFonts w:hint="default" w:ascii="宋体" w:hAnsi="宋体" w:cs="宋体"/>
          <w:kern w:val="0"/>
          <w:sz w:val="28"/>
          <w:szCs w:val="28"/>
          <w:highlight w:val="none"/>
          <w:lang w:val="en-US" w:eastAsia="zh-CN"/>
        </w:rPr>
        <w:t>5</w:t>
      </w:r>
      <w:r>
        <w:rPr>
          <w:rFonts w:hint="eastAsia" w:ascii="宋体" w:hAnsi="宋体" w:cs="宋体"/>
          <w:kern w:val="0"/>
          <w:sz w:val="28"/>
          <w:szCs w:val="28"/>
          <w:highlight w:val="none"/>
        </w:rPr>
        <w:t>月</w:t>
      </w:r>
      <w:r>
        <w:rPr>
          <w:rFonts w:hint="default" w:ascii="宋体" w:hAnsi="宋体" w:cs="宋体"/>
          <w:kern w:val="0"/>
          <w:sz w:val="28"/>
          <w:szCs w:val="28"/>
          <w:highlight w:val="none"/>
          <w:lang w:val="en-US" w:eastAsia="zh-CN"/>
        </w:rPr>
        <w:t>7</w:t>
      </w:r>
      <w:r>
        <w:rPr>
          <w:rFonts w:hint="eastAsia" w:ascii="宋体" w:hAnsi="宋体" w:cs="宋体"/>
          <w:kern w:val="0"/>
          <w:sz w:val="28"/>
          <w:szCs w:val="28"/>
          <w:highlight w:val="none"/>
        </w:rPr>
        <w:t>日起施行。</w:t>
      </w:r>
    </w:p>
    <w:p>
      <w:pPr>
        <w:rPr>
          <w:rFonts w:hint="default" w:ascii="黑体" w:hAnsi="黑体" w:eastAsia="黑体" w:cs="黑体"/>
          <w:sz w:val="32"/>
          <w:szCs w:val="32"/>
          <w:highlight w:val="none"/>
          <w:lang w:val="en-US"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lang w:val="en-US" w:eastAsia="zh-CN"/>
        </w:rPr>
      </w:pPr>
      <w:r>
        <w:rPr>
          <w:rFonts w:hint="eastAsia" w:ascii="黑体" w:hAnsi="黑体" w:eastAsia="黑体" w:cs="黑体"/>
          <w:sz w:val="40"/>
          <w:szCs w:val="40"/>
          <w:highlight w:val="none"/>
          <w:lang w:val="en-US" w:eastAsia="zh-CN"/>
        </w:rPr>
        <w:t>郑州商品交易所期货交易风险控制管理办法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对《郑州商品交易所期货交易风险控制管理办法》作如下修订：</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三条修订为：“交易所、会员、境外特殊参与者、境外中介机构和客户应当遵守本办法。境外特殊经纪参与者和境外中介机构应当辅助其委托交易结算的期货公司会员做好境外客户的强行平仓、大户报告、风险提示等工作。期货公司会员应当将涉及境外特殊经纪参与者的客户和境外中介机构的客户的《强行平仓通知书》、强行平仓结果、风险提示函等及时通知境外特殊经纪参与者和境外中介机构。”</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将第二章第九条修订为：“某期货合约市场风险明显增大时，交易所可根据某期货合约市场风险情况采取下列措施：</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“（一）对全部或者部分会员、境外特殊参与者、境外中介机构、客户限制出入金；</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“（二）对全部或者部分非期货公司会员、境外特殊非经纪参与者、客户限制开平仓；……”</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八条修订为：“强制减仓是指D4交易日结算时，交易所将D3交易日闭市时以涨跌停板价申报的未成交平仓报单，且该客户（或者非期货公司会员和境外特殊非经纪参与者，下同）该期货合约单位持仓亏损大于或者等于D3交易日结算价一定比例(该期货合约规定的最低交易保证金标准)的所有持仓，以D3交易日涨跌停板价，与该期货合约盈利持仓按规定方式和方法自动撮合成交。</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“强制减仓前，同一客户在该期货合约的双向持仓首先自动对冲。强制减仓造成的经济损失由会员、境外特殊参与者、境外中介机构及客户承担。”</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将第四章第二十二条修订为：“期货交易实行限仓制度。</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“限仓是指交易所规定会员、境外特殊参与者或者客户按单边计算的、可以持有某一期货合约投机持仓的最大数量。具有实际控制关系的客户和非期货公司会员、境外特殊非经纪参与者的持仓合并计算。”</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将第四章第二十三条修订为：“各品种期货合约对期货公司会员、境外特殊经纪参与者不限仓。”</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五条修订为：“交割月前一个月的最后一个交易日收盘前，会员、境外特殊参与者及客户应当将其期货合约持仓调整为最小交割单位的整倍数；自进入交割月起，会员、境外特殊参与者及客户的持仓应当是最小交割单位的整倍数。”</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将第四章第二十六条修订为：“同一客户在不同期货公司会员、境外特殊经纪参与者、境外中介机构处开有多个交易编码，各交易编码上所有持仓的合计数，不得超出交易所关于客户限仓数额的规定。”</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将第四章第二十七条修订为：“非期货公司会员、境外特殊非经纪参与者或者客户的持仓数量不得超过交易所规定的持仓限额。</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“非期货公司会员、境外特殊非经纪参与者或者客户超过持仓限额的，交易所按照本办法第七章强行平仓制度有关规定进行处理，并可以采取要求提交书面说明、书面警示、约见谈话、限制开仓等措施。”</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二十八条第一款修订为：“交易所实行交易限额制度。交易限额是指交易所规定会员、境外特殊参与者或者客户对某一合约在某一期限内开仓交易的最大数量。交易所可以根据市场情况，对不同的上市品种、合约，对部分或者全部的会员、境外特殊参与者、客户，制定交易限额，具体标准由交易所另行公布。”</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将第五章第二十九条修订为：“同一客户在不同期货公司会员、境外特殊经纪参与者、境外中介机构处开有多个交易编码，各交易编码上所有开仓交易数量的合计数，不得超过交易所关于客户交易限额的规定。”</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三十条修订为：“非期货公司会员、境外特殊非经纪参与者或者客户的开仓数量不得超过交易所规定的交易限额。对超过交易限额的非期货公司会员、境外特殊非经纪参与者或者客户，交易所可以采取电话提示、要求报告情况、要求提交书面承诺、列入重点监管名单、暂停开仓交易等措施。”</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将第六章第三十一条修订为：“期货交易实行大户报告制度。</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非期货公司会员、境外特殊非经纪参与者或者客户持有某期货合约数量达到交易所对其规定的持仓限量80%以上（含本数）或者交易所要求报告的，应当向交易所报告其资金、持仓等情况。根据市场风险状况，交易所可调整持仓报告水平。委托期货公司会员从事期货交易的客户应当通过期货公司会员报告；委托境外特殊经纪参与者从事期货交易的客户，应当通过境外特殊经纪参与者报告；委托境外中介机构从事期货交易的客户，应当委托其境外中介机构报告，境外中介机构再委托期货公司会员或者境外特殊经纪参与者报告；非期货公司会员及境外特殊非经纪参与者向交易所报告。</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“非期货公司会员、境外特殊非经纪参与者和客户应当保证所提供的大户持仓报告和其他材料的真实性、准确性和完整性。”</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六章第三十二条修订为：“交易过程中，非期货公司会员、境外特殊非经纪参与者或者客户符合大户报告条件的，应当主动于下一交易日向交易所报告。非期货公司会员、境外特殊非经纪参与者或者客户履行首次报告义务后，需再次报告或者补充报告的，交易所通知有关会员。”</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将第六章第三十三条修订为：“符合大户报告条件的非期货公司会员、境外特殊非经纪参与者或客户应当向交易所提供下列材料：……”。</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六章第三十四条修订为：“期货公司会员、境外特殊经纪参与者应当对符合大户报告条件的客户所提供的有关材料进行初审，然后报告交易所。境外中介机构应对符合大户报告条件的客户所提供的有关材料进行初审，然后由期货公司会员或境外特殊经纪参与者转交交易所。期货公司会员、境外特殊经纪参与者、境外中介机构应当保证报告材料的真实性和准确性。”</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将第七章第三十五条修订为：“期货交易实行强行平仓制度。</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“强行平仓是指当会员、境外特殊参与者、客户违反交易所相关业务规定时，交易所对其违规持有的相关期货合约持仓予以平仓的强制措施。”</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将第七章第三十六条修订为：“会员、境外特殊参与者、客户有下列情形之一的，交易所有权进行强行平仓：</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“（一）会员或其受托结算的任一明细账户的结算准备金余额小于零并未能在规定时间内补足的；</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“（二）非期货公司会员、境外特殊非经纪参与者和客户持仓量超出其限仓规定的；</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“（三）进入交割月份的自然人持仓；</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“（四）因违规受到交易所强行平仓处罚的；</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“（五）根据交易所的紧急措施应予强行平仓的；</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“（六）其他应予强行平仓的。”</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将第七章第三十七条修订为：“强行平仓的原则和程序：</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强行平仓先由会员、境外特殊参与者自行实施，会员应督导委托其交易结算的境外特殊参与者、境外中介机构和客户执行。除交易所特别规定的时限外，会员未在10时15分之前平仓完毕的，交易所强制执行。因会员或其受托结算的任一明细账户的结算准备金余额小于零而被要求强行平仓的，在保证金补足至最低结算准备金余额前，禁止该明细账户的开仓交易。</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由会员、境外特殊参与者自行平仓的，属前条第（一）、（二）、（三）项情形的，由会员、境外特殊参与者自行确定，平仓结果符合交易所规定即可；属前条第（四）、（五）、（六）项情形的，由交易所确定。</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“由交易所强行平仓的，按以下程序实施：</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“（一）交易所按照会员、境外特殊参与者提供的平仓名单进行强行平仓。</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“（二）会员、境外特殊参与者没有提供平仓名单，属前条第（一）项的，对于结算准备金小于零的明细账户</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按照上一交易日闭市后期货合约总持仓量由大到小顺序，先选择持仓量大的期货合约作为强行平仓的期货合约，再按照该明细账户所有客户该期货合约的净持仓亏损由大到小确定。</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“前项所述的强行平仓执行完毕后，该明细账户结算准备金仍小于零的，交易所对会员的其他明细账户或者受托结算明细账户对应的持仓按照前项原则执行强行平仓。</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“多个会员均需要强行平仓的，按追加保证金由大到小的顺序，先强平需要追加保证金大的会员。</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“（三）属前条第（二）项的，按照超仓量由大到小的顺序，对非期货公司会员、境外特殊非经纪参与者或客户进行强行平仓。</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“（四）会员、境外特殊参与者没有提供平仓名单，属前条第（三）项的，按照上一交易日闭市后自然人期货合约持仓由大到小顺序进行强行平仓。</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“（五）会员、境外特殊参与者没有提供平仓名单，属前条第（四）、（五）、（六）项的，强行平仓头寸由交易所根据涉及的会员、境外特殊参与者、境外中介机构和客户具体情况确定。</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“（六）会员同时满足属前条第（一）、（二）、（三）项情况，交易所先按第（二）、（三）项情况确定强行平仓头寸，再按第（一）项情况确定强行平仓头寸。</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“由于市场原因无法满足上述原则和程序的，交易所有权择机强行平仓。”</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将第七章第三十八条修订为：“交易所实施强行平仓，应当通知会员，会员应当通知客户或委托其结算的境外特殊参与者。</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属第三十六条第（一）、（二）、（三）项情况的，以交易所提供的结算结果为通知依据；属第三十六条第（四）、（五）、（六）项情况的，交易所向有关会员下达《强行平仓通知书》。境外特殊参与者的《强行平仓通知书》送达至为其结算的会员，会员应当及时通知相关境外特殊参与者。”</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将第七章第三十九条第一款修订为：“会员、境外特殊参与者未在规定时间内自行平仓完毕的，剩余部分由交易所按第三十七条所确定的原则以市场价对会员、境外特殊参与者直接执行强行平仓。”</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七章第四十一条修订为：“由于涨跌停板或者其他市场原因有关持仓的强行平仓只能延时完成的，因此发生的亏损仍由会员、境外特殊参与者或者客户承担；未能完成平仓的，该持仓持有者须继续对此承担持仓责任或者交割义务。”</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七章第四十二条第一款修订为：“除第三十六条第（四）项外，强行平仓产生的盈利或者亏损均归持仓人。持仓人是委托期货公司会员交易的客户的，强行平仓发生的亏损，客户所在会员先行承担后，自行向该客户追偿；持仓人是委托境外特殊经纪参与者、境外中介机构交易的客户的，境外特殊经纪参与者、境外中介机构应辅助其委托交易结算的期货公司会员强行平仓，强行平仓后发生的亏损，由为该境外特殊经纪参与者、境外中介机构交易结算的期货公司会员先行承担后，自行向该境外特殊经纪参与者、境外中介机构追索；境外特殊经纪参与者、境外中介机构承担损失后，自行向该客户追索。”</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八章第四十三条第一款第三项修订为：“（三）期货价格出现同方向连续涨跌停板，有根据认为会员、境外特殊参与者、境外中介机构或者客户违反交易所交易规则及其实施细则并且对市场正在产生或者即将产生重大影响；”</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九章第四十七条修订为：“出现下列情形之一的，交易所可以对指定的会员、境外特殊参与者、境外中介机构高管人员或者客户谈话提醒风险，或者要求会员、境外特殊参与者、境外中介机构、客户报告情况：</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“（一）合约价格出现异常波动；</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“（二）会员、境外特殊参与者、境外中介机构或者客户交易异常；</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“（三）会员、境外特殊参与者、境外中介机构或者客户持仓异常；</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“（四）会员或其受托结算明细账户资金异常；</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“（五）会员、境外特殊参与者、境外中介机构或者客户涉嫌违规、违约；</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“（六）交易所接到涉及会员、境外特殊参与者、境外中介机构或者客户的投诉；</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“（七）会员、境外特殊参与者、境外中介机构涉及执法调查；</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“（八）交易所认定的其他情况。</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“交易所通过电话提醒的，应当保留电话录音；通过视频谈话的，应当保留视频录像；通过当面谈话的，应当保存谈话记录。</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“交易所实施谈话提醒的，会员、境外特殊参与者、境外中介机构或者客户应当按照交易所要求的时间、地点和方式认真履行。</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“交易所要求会员、境外特殊参与者、境外中介机构或者客户报告情况的，会员、境外特殊参与者、境外中介机构或者客户应当按照交易所要求的时间、内容和方式如实报告。”</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将第九章第四十八条修订为：“会员、境外特殊参与者、境外中介机构或者客户有违规嫌疑、交易头寸有较大风险的，交易所可以对会员、境外特殊参与者、境外中介机构或者客户发出书面的风险提示函。”</w:t>
      </w:r>
    </w:p>
    <w:p>
      <w:pPr>
        <w:keepNext w:val="0"/>
        <w:keepLines w:val="0"/>
        <w:pageBreakBefore w:val="0"/>
        <w:widowControl w:val="0"/>
        <w:numPr>
          <w:ilvl w:val="0"/>
          <w:numId w:val="11"/>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将第九章第四十九条修订为：“发生下列情形之一的，交易所可以向全体或者部分会员、境外特殊参与者、境外中介机构和客户发出风险提示函：……”</w:t>
      </w:r>
    </w:p>
    <w:p>
      <w:pPr>
        <w:widowControl/>
        <w:jc w:val="center"/>
        <w:rPr>
          <w:rFonts w:hint="eastAsia" w:ascii="方正小标宋简体" w:hAnsi="方正小标宋简体" w:eastAsia="方正小标宋简体" w:cs="方正小标宋简体"/>
          <w:b w:val="0"/>
          <w:bCs/>
          <w:sz w:val="40"/>
          <w:szCs w:val="40"/>
          <w:highlight w:val="none"/>
          <w:lang w:eastAsia="zh-CN"/>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《郑州商品交易所期货交易风险控制管理办法》修订对照表</w:t>
      </w:r>
    </w:p>
    <w:p>
      <w:pPr>
        <w:widowControl/>
        <w:spacing w:line="360" w:lineRule="auto"/>
        <w:jc w:val="center"/>
        <w:rPr>
          <w:rFonts w:hint="eastAsia" w:ascii="仿宋" w:hAnsi="仿宋" w:eastAsia="仿宋"/>
          <w:sz w:val="32"/>
          <w:szCs w:val="32"/>
          <w:highlight w:val="none"/>
        </w:rPr>
      </w:pPr>
      <w:r>
        <w:rPr>
          <w:rFonts w:hint="eastAsia" w:ascii="仿宋" w:hAnsi="仿宋" w:eastAsia="仿宋" w:cs="Calibri"/>
          <w:sz w:val="32"/>
          <w:szCs w:val="32"/>
          <w:highlight w:val="none"/>
        </w:rPr>
        <w:t>（删除线部分为删除，下划线加粗部分为修改增加）</w:t>
      </w:r>
    </w:p>
    <w:tbl>
      <w:tblPr>
        <w:tblStyle w:val="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97" w:hRule="atLeast"/>
        </w:trPr>
        <w:tc>
          <w:tcPr>
            <w:tcW w:w="42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ascii="仿宋" w:hAnsi="仿宋" w:eastAsia="仿宋" w:cs="Calibri"/>
                <w:b/>
                <w:bCs/>
                <w:sz w:val="24"/>
                <w:szCs w:val="24"/>
                <w:highlight w:val="none"/>
              </w:rPr>
            </w:pPr>
            <w:r>
              <w:rPr>
                <w:rFonts w:hint="eastAsia" w:ascii="仿宋" w:hAnsi="仿宋" w:eastAsia="仿宋"/>
                <w:b/>
                <w:bCs/>
                <w:sz w:val="24"/>
                <w:highlight w:val="none"/>
                <w:lang w:eastAsia="zh-CN"/>
              </w:rPr>
              <w:t>修订前</w:t>
            </w:r>
            <w:r>
              <w:rPr>
                <w:rFonts w:hint="eastAsia" w:ascii="仿宋" w:hAnsi="仿宋" w:eastAsia="仿宋"/>
                <w:b/>
                <w:bCs/>
                <w:sz w:val="24"/>
                <w:highlight w:val="none"/>
              </w:rPr>
              <w:t>条文</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ascii="仿宋" w:hAnsi="仿宋" w:eastAsia="仿宋" w:cs="Calibri"/>
                <w:b/>
                <w:bCs/>
                <w:sz w:val="24"/>
                <w:szCs w:val="24"/>
                <w:highlight w:val="none"/>
              </w:rPr>
            </w:pPr>
            <w:r>
              <w:rPr>
                <w:rFonts w:hint="eastAsia" w:ascii="仿宋" w:hAnsi="仿宋" w:eastAsia="仿宋"/>
                <w:b/>
                <w:bCs/>
                <w:sz w:val="24"/>
                <w:highlight w:val="none"/>
              </w:rPr>
              <w:t>修订</w:t>
            </w:r>
            <w:r>
              <w:rPr>
                <w:rFonts w:hint="eastAsia" w:ascii="仿宋" w:hAnsi="仿宋" w:eastAsia="仿宋"/>
                <w:b/>
                <w:bCs/>
                <w:sz w:val="24"/>
                <w:highlight w:val="none"/>
                <w:lang w:eastAsia="zh-CN"/>
              </w:rPr>
              <w:t>后</w:t>
            </w:r>
            <w:r>
              <w:rPr>
                <w:rFonts w:hint="eastAsia" w:ascii="仿宋" w:hAnsi="仿宋" w:eastAsia="仿宋"/>
                <w:b/>
                <w:bCs/>
                <w:sz w:val="24"/>
                <w:highlight w:val="none"/>
              </w:rPr>
              <w:t>条文</w:t>
            </w:r>
          </w:p>
        </w:tc>
      </w:tr>
      <w:tr>
        <w:tblPrEx>
          <w:tblCellMar>
            <w:top w:w="0" w:type="dxa"/>
            <w:left w:w="108" w:type="dxa"/>
            <w:bottom w:w="0" w:type="dxa"/>
            <w:right w:w="108" w:type="dxa"/>
          </w:tblCellMar>
        </w:tblPrEx>
        <w:trPr>
          <w:trHeight w:val="39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12"/>
              </w:numPr>
              <w:ind w:firstLineChars="0"/>
              <w:jc w:val="center"/>
              <w:rPr>
                <w:rFonts w:ascii="仿宋" w:hAnsi="仿宋" w:eastAsia="仿宋"/>
                <w:b/>
                <w:sz w:val="24"/>
                <w:szCs w:val="24"/>
                <w:highlight w:val="none"/>
              </w:rPr>
            </w:pPr>
            <w:r>
              <w:rPr>
                <w:rFonts w:hint="eastAsia" w:ascii="仿宋" w:hAnsi="仿宋" w:eastAsia="仿宋"/>
                <w:b/>
                <w:sz w:val="24"/>
                <w:szCs w:val="24"/>
                <w:highlight w:val="none"/>
              </w:rPr>
              <w:t>总则</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ascii="仿宋" w:hAnsi="仿宋" w:eastAsia="仿宋" w:cs="Times New Roman"/>
                <w:sz w:val="24"/>
                <w:szCs w:val="24"/>
                <w:highlight w:val="none"/>
              </w:rPr>
            </w:pPr>
            <w:r>
              <w:rPr>
                <w:rFonts w:hint="eastAsia" w:ascii="仿宋" w:hAnsi="仿宋" w:eastAsia="仿宋"/>
                <w:b/>
                <w:sz w:val="24"/>
                <w:highlight w:val="none"/>
              </w:rPr>
              <w:t xml:space="preserve">第三条 </w:t>
            </w:r>
            <w:r>
              <w:rPr>
                <w:rFonts w:hint="eastAsia" w:ascii="仿宋" w:hAnsi="仿宋" w:eastAsia="仿宋"/>
                <w:sz w:val="24"/>
                <w:highlight w:val="none"/>
              </w:rPr>
              <w:t>交易所、会员、境外经纪机构和客户应当遵守本办法。境外经纪机构应当辅助其委托交易结算的期货公司会员做好境外客户的强行平仓、大户报告、风险提示等工作。期货公司会员应当将涉及境外经纪机构客户的《强行平仓通知书》、强行平仓结果、风险提示函等及时通知境外经纪机构。</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第三条</w:t>
            </w:r>
            <w:r>
              <w:rPr>
                <w:rFonts w:hint="eastAsia" w:ascii="仿宋" w:hAnsi="仿宋" w:eastAsia="仿宋"/>
                <w:sz w:val="24"/>
                <w:highlight w:val="none"/>
              </w:rPr>
              <w:t xml:space="preserve"> 交易所、会员、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机构和客户应当遵守本办法。</w:t>
            </w:r>
            <w:r>
              <w:rPr>
                <w:rFonts w:hint="eastAsia" w:ascii="仿宋" w:hAnsi="仿宋" w:eastAsia="仿宋"/>
                <w:b/>
                <w:sz w:val="24"/>
                <w:highlight w:val="none"/>
                <w:u w:val="single"/>
              </w:rPr>
              <w:t>境外特殊经纪参与者和</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机构应当辅助其委托交易结算的期货公司会员做好境外客户的强行平仓、大户报告、风险提示等工作。期货公司会员应当将涉及</w:t>
            </w:r>
            <w:r>
              <w:rPr>
                <w:rFonts w:hint="eastAsia" w:ascii="仿宋" w:hAnsi="仿宋" w:eastAsia="仿宋"/>
                <w:b/>
                <w:sz w:val="24"/>
                <w:highlight w:val="none"/>
                <w:u w:val="single"/>
              </w:rPr>
              <w:t>境外特殊经纪参与者的客户和</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w:t>
            </w:r>
            <w:r>
              <w:rPr>
                <w:rFonts w:hint="eastAsia" w:ascii="仿宋" w:hAnsi="仿宋" w:eastAsia="仿宋"/>
                <w:b/>
                <w:sz w:val="24"/>
                <w:highlight w:val="none"/>
                <w:u w:val="single"/>
              </w:rPr>
              <w:t>的</w:t>
            </w:r>
            <w:r>
              <w:rPr>
                <w:rFonts w:hint="eastAsia" w:ascii="仿宋" w:hAnsi="仿宋" w:eastAsia="仿宋"/>
                <w:sz w:val="24"/>
                <w:highlight w:val="none"/>
              </w:rPr>
              <w:t>客户的《强行平仓通知书》、强行平仓结果、风险提示函等及时通知</w:t>
            </w:r>
            <w:r>
              <w:rPr>
                <w:rFonts w:hint="eastAsia" w:ascii="仿宋" w:hAnsi="仿宋" w:eastAsia="仿宋"/>
                <w:b/>
                <w:sz w:val="24"/>
                <w:highlight w:val="none"/>
                <w:u w:val="single"/>
              </w:rPr>
              <w:t>境外特殊经纪参与者和</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w:t>
            </w:r>
          </w:p>
        </w:tc>
      </w:tr>
      <w:tr>
        <w:tblPrEx>
          <w:tblCellMar>
            <w:top w:w="0" w:type="dxa"/>
            <w:left w:w="108" w:type="dxa"/>
            <w:bottom w:w="0" w:type="dxa"/>
            <w:right w:w="108" w:type="dxa"/>
          </w:tblCellMar>
        </w:tblPrEx>
        <w:trPr>
          <w:trHeight w:val="39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ind w:firstLine="482"/>
              <w:jc w:val="center"/>
              <w:rPr>
                <w:rFonts w:ascii="仿宋" w:hAnsi="仿宋" w:eastAsia="仿宋" w:cs="Times New Roman"/>
                <w:sz w:val="24"/>
                <w:szCs w:val="24"/>
                <w:highlight w:val="none"/>
              </w:rPr>
            </w:pPr>
            <w:r>
              <w:rPr>
                <w:rFonts w:hint="eastAsia" w:ascii="仿宋" w:hAnsi="仿宋" w:eastAsia="仿宋"/>
                <w:b/>
                <w:sz w:val="24"/>
                <w:highlight w:val="none"/>
              </w:rPr>
              <w:t>第二章 保证金制度</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w:t>
            </w:r>
            <w:r>
              <w:rPr>
                <w:rFonts w:hint="eastAsia" w:ascii="仿宋" w:hAnsi="仿宋" w:eastAsia="仿宋"/>
                <w:b/>
                <w:sz w:val="24"/>
                <w:highlight w:val="none"/>
                <w:lang w:val="en-US" w:eastAsia="zh-CN"/>
              </w:rPr>
              <w:t>九</w:t>
            </w:r>
            <w:r>
              <w:rPr>
                <w:rFonts w:hint="eastAsia" w:ascii="仿宋" w:hAnsi="仿宋" w:eastAsia="仿宋"/>
                <w:b/>
                <w:sz w:val="24"/>
                <w:highlight w:val="none"/>
              </w:rPr>
              <w:t>条</w:t>
            </w:r>
            <w:r>
              <w:rPr>
                <w:rFonts w:hint="eastAsia" w:ascii="仿宋" w:hAnsi="仿宋" w:eastAsia="仿宋"/>
                <w:sz w:val="24"/>
                <w:highlight w:val="none"/>
              </w:rPr>
              <w:t xml:space="preserve"> 某期货合约市场风险明显增大时，交易所可根据某期货合约市场风险情况采取下列措施：</w:t>
            </w:r>
          </w:p>
          <w:p>
            <w:pPr>
              <w:ind w:firstLine="480"/>
              <w:rPr>
                <w:rFonts w:hint="eastAsia" w:ascii="仿宋" w:hAnsi="仿宋" w:eastAsia="仿宋"/>
                <w:sz w:val="24"/>
                <w:highlight w:val="none"/>
              </w:rPr>
            </w:pPr>
            <w:r>
              <w:rPr>
                <w:rFonts w:hint="eastAsia" w:ascii="仿宋" w:hAnsi="仿宋" w:eastAsia="仿宋"/>
                <w:sz w:val="24"/>
                <w:highlight w:val="none"/>
              </w:rPr>
              <w:t xml:space="preserve">（一）对全部或者部分会员、境外经纪机构、客户限制出入金； </w:t>
            </w:r>
          </w:p>
          <w:p>
            <w:pPr>
              <w:ind w:firstLine="480"/>
              <w:rPr>
                <w:rFonts w:hint="eastAsia" w:ascii="仿宋" w:hAnsi="仿宋" w:eastAsia="仿宋"/>
                <w:sz w:val="24"/>
                <w:highlight w:val="none"/>
              </w:rPr>
            </w:pPr>
            <w:r>
              <w:rPr>
                <w:rFonts w:hint="eastAsia" w:ascii="仿宋" w:hAnsi="仿宋" w:eastAsia="仿宋"/>
                <w:sz w:val="24"/>
                <w:highlight w:val="none"/>
              </w:rPr>
              <w:t xml:space="preserve">（二）对全部或者部分非期货公司会员、客户限制开平仓； </w:t>
            </w:r>
          </w:p>
          <w:p>
            <w:pPr>
              <w:ind w:firstLine="480"/>
              <w:rPr>
                <w:rFonts w:hint="eastAsia" w:ascii="仿宋" w:hAnsi="仿宋" w:eastAsia="仿宋"/>
                <w:sz w:val="24"/>
                <w:highlight w:val="none"/>
              </w:rPr>
            </w:pPr>
            <w:r>
              <w:rPr>
                <w:rFonts w:hint="eastAsia" w:ascii="仿宋" w:hAnsi="仿宋" w:eastAsia="仿宋"/>
                <w:sz w:val="24"/>
                <w:highlight w:val="none"/>
              </w:rPr>
              <w:t xml:space="preserve">（三）调整该期货合约交易保证金标准； </w:t>
            </w:r>
          </w:p>
          <w:p>
            <w:pPr>
              <w:ind w:firstLine="480"/>
              <w:rPr>
                <w:rFonts w:hint="eastAsia" w:ascii="仿宋" w:hAnsi="仿宋" w:eastAsia="仿宋"/>
                <w:sz w:val="24"/>
                <w:highlight w:val="none"/>
              </w:rPr>
            </w:pPr>
            <w:r>
              <w:rPr>
                <w:rFonts w:hint="eastAsia" w:ascii="仿宋" w:hAnsi="仿宋" w:eastAsia="仿宋"/>
                <w:sz w:val="24"/>
                <w:highlight w:val="none"/>
              </w:rPr>
              <w:t>（四）调整该期货合约涨跌停板幅度。</w:t>
            </w:r>
          </w:p>
          <w:p>
            <w:pPr>
              <w:ind w:firstLine="480"/>
              <w:rPr>
                <w:rFonts w:hint="eastAsia" w:ascii="仿宋" w:hAnsi="仿宋" w:eastAsia="仿宋"/>
                <w:sz w:val="24"/>
                <w:highlight w:val="none"/>
              </w:rPr>
            </w:pPr>
            <w:r>
              <w:rPr>
                <w:rFonts w:hint="eastAsia" w:ascii="仿宋" w:hAnsi="仿宋" w:eastAsia="仿宋"/>
                <w:sz w:val="24"/>
                <w:highlight w:val="none"/>
              </w:rPr>
              <w:t>当某期货合约市场行情趋于平缓时，交易所可以将上述措施恢复到正常水平。</w:t>
            </w:r>
          </w:p>
          <w:p>
            <w:pPr>
              <w:ind w:firstLine="480"/>
              <w:rPr>
                <w:rFonts w:ascii="仿宋" w:hAnsi="仿宋" w:eastAsia="仿宋" w:cs="Times New Roman"/>
                <w:sz w:val="24"/>
                <w:szCs w:val="24"/>
                <w:highlight w:val="none"/>
              </w:rPr>
            </w:pPr>
            <w:r>
              <w:rPr>
                <w:rFonts w:hint="eastAsia" w:ascii="仿宋" w:hAnsi="仿宋" w:eastAsia="仿宋"/>
                <w:sz w:val="24"/>
                <w:highlight w:val="none"/>
              </w:rPr>
              <w:t>交易所调整交易保证金标准或者涨跌停板幅度的，应予公告，并报中国证监会备案。</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w:t>
            </w:r>
            <w:r>
              <w:rPr>
                <w:rFonts w:hint="eastAsia" w:ascii="仿宋" w:hAnsi="仿宋" w:eastAsia="仿宋"/>
                <w:b/>
                <w:sz w:val="24"/>
                <w:highlight w:val="none"/>
                <w:lang w:val="en-US" w:eastAsia="zh-CN"/>
              </w:rPr>
              <w:t>九</w:t>
            </w:r>
            <w:r>
              <w:rPr>
                <w:rFonts w:hint="eastAsia" w:ascii="仿宋" w:hAnsi="仿宋" w:eastAsia="仿宋"/>
                <w:b/>
                <w:sz w:val="24"/>
                <w:highlight w:val="none"/>
              </w:rPr>
              <w:t>条</w:t>
            </w:r>
            <w:r>
              <w:rPr>
                <w:rFonts w:hint="eastAsia" w:ascii="仿宋" w:hAnsi="仿宋" w:eastAsia="仿宋"/>
                <w:sz w:val="24"/>
                <w:highlight w:val="none"/>
              </w:rPr>
              <w:t xml:space="preserve"> 某期货合约市场风险明显增大时，交易所可根据某期货合约市场风险情况采取下列措施：</w:t>
            </w:r>
          </w:p>
          <w:p>
            <w:pPr>
              <w:ind w:firstLine="480"/>
              <w:rPr>
                <w:rFonts w:hint="eastAsia" w:ascii="仿宋" w:hAnsi="仿宋" w:eastAsia="仿宋"/>
                <w:sz w:val="24"/>
                <w:highlight w:val="none"/>
              </w:rPr>
            </w:pPr>
            <w:r>
              <w:rPr>
                <w:rFonts w:hint="eastAsia" w:ascii="仿宋" w:hAnsi="仿宋" w:eastAsia="仿宋"/>
                <w:sz w:val="24"/>
                <w:highlight w:val="none"/>
              </w:rPr>
              <w:t>（一）对全部或者部分会员、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 xml:space="preserve">机构、客户限制出入金； </w:t>
            </w:r>
          </w:p>
          <w:p>
            <w:pPr>
              <w:ind w:firstLine="480"/>
              <w:rPr>
                <w:rFonts w:hint="eastAsia" w:ascii="仿宋" w:hAnsi="仿宋" w:eastAsia="仿宋"/>
                <w:sz w:val="24"/>
                <w:highlight w:val="none"/>
              </w:rPr>
            </w:pPr>
            <w:r>
              <w:rPr>
                <w:rFonts w:hint="eastAsia" w:ascii="仿宋" w:hAnsi="仿宋" w:eastAsia="仿宋"/>
                <w:sz w:val="24"/>
                <w:highlight w:val="none"/>
              </w:rPr>
              <w:t>（二）对全部或者部分非期货公司会员、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 xml:space="preserve">客户限制开平仓； </w:t>
            </w:r>
          </w:p>
          <w:p>
            <w:pPr>
              <w:ind w:firstLine="480"/>
              <w:rPr>
                <w:rFonts w:hint="eastAsia" w:ascii="仿宋" w:hAnsi="仿宋" w:eastAsia="仿宋"/>
                <w:sz w:val="24"/>
                <w:highlight w:val="none"/>
              </w:rPr>
            </w:pPr>
            <w:r>
              <w:rPr>
                <w:rFonts w:hint="eastAsia" w:ascii="仿宋" w:hAnsi="仿宋" w:eastAsia="仿宋"/>
                <w:sz w:val="24"/>
                <w:highlight w:val="none"/>
              </w:rPr>
              <w:t xml:space="preserve">（三）调整该期货合约交易保证金标准； </w:t>
            </w:r>
          </w:p>
          <w:p>
            <w:pPr>
              <w:ind w:firstLine="480"/>
              <w:rPr>
                <w:rFonts w:hint="eastAsia" w:ascii="仿宋" w:hAnsi="仿宋" w:eastAsia="仿宋"/>
                <w:sz w:val="24"/>
                <w:highlight w:val="none"/>
              </w:rPr>
            </w:pPr>
            <w:r>
              <w:rPr>
                <w:rFonts w:hint="eastAsia" w:ascii="仿宋" w:hAnsi="仿宋" w:eastAsia="仿宋"/>
                <w:sz w:val="24"/>
                <w:highlight w:val="none"/>
              </w:rPr>
              <w:t>（四）调整该期货合约涨跌停板幅度。</w:t>
            </w:r>
          </w:p>
          <w:p>
            <w:pPr>
              <w:ind w:firstLine="480"/>
              <w:rPr>
                <w:rFonts w:hint="eastAsia" w:ascii="仿宋" w:hAnsi="仿宋" w:eastAsia="仿宋"/>
                <w:sz w:val="24"/>
                <w:highlight w:val="none"/>
              </w:rPr>
            </w:pPr>
            <w:r>
              <w:rPr>
                <w:rFonts w:hint="eastAsia" w:ascii="仿宋" w:hAnsi="仿宋" w:eastAsia="仿宋"/>
                <w:sz w:val="24"/>
                <w:highlight w:val="none"/>
              </w:rPr>
              <w:t>当某期货合约市场行情趋于平缓时，交易所可以将上述措施恢复到正常水平。</w:t>
            </w:r>
          </w:p>
          <w:p>
            <w:pPr>
              <w:ind w:firstLine="480"/>
              <w:rPr>
                <w:rFonts w:hint="eastAsia" w:ascii="仿宋" w:hAnsi="仿宋" w:eastAsia="仿宋" w:cs="Times New Roman"/>
                <w:sz w:val="24"/>
                <w:szCs w:val="24"/>
                <w:highlight w:val="none"/>
                <w:lang w:eastAsia="zh-CN"/>
              </w:rPr>
            </w:pPr>
            <w:r>
              <w:rPr>
                <w:rFonts w:hint="eastAsia" w:ascii="仿宋" w:hAnsi="仿宋" w:eastAsia="仿宋"/>
                <w:sz w:val="24"/>
                <w:highlight w:val="none"/>
              </w:rPr>
              <w:t>交易所调整交易保证金标准或者涨跌停板幅度的，应予公告，并报中国证监会备案。</w:t>
            </w:r>
          </w:p>
        </w:tc>
      </w:tr>
      <w:tr>
        <w:tblPrEx>
          <w:tblCellMar>
            <w:top w:w="0" w:type="dxa"/>
            <w:left w:w="108" w:type="dxa"/>
            <w:bottom w:w="0" w:type="dxa"/>
            <w:right w:w="108" w:type="dxa"/>
          </w:tblCellMar>
        </w:tblPrEx>
        <w:trPr>
          <w:trHeight w:val="39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13"/>
              </w:numPr>
              <w:ind w:firstLineChars="0"/>
              <w:jc w:val="center"/>
              <w:rPr>
                <w:rFonts w:ascii="仿宋" w:hAnsi="仿宋" w:eastAsia="仿宋" w:cs="Arial"/>
                <w:b/>
                <w:bCs/>
                <w:color w:val="000000"/>
                <w:sz w:val="24"/>
                <w:szCs w:val="24"/>
                <w:highlight w:val="none"/>
              </w:rPr>
            </w:pPr>
            <w:r>
              <w:rPr>
                <w:rFonts w:hint="eastAsia" w:ascii="仿宋" w:hAnsi="仿宋" w:eastAsia="仿宋" w:cs="Arial"/>
                <w:b/>
                <w:bCs/>
                <w:color w:val="000000"/>
                <w:sz w:val="24"/>
                <w:szCs w:val="24"/>
                <w:highlight w:val="none"/>
              </w:rPr>
              <w:t>涨跌停板制度</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第十</w:t>
            </w:r>
            <w:r>
              <w:rPr>
                <w:rFonts w:hint="eastAsia" w:ascii="仿宋" w:hAnsi="仿宋" w:eastAsia="仿宋"/>
                <w:b/>
                <w:sz w:val="24"/>
                <w:highlight w:val="none"/>
                <w:lang w:val="en-US"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强制减仓是指D4交易日结算时，交易所将D3交易日闭市时以涨跌停板价申报的未成交平仓报单，且该客户（包括非期货公司会员，下同）该期货合约单位持仓亏损大于或者等于D3交易日结算价一定比例(该期货合约规定的最低交易保证金标准)的所有持仓，以D3交易日涨跌停板价，与该期货合约盈利持仓按规定方式和方法自动撮合成交。</w:t>
            </w:r>
          </w:p>
          <w:p>
            <w:pPr>
              <w:ind w:firstLine="480"/>
              <w:rPr>
                <w:rFonts w:ascii="仿宋" w:hAnsi="仿宋" w:eastAsia="仿宋" w:cs="Times New Roman"/>
                <w:sz w:val="24"/>
                <w:szCs w:val="24"/>
                <w:highlight w:val="none"/>
              </w:rPr>
            </w:pPr>
            <w:r>
              <w:rPr>
                <w:rFonts w:hint="eastAsia" w:ascii="仿宋" w:hAnsi="仿宋" w:eastAsia="仿宋"/>
                <w:sz w:val="24"/>
                <w:highlight w:val="none"/>
              </w:rPr>
              <w:t>强制减仓前，同一客户在该期货合约的双向持仓首先自动对冲。强制减仓造成的经济损失由会员、境外经纪机构及客户承担。</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第十</w:t>
            </w:r>
            <w:r>
              <w:rPr>
                <w:rFonts w:hint="eastAsia" w:ascii="仿宋" w:hAnsi="仿宋" w:eastAsia="仿宋"/>
                <w:b/>
                <w:sz w:val="24"/>
                <w:highlight w:val="none"/>
                <w:lang w:val="en-US"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强制减仓是指D4交易日结算时，交易所将D3交易日闭市时以涨跌停板价申报的未成交平仓报单，且该客户（</w:t>
            </w:r>
            <w:r>
              <w:rPr>
                <w:rFonts w:hint="eastAsia" w:ascii="仿宋" w:hAnsi="仿宋" w:eastAsia="仿宋"/>
                <w:strike w:val="0"/>
                <w:dstrike/>
                <w:sz w:val="24"/>
                <w:highlight w:val="none"/>
              </w:rPr>
              <w:t>包括</w:t>
            </w:r>
            <w:r>
              <w:rPr>
                <w:rFonts w:hint="eastAsia" w:ascii="仿宋" w:hAnsi="仿宋" w:eastAsia="仿宋"/>
                <w:b/>
                <w:bCs/>
                <w:strike w:val="0"/>
                <w:sz w:val="24"/>
                <w:highlight w:val="none"/>
                <w:u w:val="single"/>
                <w:lang w:eastAsia="zh-CN"/>
              </w:rPr>
              <w:t>或者</w:t>
            </w:r>
            <w:r>
              <w:rPr>
                <w:rFonts w:hint="eastAsia" w:ascii="仿宋" w:hAnsi="仿宋" w:eastAsia="仿宋"/>
                <w:sz w:val="24"/>
                <w:highlight w:val="none"/>
              </w:rPr>
              <w:t>非期货公司会员</w:t>
            </w:r>
            <w:r>
              <w:rPr>
                <w:rFonts w:hint="eastAsia" w:ascii="仿宋" w:hAnsi="仿宋" w:eastAsia="仿宋"/>
                <w:b/>
                <w:sz w:val="24"/>
                <w:highlight w:val="none"/>
                <w:u w:val="single"/>
              </w:rPr>
              <w:t>和境外特殊非经纪参与者</w:t>
            </w:r>
            <w:r>
              <w:rPr>
                <w:rFonts w:hint="eastAsia" w:ascii="仿宋" w:hAnsi="仿宋" w:eastAsia="仿宋"/>
                <w:sz w:val="24"/>
                <w:highlight w:val="none"/>
              </w:rPr>
              <w:t>，下同）该期货合约单位持仓亏损大于或者等于D3交易日结算价一定比例(该期货合约规定的最低交易保证金标准)的所有持仓，以D3交易日涨跌停板价，与该期货合约盈利持仓按规定方式和方法自动撮合成交。</w:t>
            </w:r>
          </w:p>
          <w:p>
            <w:pPr>
              <w:ind w:firstLine="480"/>
              <w:rPr>
                <w:rFonts w:ascii="仿宋" w:hAnsi="仿宋" w:eastAsia="仿宋" w:cs="Times New Roman"/>
                <w:sz w:val="24"/>
                <w:szCs w:val="24"/>
                <w:highlight w:val="none"/>
              </w:rPr>
            </w:pPr>
            <w:r>
              <w:rPr>
                <w:rFonts w:hint="eastAsia" w:ascii="仿宋" w:hAnsi="仿宋" w:eastAsia="仿宋"/>
                <w:sz w:val="24"/>
                <w:highlight w:val="none"/>
              </w:rPr>
              <w:t>强制减仓前，同一客户在该期货合约的双向持仓首先自动对冲。强制减仓造成的经济损失由会员、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机构及客户承担。</w:t>
            </w:r>
          </w:p>
        </w:tc>
      </w:tr>
      <w:tr>
        <w:tblPrEx>
          <w:tblCellMar>
            <w:top w:w="0" w:type="dxa"/>
            <w:left w:w="108" w:type="dxa"/>
            <w:bottom w:w="0" w:type="dxa"/>
            <w:right w:w="108" w:type="dxa"/>
          </w:tblCellMar>
        </w:tblPrEx>
        <w:trPr>
          <w:trHeight w:val="39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13"/>
              </w:numPr>
              <w:ind w:firstLineChars="0"/>
              <w:jc w:val="center"/>
              <w:rPr>
                <w:rFonts w:ascii="仿宋" w:hAnsi="仿宋" w:eastAsia="仿宋"/>
                <w:b/>
                <w:sz w:val="24"/>
                <w:szCs w:val="24"/>
                <w:highlight w:val="none"/>
              </w:rPr>
            </w:pPr>
            <w:r>
              <w:rPr>
                <w:rFonts w:hint="eastAsia" w:ascii="仿宋" w:hAnsi="仿宋" w:eastAsia="仿宋"/>
                <w:b/>
                <w:sz w:val="24"/>
                <w:szCs w:val="24"/>
                <w:highlight w:val="none"/>
              </w:rPr>
              <w:t>限仓制度</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二</w:t>
            </w:r>
            <w:r>
              <w:rPr>
                <w:rFonts w:hint="eastAsia" w:ascii="仿宋" w:hAnsi="仿宋" w:eastAsia="仿宋"/>
                <w:b/>
                <w:sz w:val="24"/>
                <w:highlight w:val="none"/>
              </w:rPr>
              <w:t>条</w:t>
            </w:r>
            <w:r>
              <w:rPr>
                <w:rFonts w:hint="eastAsia" w:ascii="仿宋" w:hAnsi="仿宋" w:eastAsia="仿宋"/>
                <w:sz w:val="24"/>
                <w:highlight w:val="none"/>
              </w:rPr>
              <w:t xml:space="preserve"> 期货交易实行限仓制度。</w:t>
            </w:r>
          </w:p>
          <w:p>
            <w:pPr>
              <w:ind w:firstLine="480"/>
              <w:rPr>
                <w:rFonts w:ascii="仿宋" w:hAnsi="仿宋" w:eastAsia="仿宋" w:cs="Times New Roman"/>
                <w:sz w:val="24"/>
                <w:szCs w:val="24"/>
                <w:highlight w:val="none"/>
              </w:rPr>
            </w:pPr>
            <w:r>
              <w:rPr>
                <w:rFonts w:hint="eastAsia" w:ascii="仿宋" w:hAnsi="仿宋" w:eastAsia="仿宋"/>
                <w:sz w:val="24"/>
                <w:highlight w:val="none"/>
              </w:rPr>
              <w:t>限仓是指交易所规定会员或者客户按单边计算的、可以持有某一期货合约投机持仓的最大数量。</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二</w:t>
            </w:r>
            <w:r>
              <w:rPr>
                <w:rFonts w:hint="eastAsia" w:ascii="仿宋" w:hAnsi="仿宋" w:eastAsia="仿宋"/>
                <w:b/>
                <w:sz w:val="24"/>
                <w:highlight w:val="none"/>
              </w:rPr>
              <w:t>条</w:t>
            </w:r>
            <w:r>
              <w:rPr>
                <w:rFonts w:hint="eastAsia" w:ascii="仿宋" w:hAnsi="仿宋" w:eastAsia="仿宋"/>
                <w:sz w:val="24"/>
                <w:highlight w:val="none"/>
              </w:rPr>
              <w:t xml:space="preserve"> 期货交易实行限仓制度。</w:t>
            </w:r>
          </w:p>
          <w:p>
            <w:pPr>
              <w:ind w:firstLine="480"/>
              <w:rPr>
                <w:rFonts w:ascii="仿宋" w:hAnsi="仿宋" w:eastAsia="仿宋" w:cs="Times New Roman"/>
                <w:sz w:val="24"/>
                <w:szCs w:val="24"/>
                <w:highlight w:val="none"/>
              </w:rPr>
            </w:pPr>
            <w:r>
              <w:rPr>
                <w:rFonts w:hint="eastAsia" w:ascii="仿宋" w:hAnsi="仿宋" w:eastAsia="仿宋"/>
                <w:sz w:val="24"/>
                <w:highlight w:val="none"/>
              </w:rPr>
              <w:t>限仓是指交易所规定会员</w:t>
            </w:r>
            <w:r>
              <w:rPr>
                <w:rFonts w:hint="eastAsia" w:ascii="仿宋" w:hAnsi="仿宋" w:eastAsia="仿宋"/>
                <w:b/>
                <w:sz w:val="24"/>
                <w:highlight w:val="none"/>
                <w:u w:val="single"/>
              </w:rPr>
              <w:t>、境外特殊参与者</w:t>
            </w:r>
            <w:r>
              <w:rPr>
                <w:rFonts w:hint="eastAsia" w:ascii="仿宋" w:hAnsi="仿宋" w:eastAsia="仿宋"/>
                <w:sz w:val="24"/>
                <w:highlight w:val="none"/>
              </w:rPr>
              <w:t>或者客户按单边计算的、可以持有某一期货合约投机持仓的最大数量。</w:t>
            </w:r>
            <w:r>
              <w:rPr>
                <w:rFonts w:hint="eastAsia" w:ascii="仿宋" w:hAnsi="仿宋" w:eastAsia="仿宋"/>
                <w:b/>
                <w:sz w:val="24"/>
                <w:highlight w:val="none"/>
                <w:u w:val="single"/>
              </w:rPr>
              <w:t>具有实际控制关系的客户和非期货公司会员、境外特殊非经纪参与者的持仓合并计算。</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各品种期货合约对期货公司会员不限仓。</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各品种期货合约对期货公司会员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不限仓。</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五</w:t>
            </w:r>
            <w:r>
              <w:rPr>
                <w:rFonts w:hint="eastAsia" w:ascii="仿宋" w:hAnsi="仿宋" w:eastAsia="仿宋"/>
                <w:b/>
                <w:sz w:val="24"/>
                <w:highlight w:val="none"/>
              </w:rPr>
              <w:t>条</w:t>
            </w:r>
            <w:r>
              <w:rPr>
                <w:rFonts w:hint="eastAsia" w:ascii="仿宋" w:hAnsi="仿宋" w:eastAsia="仿宋"/>
                <w:sz w:val="24"/>
                <w:highlight w:val="none"/>
              </w:rPr>
              <w:t xml:space="preserve"> 交割月前一个月的最后一个交易日收盘前，会员及客户应当将其期货合约持仓调整为最小交割单位的整倍数；自进入交割月起，会员及客户的持仓应当是最小交割单位的整倍数。</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五</w:t>
            </w:r>
            <w:r>
              <w:rPr>
                <w:rFonts w:hint="eastAsia" w:ascii="仿宋" w:hAnsi="仿宋" w:eastAsia="仿宋"/>
                <w:b/>
                <w:sz w:val="24"/>
                <w:highlight w:val="none"/>
              </w:rPr>
              <w:t>条</w:t>
            </w:r>
            <w:r>
              <w:rPr>
                <w:rFonts w:hint="eastAsia" w:ascii="仿宋" w:hAnsi="仿宋" w:eastAsia="仿宋"/>
                <w:sz w:val="24"/>
                <w:highlight w:val="none"/>
              </w:rPr>
              <w:t xml:space="preserve"> 交割月前一个月的最后一个交易日收盘前，会员</w:t>
            </w:r>
            <w:r>
              <w:rPr>
                <w:rFonts w:hint="eastAsia" w:ascii="仿宋" w:hAnsi="仿宋" w:eastAsia="仿宋"/>
                <w:b/>
                <w:sz w:val="24"/>
                <w:highlight w:val="none"/>
                <w:u w:val="single"/>
              </w:rPr>
              <w:t>、境外特殊参与者</w:t>
            </w:r>
            <w:r>
              <w:rPr>
                <w:rFonts w:hint="eastAsia" w:ascii="仿宋" w:hAnsi="仿宋" w:eastAsia="仿宋"/>
                <w:sz w:val="24"/>
                <w:highlight w:val="none"/>
              </w:rPr>
              <w:t>及客户应当将其期货合约持仓调整为最小交割单位的整倍数；自进入交割月起，会员</w:t>
            </w:r>
            <w:r>
              <w:rPr>
                <w:rFonts w:hint="eastAsia" w:ascii="仿宋" w:hAnsi="仿宋" w:eastAsia="仿宋"/>
                <w:b/>
                <w:sz w:val="24"/>
                <w:highlight w:val="none"/>
                <w:u w:val="single"/>
              </w:rPr>
              <w:t>、境外特殊参与者</w:t>
            </w:r>
            <w:r>
              <w:rPr>
                <w:rFonts w:hint="eastAsia" w:ascii="仿宋" w:hAnsi="仿宋" w:eastAsia="仿宋"/>
                <w:sz w:val="24"/>
                <w:highlight w:val="none"/>
              </w:rPr>
              <w:t>及客户的持仓应当是最小交割单位的整倍数。</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六</w:t>
            </w:r>
            <w:r>
              <w:rPr>
                <w:rFonts w:hint="eastAsia" w:ascii="仿宋" w:hAnsi="仿宋" w:eastAsia="仿宋"/>
                <w:b/>
                <w:sz w:val="24"/>
                <w:highlight w:val="none"/>
              </w:rPr>
              <w:t xml:space="preserve">条 </w:t>
            </w:r>
            <w:r>
              <w:rPr>
                <w:rFonts w:hint="eastAsia" w:ascii="仿宋" w:hAnsi="仿宋" w:eastAsia="仿宋"/>
                <w:sz w:val="24"/>
                <w:highlight w:val="none"/>
              </w:rPr>
              <w:t>同一客户在不同期货公司会员处开有多个交易编码，各交易编码上所有持仓的合计数，不得超出一个客户的限仓数额。</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六</w:t>
            </w:r>
            <w:r>
              <w:rPr>
                <w:rFonts w:hint="eastAsia" w:ascii="仿宋" w:hAnsi="仿宋" w:eastAsia="仿宋"/>
                <w:b/>
                <w:sz w:val="24"/>
                <w:highlight w:val="none"/>
              </w:rPr>
              <w:t>条</w:t>
            </w:r>
            <w:r>
              <w:rPr>
                <w:rFonts w:hint="eastAsia" w:ascii="仿宋" w:hAnsi="仿宋" w:eastAsia="仿宋"/>
                <w:sz w:val="24"/>
                <w:highlight w:val="none"/>
              </w:rPr>
              <w:t xml:space="preserve"> 同一客户在不同期货公司会员</w:t>
            </w:r>
            <w:r>
              <w:rPr>
                <w:rFonts w:hint="eastAsia" w:ascii="仿宋" w:hAnsi="仿宋" w:eastAsia="仿宋"/>
                <w:b/>
                <w:sz w:val="24"/>
                <w:highlight w:val="none"/>
                <w:u w:val="single"/>
              </w:rPr>
              <w:t>、境外特殊经纪参与者、境外中介机构</w:t>
            </w:r>
            <w:r>
              <w:rPr>
                <w:rFonts w:hint="eastAsia" w:ascii="仿宋" w:hAnsi="仿宋" w:eastAsia="仿宋"/>
                <w:sz w:val="24"/>
                <w:highlight w:val="none"/>
              </w:rPr>
              <w:t>处开有多个交易编码，各交易编码上所有持仓的合计数，不得超出</w:t>
            </w:r>
            <w:r>
              <w:rPr>
                <w:rFonts w:hint="eastAsia" w:ascii="仿宋" w:hAnsi="仿宋" w:eastAsia="仿宋"/>
                <w:dstrike/>
                <w:sz w:val="24"/>
                <w:highlight w:val="none"/>
              </w:rPr>
              <w:t>一个客户</w:t>
            </w:r>
            <w:r>
              <w:rPr>
                <w:rFonts w:hint="eastAsia" w:ascii="仿宋" w:hAnsi="仿宋" w:eastAsia="仿宋"/>
                <w:b/>
                <w:sz w:val="24"/>
                <w:highlight w:val="none"/>
                <w:u w:val="single"/>
              </w:rPr>
              <w:t>交易所</w:t>
            </w:r>
            <w:r>
              <w:rPr>
                <w:rFonts w:hint="eastAsia" w:ascii="仿宋" w:hAnsi="仿宋" w:eastAsia="仿宋"/>
                <w:b/>
                <w:sz w:val="24"/>
                <w:highlight w:val="none"/>
                <w:u w:val="single"/>
                <w:lang w:eastAsia="zh-CN"/>
              </w:rPr>
              <w:t>关于客户</w:t>
            </w:r>
            <w:r>
              <w:rPr>
                <w:rFonts w:hint="eastAsia" w:ascii="仿宋" w:hAnsi="仿宋" w:eastAsia="仿宋"/>
                <w:strike w:val="0"/>
                <w:dstrike/>
                <w:sz w:val="24"/>
                <w:highlight w:val="none"/>
              </w:rPr>
              <w:t>的</w:t>
            </w:r>
            <w:r>
              <w:rPr>
                <w:rFonts w:hint="eastAsia" w:ascii="仿宋" w:hAnsi="仿宋" w:eastAsia="仿宋"/>
                <w:sz w:val="24"/>
                <w:highlight w:val="none"/>
              </w:rPr>
              <w:t>限仓数额</w:t>
            </w:r>
            <w:r>
              <w:rPr>
                <w:rFonts w:hint="eastAsia" w:ascii="仿宋" w:hAnsi="仿宋" w:eastAsia="仿宋"/>
                <w:b/>
                <w:bCs/>
                <w:sz w:val="24"/>
                <w:highlight w:val="none"/>
                <w:u w:val="single"/>
                <w:lang w:eastAsia="zh-CN"/>
              </w:rPr>
              <w:t>的规定</w:t>
            </w:r>
            <w:r>
              <w:rPr>
                <w:rFonts w:hint="eastAsia" w:ascii="仿宋" w:hAnsi="仿宋" w:eastAsia="仿宋"/>
                <w:sz w:val="24"/>
                <w:highlight w:val="none"/>
              </w:rPr>
              <w:t>。</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非期货公司会员或者客户的持仓数量不得超过交易所规定的持仓限额。</w:t>
            </w:r>
          </w:p>
          <w:p>
            <w:pPr>
              <w:ind w:firstLine="480"/>
              <w:rPr>
                <w:rFonts w:ascii="仿宋" w:hAnsi="仿宋" w:eastAsia="仿宋" w:cs="Times New Roman"/>
                <w:sz w:val="24"/>
                <w:szCs w:val="24"/>
                <w:highlight w:val="none"/>
              </w:rPr>
            </w:pPr>
            <w:r>
              <w:rPr>
                <w:rFonts w:hint="eastAsia" w:ascii="仿宋" w:hAnsi="仿宋" w:eastAsia="仿宋"/>
                <w:sz w:val="24"/>
                <w:highlight w:val="none"/>
              </w:rPr>
              <w:t>非期货公司会员或者客户超过持仓限额的，交易所按照本办法第七章强行平仓制度有关规定进行处理，并可以采取要求提交书面说明、书面警示、约见谈话、限制开仓等措施。</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或者客户的持仓数量不得超过交易所规定的持仓限额。</w:t>
            </w:r>
          </w:p>
          <w:p>
            <w:pPr>
              <w:ind w:firstLine="480"/>
              <w:rPr>
                <w:rFonts w:ascii="仿宋" w:hAnsi="仿宋" w:eastAsia="仿宋" w:cs="Times New Roman"/>
                <w:sz w:val="24"/>
                <w:szCs w:val="24"/>
                <w:highlight w:val="none"/>
              </w:rPr>
            </w:pPr>
            <w:r>
              <w:rPr>
                <w:rFonts w:hint="eastAsia" w:ascii="仿宋" w:hAnsi="仿宋" w:eastAsia="仿宋"/>
                <w:sz w:val="24"/>
                <w:highlight w:val="none"/>
              </w:rPr>
              <w:t>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或者客户超过持仓限额的，交易所按照本办法第七章强行平仓制度有关规定进行处理，并可以采取要求提交书面说明、书面警示、约见谈话、限制开仓等措施。</w:t>
            </w:r>
          </w:p>
        </w:tc>
      </w:tr>
      <w:tr>
        <w:tblPrEx>
          <w:tblCellMar>
            <w:top w:w="0" w:type="dxa"/>
            <w:left w:w="108" w:type="dxa"/>
            <w:bottom w:w="0" w:type="dxa"/>
            <w:right w:w="108" w:type="dxa"/>
          </w:tblCellMar>
        </w:tblPrEx>
        <w:trPr>
          <w:trHeight w:val="39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13"/>
              </w:numPr>
              <w:ind w:firstLineChars="0"/>
              <w:jc w:val="center"/>
              <w:rPr>
                <w:rFonts w:ascii="仿宋" w:hAnsi="仿宋" w:eastAsia="仿宋"/>
                <w:b/>
                <w:sz w:val="24"/>
                <w:szCs w:val="24"/>
                <w:highlight w:val="none"/>
              </w:rPr>
            </w:pPr>
            <w:r>
              <w:rPr>
                <w:rFonts w:hint="eastAsia" w:ascii="仿宋" w:hAnsi="仿宋" w:eastAsia="仿宋"/>
                <w:b/>
                <w:sz w:val="24"/>
                <w:szCs w:val="24"/>
                <w:highlight w:val="none"/>
              </w:rPr>
              <w:t>交易限额制度</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交易所实行交易限额制度。交易限额是指交易所规定会员或者客户对某一合约在某一期限内开仓交易的最大数量。交易所可以根据市场情况，对不同的上市品种、合约，对部分或者全部的会员、客户，制定交易限额，具体标准由交易所另行公布。</w:t>
            </w:r>
          </w:p>
          <w:p>
            <w:pPr>
              <w:ind w:firstLine="480"/>
              <w:rPr>
                <w:rFonts w:ascii="仿宋" w:hAnsi="仿宋" w:eastAsia="仿宋" w:cs="Times New Roman"/>
                <w:sz w:val="24"/>
                <w:szCs w:val="24"/>
                <w:highlight w:val="none"/>
              </w:rPr>
            </w:pPr>
            <w:r>
              <w:rPr>
                <w:rFonts w:hint="eastAsia" w:ascii="仿宋" w:hAnsi="仿宋" w:eastAsia="仿宋"/>
                <w:sz w:val="24"/>
                <w:highlight w:val="none"/>
              </w:rPr>
              <w:t>套期保值交易和做市交易的开仓数量不受本条前款限制。</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第二十</w:t>
            </w:r>
            <w:r>
              <w:rPr>
                <w:rFonts w:hint="eastAsia" w:ascii="仿宋" w:hAnsi="仿宋" w:eastAsia="仿宋"/>
                <w:b/>
                <w:sz w:val="24"/>
                <w:highlight w:val="none"/>
                <w:lang w:val="en-US"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交易所实行交易限额制度。交易限额是指交易所规定会员</w:t>
            </w:r>
            <w:r>
              <w:rPr>
                <w:rFonts w:hint="eastAsia" w:ascii="仿宋" w:hAnsi="仿宋" w:eastAsia="仿宋"/>
                <w:b/>
                <w:sz w:val="24"/>
                <w:highlight w:val="none"/>
                <w:u w:val="single"/>
              </w:rPr>
              <w:t>、境外特殊参与者</w:t>
            </w:r>
            <w:r>
              <w:rPr>
                <w:rFonts w:hint="eastAsia" w:ascii="仿宋" w:hAnsi="仿宋" w:eastAsia="仿宋"/>
                <w:sz w:val="24"/>
                <w:highlight w:val="none"/>
              </w:rPr>
              <w:t>或者客户对某一合约在某一期限内开仓交易的最大数量。交易所可以根据市场情况，对不同的上市品种、合约，对部分或者全部的会员、</w:t>
            </w:r>
            <w:r>
              <w:rPr>
                <w:rFonts w:hint="eastAsia" w:ascii="仿宋" w:hAnsi="仿宋" w:eastAsia="仿宋"/>
                <w:b/>
                <w:sz w:val="24"/>
                <w:highlight w:val="none"/>
                <w:u w:val="single"/>
              </w:rPr>
              <w:t>境外特殊参与者、</w:t>
            </w:r>
            <w:r>
              <w:rPr>
                <w:rFonts w:hint="eastAsia" w:ascii="仿宋" w:hAnsi="仿宋" w:eastAsia="仿宋"/>
                <w:sz w:val="24"/>
                <w:highlight w:val="none"/>
              </w:rPr>
              <w:t>客户，制定交易限额，具体标准由交易所另行公布。</w:t>
            </w:r>
          </w:p>
          <w:p>
            <w:pPr>
              <w:ind w:firstLine="480"/>
              <w:rPr>
                <w:rFonts w:ascii="仿宋" w:hAnsi="仿宋" w:eastAsia="仿宋" w:cs="Times New Roman"/>
                <w:sz w:val="24"/>
                <w:szCs w:val="24"/>
                <w:highlight w:val="none"/>
              </w:rPr>
            </w:pPr>
            <w:r>
              <w:rPr>
                <w:rFonts w:hint="eastAsia" w:ascii="仿宋" w:hAnsi="仿宋" w:eastAsia="仿宋"/>
                <w:sz w:val="24"/>
                <w:highlight w:val="none"/>
              </w:rPr>
              <w:t>套期保值交易和做市交易的开仓数量不受本条前款限制。</w:t>
            </w:r>
          </w:p>
        </w:tc>
      </w:tr>
      <w:tr>
        <w:tblPrEx>
          <w:tblCellMar>
            <w:top w:w="0" w:type="dxa"/>
            <w:left w:w="108" w:type="dxa"/>
            <w:bottom w:w="0" w:type="dxa"/>
            <w:right w:w="108" w:type="dxa"/>
          </w:tblCellMar>
        </w:tblPrEx>
        <w:trPr>
          <w:trHeight w:val="90" w:hRule="atLeast"/>
        </w:trPr>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w:t>
            </w:r>
            <w:r>
              <w:rPr>
                <w:rFonts w:hint="eastAsia" w:ascii="仿宋" w:hAnsi="仿宋" w:eastAsia="仿宋"/>
                <w:b/>
                <w:sz w:val="24"/>
                <w:highlight w:val="none"/>
                <w:lang w:val="en-US" w:eastAsia="zh-CN"/>
              </w:rPr>
              <w:t>二十九</w:t>
            </w:r>
            <w:r>
              <w:rPr>
                <w:rFonts w:hint="eastAsia" w:ascii="仿宋" w:hAnsi="仿宋" w:eastAsia="仿宋"/>
                <w:b/>
                <w:sz w:val="24"/>
                <w:highlight w:val="none"/>
              </w:rPr>
              <w:t>条</w:t>
            </w:r>
            <w:r>
              <w:rPr>
                <w:rFonts w:hint="eastAsia" w:ascii="仿宋" w:hAnsi="仿宋" w:eastAsia="仿宋"/>
                <w:sz w:val="24"/>
                <w:highlight w:val="none"/>
              </w:rPr>
              <w:t xml:space="preserve"> 同一客户在不同期货公司会员处开有多个交易编码，各交易编码上所有开仓交易数量的合计数，不得超过一个客户的交易限额。</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w:t>
            </w:r>
            <w:r>
              <w:rPr>
                <w:rFonts w:hint="eastAsia" w:ascii="仿宋" w:hAnsi="仿宋" w:eastAsia="仿宋"/>
                <w:b/>
                <w:sz w:val="24"/>
                <w:highlight w:val="none"/>
                <w:lang w:val="en-US" w:eastAsia="zh-CN"/>
              </w:rPr>
              <w:t>二十九</w:t>
            </w:r>
            <w:r>
              <w:rPr>
                <w:rFonts w:hint="eastAsia" w:ascii="仿宋" w:hAnsi="仿宋" w:eastAsia="仿宋"/>
                <w:b/>
                <w:sz w:val="24"/>
                <w:highlight w:val="none"/>
              </w:rPr>
              <w:t xml:space="preserve">条 </w:t>
            </w:r>
            <w:r>
              <w:rPr>
                <w:rFonts w:hint="eastAsia" w:ascii="仿宋" w:hAnsi="仿宋" w:eastAsia="仿宋"/>
                <w:sz w:val="24"/>
                <w:highlight w:val="none"/>
              </w:rPr>
              <w:t>同一客户在不同期货公司会员</w:t>
            </w:r>
            <w:r>
              <w:rPr>
                <w:rFonts w:hint="eastAsia" w:ascii="仿宋" w:hAnsi="仿宋" w:eastAsia="仿宋"/>
                <w:b/>
                <w:sz w:val="24"/>
                <w:highlight w:val="none"/>
                <w:u w:val="single"/>
              </w:rPr>
              <w:t>、境外特殊经纪参与者、境外中介机构</w:t>
            </w:r>
            <w:r>
              <w:rPr>
                <w:rFonts w:hint="eastAsia" w:ascii="仿宋" w:hAnsi="仿宋" w:eastAsia="仿宋"/>
                <w:sz w:val="24"/>
                <w:highlight w:val="none"/>
              </w:rPr>
              <w:t>处开有多个交易编码，各交易编码上所有开仓交易数量的合计数，不得超过</w:t>
            </w:r>
            <w:r>
              <w:rPr>
                <w:rFonts w:hint="eastAsia" w:ascii="仿宋" w:hAnsi="仿宋" w:eastAsia="仿宋"/>
                <w:dstrike/>
                <w:sz w:val="24"/>
                <w:highlight w:val="none"/>
              </w:rPr>
              <w:t>一个客户</w:t>
            </w:r>
            <w:r>
              <w:rPr>
                <w:rFonts w:hint="eastAsia" w:ascii="仿宋" w:hAnsi="仿宋" w:eastAsia="仿宋"/>
                <w:b/>
                <w:sz w:val="24"/>
                <w:highlight w:val="none"/>
                <w:u w:val="single"/>
              </w:rPr>
              <w:t>交易所</w:t>
            </w:r>
            <w:r>
              <w:rPr>
                <w:rFonts w:hint="eastAsia" w:ascii="仿宋" w:hAnsi="仿宋" w:eastAsia="仿宋"/>
                <w:b/>
                <w:sz w:val="24"/>
                <w:highlight w:val="none"/>
                <w:u w:val="single"/>
                <w:lang w:eastAsia="zh-CN"/>
              </w:rPr>
              <w:t>关于客户</w:t>
            </w:r>
            <w:r>
              <w:rPr>
                <w:rFonts w:hint="eastAsia" w:ascii="仿宋" w:hAnsi="仿宋" w:eastAsia="仿宋"/>
                <w:strike w:val="0"/>
                <w:dstrike/>
                <w:sz w:val="24"/>
                <w:highlight w:val="none"/>
              </w:rPr>
              <w:t>的</w:t>
            </w:r>
            <w:r>
              <w:rPr>
                <w:rFonts w:hint="eastAsia" w:ascii="仿宋" w:hAnsi="仿宋" w:eastAsia="仿宋"/>
                <w:sz w:val="24"/>
                <w:highlight w:val="none"/>
              </w:rPr>
              <w:t>交易限额</w:t>
            </w:r>
            <w:r>
              <w:rPr>
                <w:rFonts w:hint="eastAsia" w:ascii="仿宋" w:hAnsi="仿宋" w:eastAsia="仿宋"/>
                <w:b/>
                <w:bCs/>
                <w:sz w:val="24"/>
                <w:highlight w:val="none"/>
                <w:u w:val="single"/>
                <w:lang w:eastAsia="zh-CN"/>
              </w:rPr>
              <w:t>的规定</w:t>
            </w:r>
            <w:r>
              <w:rPr>
                <w:rFonts w:hint="eastAsia" w:ascii="仿宋" w:hAnsi="仿宋" w:eastAsia="仿宋"/>
                <w:sz w:val="24"/>
                <w:highlight w:val="none"/>
              </w:rPr>
              <w:t>。</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第三十条</w:t>
            </w:r>
            <w:r>
              <w:rPr>
                <w:rFonts w:hint="eastAsia" w:ascii="仿宋" w:hAnsi="仿宋" w:eastAsia="仿宋"/>
                <w:sz w:val="24"/>
                <w:highlight w:val="none"/>
              </w:rPr>
              <w:t xml:space="preserve"> 非期货公司会员或者客户的开仓数量不得超过交易所规定的交易限额。对超过交易限额的非期货公司会员或者客户，交易所可以采取电话提示、要求报告情况、要求提交书面承诺、列入重点监管名单、暂停开仓交易等措施。</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或者客户的开仓数量不得超过交易所规定的交易限额。对超过交易限额的非期货公司会员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或者客户，交易所可以采取电话提示、要求报告情况、要求提交书面承诺、列入重点监管名单、暂停开仓交易等措施。</w:t>
            </w:r>
          </w:p>
        </w:tc>
      </w:tr>
      <w:tr>
        <w:tblPrEx>
          <w:tblCellMar>
            <w:top w:w="0" w:type="dxa"/>
            <w:left w:w="108" w:type="dxa"/>
            <w:bottom w:w="0" w:type="dxa"/>
            <w:right w:w="108" w:type="dxa"/>
          </w:tblCellMar>
        </w:tblPrEx>
        <w:trPr>
          <w:trHeight w:val="39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13"/>
              </w:numPr>
              <w:ind w:firstLineChars="0"/>
              <w:jc w:val="center"/>
              <w:rPr>
                <w:rFonts w:ascii="仿宋" w:hAnsi="仿宋" w:eastAsia="仿宋"/>
                <w:b/>
                <w:sz w:val="24"/>
                <w:szCs w:val="24"/>
                <w:highlight w:val="none"/>
              </w:rPr>
            </w:pPr>
            <w:r>
              <w:rPr>
                <w:rFonts w:hint="eastAsia" w:ascii="仿宋" w:hAnsi="仿宋" w:eastAsia="仿宋"/>
                <w:b/>
                <w:sz w:val="24"/>
                <w:szCs w:val="24"/>
                <w:highlight w:val="none"/>
              </w:rPr>
              <w:t>大户报告制度</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期货交易实行大户报告制度。</w:t>
            </w:r>
          </w:p>
          <w:p>
            <w:pPr>
              <w:ind w:firstLine="480"/>
              <w:rPr>
                <w:rFonts w:hint="eastAsia" w:ascii="仿宋" w:hAnsi="仿宋" w:eastAsia="仿宋"/>
                <w:sz w:val="24"/>
                <w:highlight w:val="none"/>
              </w:rPr>
            </w:pPr>
            <w:r>
              <w:rPr>
                <w:rFonts w:hint="eastAsia" w:ascii="仿宋" w:hAnsi="仿宋" w:eastAsia="仿宋"/>
                <w:sz w:val="24"/>
                <w:highlight w:val="none"/>
              </w:rPr>
              <w:t>非期货公司会员或者客户持有某期货合约数量达到交易所对其规定的持仓限量80%以上（含本数）或者交易所要求报告的，应当向交易所报告其资金、持仓等情况。根据市场风险状况，交易所可调整持仓报告水平。客户应当通过期货公司会员报告；委托境外经纪机构从事期货交易的客户，应当委托其境外经纪机构报告，境外经纪机构再委托期货公司会员报告。</w:t>
            </w:r>
          </w:p>
          <w:p>
            <w:pPr>
              <w:ind w:firstLine="480"/>
              <w:rPr>
                <w:rFonts w:ascii="仿宋" w:hAnsi="仿宋" w:eastAsia="仿宋" w:cs="Times New Roman"/>
                <w:sz w:val="24"/>
                <w:szCs w:val="24"/>
                <w:highlight w:val="none"/>
              </w:rPr>
            </w:pPr>
            <w:r>
              <w:rPr>
                <w:rFonts w:hint="eastAsia" w:ascii="仿宋" w:hAnsi="仿宋" w:eastAsia="仿宋"/>
                <w:sz w:val="24"/>
                <w:highlight w:val="none"/>
              </w:rPr>
              <w:t>非期货公司会员、客户应当保证所提供的大户持仓报告和其他材料的真实性、准确性和完整性。</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期货交易实行大户报告制度。</w:t>
            </w:r>
          </w:p>
          <w:p>
            <w:pPr>
              <w:ind w:firstLine="480"/>
              <w:rPr>
                <w:rFonts w:hint="eastAsia" w:ascii="仿宋" w:hAnsi="仿宋" w:eastAsia="仿宋"/>
                <w:sz w:val="24"/>
                <w:highlight w:val="none"/>
              </w:rPr>
            </w:pPr>
            <w:r>
              <w:rPr>
                <w:rFonts w:hint="eastAsia" w:ascii="仿宋" w:hAnsi="仿宋" w:eastAsia="仿宋"/>
                <w:sz w:val="24"/>
                <w:highlight w:val="none"/>
              </w:rPr>
              <w:t>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或者客户持有某期货合约数量达到交易所对其规定的持仓限量80%以上（含本数）或者交易所要求报告的，应当向交易所报告其资金、持仓等情况。根据市场风险状况，交易所可调整持仓报告水平。</w:t>
            </w:r>
            <w:r>
              <w:rPr>
                <w:rFonts w:hint="eastAsia" w:ascii="仿宋" w:hAnsi="仿宋" w:eastAsia="仿宋"/>
                <w:b/>
                <w:sz w:val="24"/>
                <w:highlight w:val="none"/>
                <w:u w:val="single"/>
              </w:rPr>
              <w:t>委托期货公司会员从事期货交易的</w:t>
            </w:r>
            <w:r>
              <w:rPr>
                <w:rFonts w:hint="eastAsia" w:ascii="仿宋" w:hAnsi="仿宋" w:eastAsia="仿宋"/>
                <w:sz w:val="24"/>
                <w:highlight w:val="none"/>
              </w:rPr>
              <w:t>客户应当通过期货公司会员报告；</w:t>
            </w:r>
            <w:r>
              <w:rPr>
                <w:rFonts w:hint="eastAsia" w:ascii="仿宋" w:hAnsi="仿宋" w:eastAsia="仿宋"/>
                <w:b/>
                <w:sz w:val="24"/>
                <w:highlight w:val="none"/>
                <w:u w:val="single"/>
              </w:rPr>
              <w:t>委托境外特殊经纪参与者从事期货交易的客户，应当通过境外特殊经纪参与者报告；</w:t>
            </w:r>
            <w:r>
              <w:rPr>
                <w:rFonts w:hint="eastAsia" w:ascii="仿宋" w:hAnsi="仿宋" w:eastAsia="仿宋"/>
                <w:sz w:val="24"/>
                <w:highlight w:val="none"/>
              </w:rPr>
              <w:t>委托境外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机构从事期货交易的客户，应当委托其境外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机构报告，境外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机构再委托期货公司会员</w:t>
            </w:r>
            <w:r>
              <w:rPr>
                <w:rFonts w:hint="eastAsia" w:ascii="仿宋" w:hAnsi="仿宋" w:eastAsia="仿宋"/>
                <w:b/>
                <w:sz w:val="24"/>
                <w:highlight w:val="none"/>
                <w:u w:val="single"/>
              </w:rPr>
              <w:t>或者境外特殊经纪参与者</w:t>
            </w:r>
            <w:r>
              <w:rPr>
                <w:rFonts w:hint="eastAsia" w:ascii="仿宋" w:hAnsi="仿宋" w:eastAsia="仿宋"/>
                <w:sz w:val="24"/>
                <w:highlight w:val="none"/>
              </w:rPr>
              <w:t>报告</w:t>
            </w:r>
            <w:r>
              <w:rPr>
                <w:rFonts w:hint="eastAsia" w:ascii="仿宋" w:hAnsi="仿宋" w:eastAsia="仿宋"/>
                <w:b/>
                <w:sz w:val="24"/>
                <w:highlight w:val="none"/>
                <w:u w:val="single"/>
              </w:rPr>
              <w:t>；非期货公司会员及境外特殊非经纪参与者向交易所报告</w:t>
            </w:r>
            <w:r>
              <w:rPr>
                <w:rFonts w:hint="eastAsia" w:ascii="仿宋" w:hAnsi="仿宋" w:eastAsia="仿宋" w:cs="仿宋"/>
                <w:kern w:val="0"/>
                <w:sz w:val="24"/>
                <w:highlight w:val="none"/>
              </w:rPr>
              <w:t>。</w:t>
            </w:r>
          </w:p>
          <w:p>
            <w:pPr>
              <w:ind w:firstLine="480"/>
              <w:rPr>
                <w:rFonts w:ascii="仿宋" w:hAnsi="仿宋" w:eastAsia="仿宋" w:cs="Times New Roman"/>
                <w:sz w:val="24"/>
                <w:szCs w:val="24"/>
                <w:highlight w:val="none"/>
              </w:rPr>
            </w:pPr>
            <w:r>
              <w:rPr>
                <w:rFonts w:hint="eastAsia" w:ascii="仿宋" w:hAnsi="仿宋" w:eastAsia="仿宋"/>
                <w:sz w:val="24"/>
                <w:highlight w:val="none"/>
              </w:rPr>
              <w:t>非期货公司会员、</w:t>
            </w:r>
            <w:r>
              <w:rPr>
                <w:rFonts w:hint="eastAsia" w:ascii="仿宋" w:hAnsi="仿宋" w:eastAsia="仿宋"/>
                <w:b/>
                <w:sz w:val="24"/>
                <w:highlight w:val="none"/>
                <w:u w:val="single"/>
              </w:rPr>
              <w:t>境外特殊非经纪参与者和</w:t>
            </w:r>
            <w:r>
              <w:rPr>
                <w:rFonts w:hint="eastAsia" w:ascii="仿宋" w:hAnsi="仿宋" w:eastAsia="仿宋"/>
                <w:sz w:val="24"/>
                <w:highlight w:val="none"/>
              </w:rPr>
              <w:t>客户应当保证所提供的大户持仓报告和其他材料的真实性、准确性和完整性。</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二</w:t>
            </w:r>
            <w:r>
              <w:rPr>
                <w:rFonts w:hint="eastAsia" w:ascii="仿宋" w:hAnsi="仿宋" w:eastAsia="仿宋"/>
                <w:b/>
                <w:sz w:val="24"/>
                <w:highlight w:val="none"/>
              </w:rPr>
              <w:t xml:space="preserve">条 </w:t>
            </w:r>
            <w:r>
              <w:rPr>
                <w:rFonts w:hint="eastAsia" w:ascii="仿宋" w:hAnsi="仿宋" w:eastAsia="仿宋"/>
                <w:sz w:val="24"/>
                <w:highlight w:val="none"/>
              </w:rPr>
              <w:t>交易过程中，非期货公司会员或者客户符合大户报告条件的，应当主动于下一交易日向交易所报告。非期货公司会员或者客户履行首次报告义务后，需再次报告或者补充报告的，交易所通知有关会员。</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二</w:t>
            </w:r>
            <w:r>
              <w:rPr>
                <w:rFonts w:hint="eastAsia" w:ascii="仿宋" w:hAnsi="仿宋" w:eastAsia="仿宋"/>
                <w:b/>
                <w:sz w:val="24"/>
                <w:highlight w:val="none"/>
              </w:rPr>
              <w:t>条</w:t>
            </w:r>
            <w:r>
              <w:rPr>
                <w:rFonts w:hint="eastAsia" w:ascii="仿宋" w:hAnsi="仿宋" w:eastAsia="仿宋"/>
                <w:sz w:val="24"/>
                <w:highlight w:val="none"/>
              </w:rPr>
              <w:t xml:space="preserve"> 交易过程中，非期货公司会员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或者客户符合大户报告条件的，应当主动于下一交易日向交易所报告。非期货公司会员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或者客户履行首次报告义务后，需再次报告或者补充报告的，交易所通知有关会员。</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符合大户报告条件的非期货公司会员或客户应当向交易所提供下列材料：</w:t>
            </w:r>
          </w:p>
          <w:p>
            <w:pPr>
              <w:ind w:firstLine="480"/>
              <w:rPr>
                <w:rFonts w:ascii="仿宋" w:hAnsi="仿宋" w:eastAsia="仿宋" w:cs="Times New Roman"/>
                <w:sz w:val="24"/>
                <w:szCs w:val="24"/>
                <w:highlight w:val="none"/>
              </w:rPr>
            </w:pPr>
            <w:r>
              <w:rPr>
                <w:rFonts w:hint="eastAsia" w:ascii="仿宋" w:hAnsi="仿宋" w:eastAsia="仿宋"/>
                <w:sz w:val="24"/>
                <w:highlight w:val="none"/>
              </w:rPr>
              <w:t>……</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三</w:t>
            </w:r>
            <w:r>
              <w:rPr>
                <w:rFonts w:hint="eastAsia" w:ascii="仿宋" w:hAnsi="仿宋" w:eastAsia="仿宋"/>
                <w:b/>
                <w:sz w:val="24"/>
                <w:highlight w:val="none"/>
              </w:rPr>
              <w:t xml:space="preserve">条 </w:t>
            </w:r>
            <w:r>
              <w:rPr>
                <w:rFonts w:hint="eastAsia" w:ascii="仿宋" w:hAnsi="仿宋" w:eastAsia="仿宋"/>
                <w:sz w:val="24"/>
                <w:highlight w:val="none"/>
              </w:rPr>
              <w:t>符合大户报告条件的非期货公司会员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或客户应当向交易所提供下列材料：</w:t>
            </w:r>
          </w:p>
          <w:p>
            <w:pPr>
              <w:ind w:firstLine="480"/>
              <w:rPr>
                <w:rFonts w:ascii="仿宋" w:hAnsi="仿宋" w:eastAsia="仿宋" w:cs="Times New Roman"/>
                <w:sz w:val="24"/>
                <w:szCs w:val="24"/>
                <w:highlight w:val="none"/>
              </w:rPr>
            </w:pPr>
            <w:r>
              <w:rPr>
                <w:rFonts w:hint="eastAsia" w:ascii="仿宋" w:hAnsi="仿宋" w:eastAsia="仿宋"/>
                <w:sz w:val="24"/>
                <w:highlight w:val="none"/>
              </w:rPr>
              <w:t>……</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四</w:t>
            </w:r>
            <w:r>
              <w:rPr>
                <w:rFonts w:hint="eastAsia" w:ascii="仿宋" w:hAnsi="仿宋" w:eastAsia="仿宋"/>
                <w:b/>
                <w:sz w:val="24"/>
                <w:highlight w:val="none"/>
              </w:rPr>
              <w:t>条</w:t>
            </w:r>
            <w:r>
              <w:rPr>
                <w:rFonts w:hint="eastAsia" w:ascii="仿宋" w:hAnsi="仿宋" w:eastAsia="仿宋"/>
                <w:sz w:val="24"/>
                <w:highlight w:val="none"/>
              </w:rPr>
              <w:t xml:space="preserve"> 期货公司会员、境外经纪机构应当对客户所提供的有关材料进行初审并保证报告材料的真实性和准确性。</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四</w:t>
            </w:r>
            <w:r>
              <w:rPr>
                <w:rFonts w:hint="eastAsia" w:ascii="仿宋" w:hAnsi="仿宋" w:eastAsia="仿宋"/>
                <w:b/>
                <w:sz w:val="24"/>
                <w:highlight w:val="none"/>
              </w:rPr>
              <w:t>条</w:t>
            </w:r>
            <w:r>
              <w:rPr>
                <w:rFonts w:hint="eastAsia" w:ascii="仿宋" w:hAnsi="仿宋" w:eastAsia="仿宋"/>
                <w:sz w:val="24"/>
                <w:highlight w:val="none"/>
              </w:rPr>
              <w:t xml:space="preserve"> </w:t>
            </w:r>
            <w:r>
              <w:rPr>
                <w:rFonts w:hint="eastAsia" w:ascii="仿宋" w:hAnsi="仿宋" w:eastAsia="仿宋"/>
                <w:b/>
                <w:sz w:val="24"/>
                <w:highlight w:val="none"/>
                <w:u w:val="single"/>
              </w:rPr>
              <w:t>期货公司会员、境外特殊经纪参与者应</w:t>
            </w:r>
            <w:r>
              <w:rPr>
                <w:rFonts w:hint="eastAsia" w:ascii="仿宋" w:hAnsi="仿宋" w:eastAsia="仿宋"/>
                <w:b/>
                <w:sz w:val="24"/>
                <w:highlight w:val="none"/>
                <w:u w:val="single"/>
                <w:lang w:eastAsia="zh-CN"/>
              </w:rPr>
              <w:t>当</w:t>
            </w:r>
            <w:r>
              <w:rPr>
                <w:rFonts w:hint="eastAsia" w:ascii="仿宋" w:hAnsi="仿宋" w:eastAsia="仿宋"/>
                <w:b/>
                <w:sz w:val="24"/>
                <w:highlight w:val="none"/>
                <w:u w:val="single"/>
              </w:rPr>
              <w:t>对符合大户报告条件的客户所提供的有关材料进行初审，然后报告交易所。境外中介机构应对符合大户报告条件的客户所提供的有关材料进行初审，然后由期货公司会员或境外特殊经纪参与者转交交易所。</w:t>
            </w:r>
            <w:r>
              <w:rPr>
                <w:rFonts w:hint="eastAsia" w:ascii="仿宋" w:hAnsi="仿宋" w:eastAsia="仿宋"/>
                <w:sz w:val="24"/>
                <w:highlight w:val="none"/>
              </w:rPr>
              <w:t>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w:t>
            </w:r>
            <w:r>
              <w:rPr>
                <w:rFonts w:hint="eastAsia" w:ascii="仿宋" w:hAnsi="仿宋" w:eastAsia="仿宋"/>
                <w:strike w:val="0"/>
                <w:dstrike w:val="0"/>
                <w:sz w:val="24"/>
                <w:highlight w:val="none"/>
              </w:rPr>
              <w:t>当</w:t>
            </w:r>
            <w:r>
              <w:rPr>
                <w:rFonts w:hint="eastAsia" w:ascii="仿宋" w:hAnsi="仿宋" w:eastAsia="仿宋"/>
                <w:dstrike/>
                <w:sz w:val="24"/>
                <w:highlight w:val="none"/>
              </w:rPr>
              <w:t>对客户所提供的有关材料进行初审并</w:t>
            </w:r>
            <w:r>
              <w:rPr>
                <w:rFonts w:hint="eastAsia" w:ascii="仿宋" w:hAnsi="仿宋" w:eastAsia="仿宋"/>
                <w:sz w:val="24"/>
                <w:highlight w:val="none"/>
              </w:rPr>
              <w:t>保证报告材料的真实性和准确性。</w:t>
            </w:r>
          </w:p>
        </w:tc>
      </w:tr>
      <w:tr>
        <w:tblPrEx>
          <w:tblCellMar>
            <w:top w:w="0" w:type="dxa"/>
            <w:left w:w="108" w:type="dxa"/>
            <w:bottom w:w="0" w:type="dxa"/>
            <w:right w:w="108" w:type="dxa"/>
          </w:tblCellMar>
        </w:tblPrEx>
        <w:trPr>
          <w:trHeight w:val="39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13"/>
              </w:numPr>
              <w:ind w:firstLineChars="0"/>
              <w:jc w:val="center"/>
              <w:rPr>
                <w:rFonts w:ascii="仿宋" w:hAnsi="仿宋" w:eastAsia="仿宋"/>
                <w:b/>
                <w:sz w:val="24"/>
                <w:szCs w:val="24"/>
                <w:highlight w:val="none"/>
              </w:rPr>
            </w:pPr>
            <w:r>
              <w:rPr>
                <w:rFonts w:hint="eastAsia" w:ascii="仿宋" w:hAnsi="仿宋" w:eastAsia="仿宋"/>
                <w:b/>
                <w:sz w:val="24"/>
                <w:szCs w:val="24"/>
                <w:highlight w:val="none"/>
              </w:rPr>
              <w:t>强行平仓制度</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五</w:t>
            </w:r>
            <w:r>
              <w:rPr>
                <w:rFonts w:hint="eastAsia" w:ascii="仿宋" w:hAnsi="仿宋" w:eastAsia="仿宋"/>
                <w:b/>
                <w:sz w:val="24"/>
                <w:highlight w:val="none"/>
              </w:rPr>
              <w:t>条</w:t>
            </w:r>
            <w:r>
              <w:rPr>
                <w:rFonts w:hint="eastAsia" w:ascii="仿宋" w:hAnsi="仿宋" w:eastAsia="仿宋"/>
                <w:sz w:val="24"/>
                <w:highlight w:val="none"/>
              </w:rPr>
              <w:t xml:space="preserve"> 期货交易实行强行平仓制度。</w:t>
            </w:r>
          </w:p>
          <w:p>
            <w:pPr>
              <w:ind w:firstLine="480"/>
              <w:rPr>
                <w:rFonts w:ascii="仿宋" w:hAnsi="仿宋" w:eastAsia="仿宋" w:cs="Times New Roman"/>
                <w:sz w:val="24"/>
                <w:szCs w:val="24"/>
                <w:highlight w:val="none"/>
              </w:rPr>
            </w:pPr>
            <w:r>
              <w:rPr>
                <w:rFonts w:hint="eastAsia" w:ascii="仿宋" w:hAnsi="仿宋" w:eastAsia="仿宋"/>
                <w:sz w:val="24"/>
                <w:highlight w:val="none"/>
              </w:rPr>
              <w:t>强行平仓是指当会员、客户违反交易所相关业务规定时，交易所对其违规持有的相关期货合约持仓予以平仓的强制措施。</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五</w:t>
            </w:r>
            <w:r>
              <w:rPr>
                <w:rFonts w:hint="eastAsia" w:ascii="仿宋" w:hAnsi="仿宋" w:eastAsia="仿宋"/>
                <w:b/>
                <w:sz w:val="24"/>
                <w:highlight w:val="none"/>
              </w:rPr>
              <w:t xml:space="preserve">条 </w:t>
            </w:r>
            <w:r>
              <w:rPr>
                <w:rFonts w:hint="eastAsia" w:ascii="仿宋" w:hAnsi="仿宋" w:eastAsia="仿宋"/>
                <w:sz w:val="24"/>
                <w:highlight w:val="none"/>
              </w:rPr>
              <w:t>期货交易实行强行平仓制度。</w:t>
            </w:r>
          </w:p>
          <w:p>
            <w:pPr>
              <w:ind w:firstLine="480"/>
              <w:rPr>
                <w:rFonts w:ascii="仿宋" w:hAnsi="仿宋" w:eastAsia="仿宋" w:cs="Times New Roman"/>
                <w:sz w:val="24"/>
                <w:szCs w:val="24"/>
                <w:highlight w:val="none"/>
              </w:rPr>
            </w:pPr>
            <w:r>
              <w:rPr>
                <w:rFonts w:hint="eastAsia" w:ascii="仿宋" w:hAnsi="仿宋" w:eastAsia="仿宋"/>
                <w:sz w:val="24"/>
                <w:highlight w:val="none"/>
              </w:rPr>
              <w:t>强行平仓是指当会员、</w:t>
            </w:r>
            <w:r>
              <w:rPr>
                <w:rFonts w:hint="eastAsia" w:ascii="仿宋" w:hAnsi="仿宋" w:eastAsia="仿宋"/>
                <w:b/>
                <w:sz w:val="24"/>
                <w:highlight w:val="none"/>
                <w:u w:val="single"/>
              </w:rPr>
              <w:t>境外特殊参与者、</w:t>
            </w:r>
            <w:r>
              <w:rPr>
                <w:rFonts w:hint="eastAsia" w:ascii="仿宋" w:hAnsi="仿宋" w:eastAsia="仿宋"/>
                <w:sz w:val="24"/>
                <w:highlight w:val="none"/>
              </w:rPr>
              <w:t>客户违反交易所相关业务规定时，交易所对其违规持有的相关期货合约持仓予以平仓的强制措施。</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六</w:t>
            </w:r>
            <w:r>
              <w:rPr>
                <w:rFonts w:hint="eastAsia" w:ascii="仿宋" w:hAnsi="仿宋" w:eastAsia="仿宋"/>
                <w:b/>
                <w:sz w:val="24"/>
                <w:highlight w:val="none"/>
              </w:rPr>
              <w:t xml:space="preserve">条 </w:t>
            </w:r>
            <w:r>
              <w:rPr>
                <w:rFonts w:hint="eastAsia" w:ascii="仿宋" w:hAnsi="仿宋" w:eastAsia="仿宋"/>
                <w:sz w:val="24"/>
                <w:highlight w:val="none"/>
              </w:rPr>
              <w:t>会员或者客户有下列情形之一的，交易所有权进行强行平仓：</w:t>
            </w:r>
          </w:p>
          <w:p>
            <w:pPr>
              <w:ind w:firstLine="480"/>
              <w:rPr>
                <w:rFonts w:hint="eastAsia" w:ascii="仿宋" w:hAnsi="仿宋" w:eastAsia="仿宋"/>
                <w:sz w:val="24"/>
                <w:highlight w:val="none"/>
              </w:rPr>
            </w:pPr>
            <w:r>
              <w:rPr>
                <w:rFonts w:hint="eastAsia" w:ascii="仿宋" w:hAnsi="仿宋" w:eastAsia="仿宋"/>
                <w:sz w:val="24"/>
                <w:highlight w:val="none"/>
              </w:rPr>
              <w:t>（一）结算准备金余额小于零并未能在规定时间内补足的；</w:t>
            </w:r>
          </w:p>
          <w:p>
            <w:pPr>
              <w:ind w:firstLine="480"/>
              <w:rPr>
                <w:rFonts w:hint="eastAsia" w:ascii="仿宋" w:hAnsi="仿宋" w:eastAsia="仿宋"/>
                <w:sz w:val="24"/>
                <w:highlight w:val="none"/>
              </w:rPr>
            </w:pPr>
            <w:r>
              <w:rPr>
                <w:rFonts w:hint="eastAsia" w:ascii="仿宋" w:hAnsi="仿宋" w:eastAsia="仿宋"/>
                <w:sz w:val="24"/>
                <w:highlight w:val="none"/>
              </w:rPr>
              <w:t>（二）持仓量超出其限仓规定的；</w:t>
            </w:r>
          </w:p>
          <w:p>
            <w:pPr>
              <w:ind w:firstLine="480"/>
              <w:rPr>
                <w:rFonts w:hint="eastAsia" w:ascii="仿宋" w:hAnsi="仿宋" w:eastAsia="仿宋"/>
                <w:sz w:val="24"/>
                <w:highlight w:val="none"/>
              </w:rPr>
            </w:pPr>
            <w:r>
              <w:rPr>
                <w:rFonts w:hint="eastAsia" w:ascii="仿宋" w:hAnsi="仿宋" w:eastAsia="仿宋"/>
                <w:sz w:val="24"/>
                <w:highlight w:val="none"/>
              </w:rPr>
              <w:t>（三）进入交割月份的自然人持仓；</w:t>
            </w:r>
          </w:p>
          <w:p>
            <w:pPr>
              <w:ind w:firstLine="480"/>
              <w:rPr>
                <w:rFonts w:hint="eastAsia" w:ascii="仿宋" w:hAnsi="仿宋" w:eastAsia="仿宋"/>
                <w:sz w:val="24"/>
                <w:highlight w:val="none"/>
              </w:rPr>
            </w:pPr>
            <w:r>
              <w:rPr>
                <w:rFonts w:hint="eastAsia" w:ascii="仿宋" w:hAnsi="仿宋" w:eastAsia="仿宋"/>
                <w:sz w:val="24"/>
                <w:highlight w:val="none"/>
              </w:rPr>
              <w:t>（四）因违规受到交易所强行平仓处罚的；</w:t>
            </w:r>
          </w:p>
          <w:p>
            <w:pPr>
              <w:ind w:firstLine="480"/>
              <w:rPr>
                <w:rFonts w:hint="eastAsia" w:ascii="仿宋" w:hAnsi="仿宋" w:eastAsia="仿宋"/>
                <w:sz w:val="24"/>
                <w:highlight w:val="none"/>
              </w:rPr>
            </w:pPr>
            <w:r>
              <w:rPr>
                <w:rFonts w:hint="eastAsia" w:ascii="仿宋" w:hAnsi="仿宋" w:eastAsia="仿宋"/>
                <w:sz w:val="24"/>
                <w:highlight w:val="none"/>
              </w:rPr>
              <w:t>（五）根据交易所的紧急措施应予强行平仓的；</w:t>
            </w:r>
          </w:p>
          <w:p>
            <w:pPr>
              <w:ind w:firstLine="480"/>
              <w:rPr>
                <w:rFonts w:ascii="仿宋" w:hAnsi="仿宋" w:eastAsia="仿宋" w:cs="Times New Roman"/>
                <w:sz w:val="24"/>
                <w:szCs w:val="24"/>
                <w:highlight w:val="none"/>
              </w:rPr>
            </w:pPr>
            <w:r>
              <w:rPr>
                <w:rFonts w:hint="eastAsia" w:ascii="仿宋" w:hAnsi="仿宋" w:eastAsia="仿宋"/>
                <w:sz w:val="24"/>
                <w:highlight w:val="none"/>
              </w:rPr>
              <w:t>（六）其他应予强行平仓的。</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六</w:t>
            </w:r>
            <w:r>
              <w:rPr>
                <w:rFonts w:hint="eastAsia" w:ascii="仿宋" w:hAnsi="仿宋" w:eastAsia="仿宋"/>
                <w:b/>
                <w:sz w:val="24"/>
                <w:highlight w:val="none"/>
              </w:rPr>
              <w:t>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dstrike/>
                <w:sz w:val="24"/>
                <w:highlight w:val="none"/>
              </w:rPr>
              <w:t>或者</w:t>
            </w:r>
            <w:r>
              <w:rPr>
                <w:rFonts w:hint="eastAsia" w:ascii="仿宋" w:hAnsi="仿宋" w:eastAsia="仿宋"/>
                <w:b/>
                <w:sz w:val="24"/>
                <w:highlight w:val="none"/>
                <w:u w:val="single"/>
              </w:rPr>
              <w:t>、</w:t>
            </w:r>
            <w:r>
              <w:rPr>
                <w:rFonts w:hint="eastAsia" w:ascii="仿宋" w:hAnsi="仿宋" w:eastAsia="仿宋"/>
                <w:sz w:val="24"/>
                <w:highlight w:val="none"/>
              </w:rPr>
              <w:t>客户有下列情形之一的，交易所有权进行强行平仓：</w:t>
            </w:r>
          </w:p>
          <w:p>
            <w:pPr>
              <w:ind w:firstLine="480"/>
              <w:rPr>
                <w:rFonts w:hint="eastAsia" w:ascii="仿宋" w:hAnsi="仿宋" w:eastAsia="仿宋"/>
                <w:sz w:val="24"/>
                <w:highlight w:val="none"/>
              </w:rPr>
            </w:pPr>
            <w:r>
              <w:rPr>
                <w:rFonts w:hint="eastAsia" w:ascii="仿宋" w:hAnsi="仿宋" w:eastAsia="仿宋"/>
                <w:sz w:val="24"/>
                <w:highlight w:val="none"/>
              </w:rPr>
              <w:t>（一）</w:t>
            </w:r>
            <w:r>
              <w:rPr>
                <w:rFonts w:hint="eastAsia" w:ascii="仿宋" w:hAnsi="仿宋" w:eastAsia="仿宋"/>
                <w:b/>
                <w:sz w:val="24"/>
                <w:highlight w:val="none"/>
                <w:u w:val="single"/>
              </w:rPr>
              <w:t>会员或其受托结算的任一明细账户的</w:t>
            </w:r>
            <w:r>
              <w:rPr>
                <w:rFonts w:hint="eastAsia" w:ascii="仿宋" w:hAnsi="仿宋" w:eastAsia="仿宋"/>
                <w:sz w:val="24"/>
                <w:highlight w:val="none"/>
              </w:rPr>
              <w:t>结算准备金余额小于零并未能在规定时间内补足的；</w:t>
            </w:r>
          </w:p>
          <w:p>
            <w:pPr>
              <w:ind w:firstLine="480"/>
              <w:rPr>
                <w:rFonts w:hint="eastAsia" w:ascii="仿宋" w:hAnsi="仿宋" w:eastAsia="仿宋"/>
                <w:sz w:val="24"/>
                <w:highlight w:val="none"/>
              </w:rPr>
            </w:pPr>
            <w:r>
              <w:rPr>
                <w:rFonts w:hint="eastAsia" w:ascii="仿宋" w:hAnsi="仿宋" w:eastAsia="仿宋"/>
                <w:sz w:val="24"/>
                <w:highlight w:val="none"/>
              </w:rPr>
              <w:t>（二）</w:t>
            </w:r>
            <w:r>
              <w:rPr>
                <w:rFonts w:hint="eastAsia" w:ascii="仿宋" w:hAnsi="仿宋" w:eastAsia="仿宋"/>
                <w:b/>
                <w:sz w:val="24"/>
                <w:highlight w:val="none"/>
                <w:u w:val="single"/>
              </w:rPr>
              <w:t>非期货公司会员、境外特殊非经纪参与者和客户</w:t>
            </w:r>
            <w:r>
              <w:rPr>
                <w:rFonts w:hint="eastAsia" w:ascii="仿宋" w:hAnsi="仿宋" w:eastAsia="仿宋"/>
                <w:sz w:val="24"/>
                <w:highlight w:val="none"/>
              </w:rPr>
              <w:t>持仓量超出其限仓规定的；</w:t>
            </w:r>
          </w:p>
          <w:p>
            <w:pPr>
              <w:ind w:firstLine="480"/>
              <w:rPr>
                <w:rFonts w:hint="eastAsia" w:ascii="仿宋" w:hAnsi="仿宋" w:eastAsia="仿宋"/>
                <w:sz w:val="24"/>
                <w:highlight w:val="none"/>
              </w:rPr>
            </w:pPr>
            <w:r>
              <w:rPr>
                <w:rFonts w:hint="eastAsia" w:ascii="仿宋" w:hAnsi="仿宋" w:eastAsia="仿宋"/>
                <w:sz w:val="24"/>
                <w:highlight w:val="none"/>
              </w:rPr>
              <w:t>（三）进入交割月份的自然人持仓；</w:t>
            </w:r>
          </w:p>
          <w:p>
            <w:pPr>
              <w:ind w:firstLine="480"/>
              <w:rPr>
                <w:rFonts w:hint="eastAsia" w:ascii="仿宋" w:hAnsi="仿宋" w:eastAsia="仿宋"/>
                <w:sz w:val="24"/>
                <w:highlight w:val="none"/>
              </w:rPr>
            </w:pPr>
            <w:r>
              <w:rPr>
                <w:rFonts w:hint="eastAsia" w:ascii="仿宋" w:hAnsi="仿宋" w:eastAsia="仿宋"/>
                <w:sz w:val="24"/>
                <w:highlight w:val="none"/>
              </w:rPr>
              <w:t>（四）因违规受到交易所强行平仓处罚的；</w:t>
            </w:r>
          </w:p>
          <w:p>
            <w:pPr>
              <w:ind w:firstLine="480"/>
              <w:rPr>
                <w:rFonts w:hint="eastAsia" w:ascii="仿宋" w:hAnsi="仿宋" w:eastAsia="仿宋"/>
                <w:sz w:val="24"/>
                <w:highlight w:val="none"/>
              </w:rPr>
            </w:pPr>
            <w:r>
              <w:rPr>
                <w:rFonts w:hint="eastAsia" w:ascii="仿宋" w:hAnsi="仿宋" w:eastAsia="仿宋"/>
                <w:sz w:val="24"/>
                <w:highlight w:val="none"/>
              </w:rPr>
              <w:t>（五）根据交易所的紧急措施应予强行平仓的；</w:t>
            </w:r>
          </w:p>
          <w:p>
            <w:pPr>
              <w:ind w:firstLine="480"/>
              <w:rPr>
                <w:rFonts w:ascii="仿宋" w:hAnsi="仿宋" w:eastAsia="仿宋" w:cs="Times New Roman"/>
                <w:sz w:val="24"/>
                <w:szCs w:val="24"/>
                <w:highlight w:val="none"/>
              </w:rPr>
            </w:pPr>
            <w:r>
              <w:rPr>
                <w:rFonts w:hint="eastAsia" w:ascii="仿宋" w:hAnsi="仿宋" w:eastAsia="仿宋"/>
                <w:sz w:val="24"/>
                <w:highlight w:val="none"/>
              </w:rPr>
              <w:t>（六）其他应予强行平仓的。</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强行平仓的原则和程序：</w:t>
            </w:r>
          </w:p>
          <w:p>
            <w:pPr>
              <w:ind w:firstLine="480"/>
              <w:rPr>
                <w:rFonts w:hint="eastAsia" w:ascii="仿宋" w:hAnsi="仿宋" w:eastAsia="仿宋"/>
                <w:sz w:val="24"/>
                <w:highlight w:val="none"/>
              </w:rPr>
            </w:pPr>
            <w:r>
              <w:rPr>
                <w:rFonts w:hint="eastAsia" w:ascii="仿宋" w:hAnsi="仿宋" w:eastAsia="仿宋"/>
                <w:sz w:val="24"/>
                <w:highlight w:val="none"/>
              </w:rPr>
              <w:t>强行平仓先由会员自行实施，除交易所特别规定的时限外，会员未在10时15分之前平仓完毕的，交易所强制执行。</w:t>
            </w:r>
          </w:p>
          <w:p>
            <w:pPr>
              <w:ind w:firstLine="480"/>
              <w:rPr>
                <w:rFonts w:hint="eastAsia" w:ascii="仿宋" w:hAnsi="仿宋" w:eastAsia="仿宋"/>
                <w:sz w:val="24"/>
                <w:highlight w:val="none"/>
              </w:rPr>
            </w:pPr>
            <w:r>
              <w:rPr>
                <w:rFonts w:hint="eastAsia" w:ascii="仿宋" w:hAnsi="仿宋" w:eastAsia="仿宋"/>
                <w:sz w:val="24"/>
                <w:highlight w:val="none"/>
              </w:rPr>
              <w:t>由会员自行平仓的，属前条第（一）、（二）、（三）项情形的，由会员自行确定，平仓结果符合交易所规定即可；属前条第（四）、（五）、（六）项情形的，由交易所确定。</w:t>
            </w:r>
          </w:p>
          <w:p>
            <w:pPr>
              <w:ind w:firstLine="480"/>
              <w:rPr>
                <w:rFonts w:hint="eastAsia" w:ascii="仿宋" w:hAnsi="仿宋" w:eastAsia="仿宋"/>
                <w:sz w:val="24"/>
                <w:highlight w:val="none"/>
              </w:rPr>
            </w:pPr>
            <w:r>
              <w:rPr>
                <w:rFonts w:hint="eastAsia" w:ascii="仿宋" w:hAnsi="仿宋" w:eastAsia="仿宋"/>
                <w:sz w:val="24"/>
                <w:highlight w:val="none"/>
              </w:rPr>
              <w:t>由交易所强行平仓的，按以下程序实施：</w:t>
            </w:r>
          </w:p>
          <w:p>
            <w:pPr>
              <w:ind w:firstLine="480"/>
              <w:rPr>
                <w:rFonts w:hint="eastAsia" w:ascii="仿宋" w:hAnsi="仿宋" w:eastAsia="仿宋"/>
                <w:sz w:val="24"/>
                <w:highlight w:val="none"/>
              </w:rPr>
            </w:pPr>
            <w:r>
              <w:rPr>
                <w:rFonts w:hint="eastAsia" w:ascii="仿宋" w:hAnsi="仿宋" w:eastAsia="仿宋"/>
                <w:sz w:val="24"/>
                <w:highlight w:val="none"/>
              </w:rPr>
              <w:t>（一）交易所按照会员提供的平仓名单进行强行平仓。</w:t>
            </w:r>
          </w:p>
          <w:p>
            <w:pPr>
              <w:ind w:firstLine="480"/>
              <w:rPr>
                <w:rFonts w:hint="eastAsia" w:ascii="仿宋" w:hAnsi="仿宋" w:eastAsia="仿宋"/>
                <w:sz w:val="24"/>
                <w:highlight w:val="none"/>
              </w:rPr>
            </w:pPr>
            <w:r>
              <w:rPr>
                <w:rFonts w:hint="eastAsia" w:ascii="仿宋" w:hAnsi="仿宋" w:eastAsia="仿宋"/>
                <w:sz w:val="24"/>
                <w:highlight w:val="none"/>
              </w:rPr>
              <w:t>（二）会员没有提供平仓名单，属前条第（一）项的，按照上一交易日闭市后期货合约总持仓量由大到小顺序，先选择持仓量大的期货合约作为强行平仓的期货合约，再按照该会员客户该期货合约的净持仓亏损由大到小确定。多个会员均需要强行平仓的，按追加保证金由大到小的顺序，先强平需要追加保证金大的会员。</w:t>
            </w:r>
          </w:p>
          <w:p>
            <w:pPr>
              <w:ind w:firstLine="480"/>
              <w:rPr>
                <w:rFonts w:hint="eastAsia" w:ascii="仿宋" w:hAnsi="仿宋" w:eastAsia="仿宋"/>
                <w:sz w:val="24"/>
                <w:highlight w:val="none"/>
              </w:rPr>
            </w:pPr>
            <w:r>
              <w:rPr>
                <w:rFonts w:hint="eastAsia" w:ascii="仿宋" w:hAnsi="仿宋" w:eastAsia="仿宋"/>
                <w:sz w:val="24"/>
                <w:highlight w:val="none"/>
              </w:rPr>
              <w:t>（三）属前条第（二）项的，按照超仓量由大到小的顺序，对非期货公司会员或客户进行强行平仓。</w:t>
            </w:r>
          </w:p>
          <w:p>
            <w:pPr>
              <w:ind w:firstLine="480"/>
              <w:rPr>
                <w:rFonts w:hint="eastAsia" w:ascii="仿宋" w:hAnsi="仿宋" w:eastAsia="仿宋"/>
                <w:sz w:val="24"/>
                <w:highlight w:val="none"/>
              </w:rPr>
            </w:pPr>
            <w:r>
              <w:rPr>
                <w:rFonts w:hint="eastAsia" w:ascii="仿宋" w:hAnsi="仿宋" w:eastAsia="仿宋"/>
                <w:sz w:val="24"/>
                <w:highlight w:val="none"/>
              </w:rPr>
              <w:t>（四）会员没有提供平仓名单，属前条第（三）项的，按照上一交易日闭市后自然人期货合约持仓由大到小顺序进行强行平仓。</w:t>
            </w:r>
          </w:p>
          <w:p>
            <w:pPr>
              <w:ind w:firstLine="480"/>
              <w:rPr>
                <w:rFonts w:hint="eastAsia" w:ascii="仿宋" w:hAnsi="仿宋" w:eastAsia="仿宋"/>
                <w:sz w:val="24"/>
                <w:highlight w:val="none"/>
              </w:rPr>
            </w:pPr>
            <w:r>
              <w:rPr>
                <w:rFonts w:hint="eastAsia" w:ascii="仿宋" w:hAnsi="仿宋" w:eastAsia="仿宋"/>
                <w:sz w:val="24"/>
                <w:highlight w:val="none"/>
              </w:rPr>
              <w:t>（五）会员没有提供平仓名单，属前条第（四）、（五）、（六）项的，强行平仓头寸由交易所根据涉及的会员和客户具体情况确定。</w:t>
            </w:r>
          </w:p>
          <w:p>
            <w:pPr>
              <w:ind w:firstLine="480"/>
              <w:rPr>
                <w:rFonts w:hint="eastAsia" w:ascii="仿宋" w:hAnsi="仿宋" w:eastAsia="仿宋"/>
                <w:sz w:val="24"/>
                <w:highlight w:val="none"/>
              </w:rPr>
            </w:pPr>
            <w:r>
              <w:rPr>
                <w:rFonts w:hint="eastAsia" w:ascii="仿宋" w:hAnsi="仿宋" w:eastAsia="仿宋"/>
                <w:sz w:val="24"/>
                <w:highlight w:val="none"/>
              </w:rPr>
              <w:t>（六）会员同时满足属前条第（一）、（二）、（三）项情况，交易所先按第（二）、（三）项情况确定强行平仓头寸，再按第（一）项情况确定强行平仓头寸。</w:t>
            </w:r>
          </w:p>
          <w:p>
            <w:pPr>
              <w:ind w:firstLine="480"/>
              <w:rPr>
                <w:rFonts w:ascii="仿宋" w:hAnsi="仿宋" w:eastAsia="仿宋" w:cs="Times New Roman"/>
                <w:sz w:val="24"/>
                <w:szCs w:val="24"/>
                <w:highlight w:val="none"/>
              </w:rPr>
            </w:pPr>
            <w:r>
              <w:rPr>
                <w:rFonts w:hint="eastAsia" w:ascii="仿宋" w:hAnsi="仿宋" w:eastAsia="仿宋"/>
                <w:sz w:val="24"/>
                <w:highlight w:val="none"/>
              </w:rPr>
              <w:t>由于市场原因无法满足上述原则和程序的，交易所有权择机强行平仓。</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强行平仓的原则和程序：</w:t>
            </w:r>
          </w:p>
          <w:p>
            <w:pPr>
              <w:ind w:firstLine="480"/>
              <w:rPr>
                <w:rFonts w:hint="eastAsia" w:ascii="仿宋" w:hAnsi="仿宋" w:eastAsia="仿宋"/>
                <w:b/>
                <w:sz w:val="24"/>
                <w:highlight w:val="none"/>
                <w:u w:val="single"/>
              </w:rPr>
            </w:pPr>
            <w:r>
              <w:rPr>
                <w:rFonts w:hint="eastAsia" w:ascii="仿宋" w:hAnsi="仿宋" w:eastAsia="仿宋"/>
                <w:sz w:val="24"/>
                <w:highlight w:val="none"/>
              </w:rPr>
              <w:t>强行平仓先由会员</w:t>
            </w:r>
            <w:r>
              <w:rPr>
                <w:rFonts w:hint="eastAsia" w:ascii="仿宋" w:hAnsi="仿宋" w:eastAsia="仿宋"/>
                <w:b/>
                <w:sz w:val="24"/>
                <w:highlight w:val="none"/>
                <w:u w:val="single"/>
              </w:rPr>
              <w:t>、境外特殊参与者</w:t>
            </w:r>
            <w:r>
              <w:rPr>
                <w:rFonts w:hint="eastAsia" w:ascii="仿宋" w:hAnsi="仿宋" w:eastAsia="仿宋"/>
                <w:sz w:val="24"/>
                <w:highlight w:val="none"/>
              </w:rPr>
              <w:t>自行实施，</w:t>
            </w:r>
            <w:r>
              <w:rPr>
                <w:rFonts w:hint="eastAsia" w:ascii="仿宋" w:hAnsi="仿宋" w:eastAsia="仿宋"/>
                <w:b/>
                <w:sz w:val="24"/>
                <w:highlight w:val="none"/>
                <w:u w:val="single"/>
              </w:rPr>
              <w:t>会员应督导委托其交易结算的境外特殊参与者、境外中介机构和客户执行。</w:t>
            </w:r>
            <w:r>
              <w:rPr>
                <w:rFonts w:hint="eastAsia" w:ascii="仿宋" w:hAnsi="仿宋" w:eastAsia="仿宋"/>
                <w:sz w:val="24"/>
                <w:highlight w:val="none"/>
              </w:rPr>
              <w:t>除交易所特别规定的时限外，会员未在10时15分之前平仓完毕的，交易所强制执行。</w:t>
            </w:r>
            <w:r>
              <w:rPr>
                <w:rFonts w:hint="eastAsia" w:ascii="仿宋" w:hAnsi="仿宋" w:eastAsia="仿宋"/>
                <w:b/>
                <w:sz w:val="24"/>
                <w:highlight w:val="none"/>
                <w:u w:val="single"/>
                <w:lang w:eastAsia="zh-CN"/>
              </w:rPr>
              <w:t>因</w:t>
            </w:r>
            <w:r>
              <w:rPr>
                <w:rFonts w:hint="eastAsia" w:ascii="仿宋" w:hAnsi="仿宋" w:eastAsia="仿宋"/>
                <w:b/>
                <w:sz w:val="24"/>
                <w:highlight w:val="none"/>
                <w:u w:val="single"/>
              </w:rPr>
              <w:t>会员或其受托结算的任一明细账户的结算准备金余额小于零而被要求强行平仓的，在保证金补足至最低结算准备金余额前，禁止该明细账户的开仓交易。</w:t>
            </w:r>
          </w:p>
          <w:p>
            <w:pPr>
              <w:ind w:firstLine="480"/>
              <w:rPr>
                <w:rFonts w:hint="eastAsia" w:ascii="仿宋" w:hAnsi="仿宋" w:eastAsia="仿宋"/>
                <w:sz w:val="24"/>
                <w:highlight w:val="none"/>
              </w:rPr>
            </w:pPr>
            <w:r>
              <w:rPr>
                <w:rFonts w:hint="eastAsia" w:ascii="仿宋" w:hAnsi="仿宋" w:eastAsia="仿宋"/>
                <w:sz w:val="24"/>
                <w:highlight w:val="none"/>
              </w:rPr>
              <w:t>由会员</w:t>
            </w:r>
            <w:r>
              <w:rPr>
                <w:rFonts w:hint="eastAsia" w:ascii="仿宋" w:hAnsi="仿宋" w:eastAsia="仿宋"/>
                <w:b/>
                <w:sz w:val="24"/>
                <w:highlight w:val="none"/>
                <w:u w:val="single"/>
              </w:rPr>
              <w:t>、境外特殊参与者</w:t>
            </w:r>
            <w:r>
              <w:rPr>
                <w:rFonts w:hint="eastAsia" w:ascii="仿宋" w:hAnsi="仿宋" w:eastAsia="仿宋"/>
                <w:sz w:val="24"/>
                <w:highlight w:val="none"/>
              </w:rPr>
              <w:t>自行平仓的，属前条第（一）、（二）、（三）项情形的，由会员</w:t>
            </w:r>
            <w:r>
              <w:rPr>
                <w:rFonts w:hint="eastAsia" w:ascii="仿宋" w:hAnsi="仿宋" w:eastAsia="仿宋"/>
                <w:b/>
                <w:sz w:val="24"/>
                <w:highlight w:val="none"/>
                <w:u w:val="single"/>
              </w:rPr>
              <w:t>、境外特殊参与者</w:t>
            </w:r>
            <w:r>
              <w:rPr>
                <w:rFonts w:hint="eastAsia" w:ascii="仿宋" w:hAnsi="仿宋" w:eastAsia="仿宋"/>
                <w:sz w:val="24"/>
                <w:highlight w:val="none"/>
              </w:rPr>
              <w:t>自行确定，平仓结果符合交易所规定即可；属前条第（四）、（五）、（六）项情形的，由交易所确定。</w:t>
            </w:r>
          </w:p>
          <w:p>
            <w:pPr>
              <w:ind w:firstLine="480"/>
              <w:rPr>
                <w:rFonts w:hint="eastAsia" w:ascii="仿宋" w:hAnsi="仿宋" w:eastAsia="仿宋"/>
                <w:sz w:val="24"/>
                <w:highlight w:val="none"/>
              </w:rPr>
            </w:pPr>
            <w:r>
              <w:rPr>
                <w:rFonts w:hint="eastAsia" w:ascii="仿宋" w:hAnsi="仿宋" w:eastAsia="仿宋"/>
                <w:sz w:val="24"/>
                <w:highlight w:val="none"/>
              </w:rPr>
              <w:t>由交易所强行平仓的，按以下程序实施：</w:t>
            </w:r>
          </w:p>
          <w:p>
            <w:pPr>
              <w:ind w:firstLine="480"/>
              <w:rPr>
                <w:rFonts w:hint="eastAsia" w:ascii="仿宋" w:hAnsi="仿宋" w:eastAsia="仿宋"/>
                <w:sz w:val="24"/>
                <w:highlight w:val="none"/>
              </w:rPr>
            </w:pPr>
            <w:r>
              <w:rPr>
                <w:rFonts w:hint="eastAsia" w:ascii="仿宋" w:hAnsi="仿宋" w:eastAsia="仿宋"/>
                <w:sz w:val="24"/>
                <w:highlight w:val="none"/>
              </w:rPr>
              <w:t>（一）交易所按照会员</w:t>
            </w:r>
            <w:r>
              <w:rPr>
                <w:rFonts w:hint="eastAsia" w:ascii="仿宋" w:hAnsi="仿宋" w:eastAsia="仿宋"/>
                <w:b/>
                <w:sz w:val="24"/>
                <w:highlight w:val="none"/>
                <w:u w:val="single"/>
              </w:rPr>
              <w:t>、境外特殊参与者</w:t>
            </w:r>
            <w:r>
              <w:rPr>
                <w:rFonts w:hint="eastAsia" w:ascii="仿宋" w:hAnsi="仿宋" w:eastAsia="仿宋"/>
                <w:sz w:val="24"/>
                <w:highlight w:val="none"/>
              </w:rPr>
              <w:t>提供的平仓名单进行强行平仓。</w:t>
            </w:r>
          </w:p>
          <w:p>
            <w:pPr>
              <w:ind w:firstLine="480"/>
              <w:rPr>
                <w:rFonts w:hint="eastAsia" w:ascii="仿宋" w:hAnsi="仿宋" w:eastAsia="仿宋"/>
                <w:sz w:val="24"/>
                <w:highlight w:val="none"/>
              </w:rPr>
            </w:pPr>
            <w:r>
              <w:rPr>
                <w:rFonts w:hint="eastAsia" w:ascii="仿宋" w:hAnsi="仿宋" w:eastAsia="仿宋"/>
                <w:sz w:val="24"/>
                <w:highlight w:val="none"/>
              </w:rPr>
              <w:t>（二）会员</w:t>
            </w:r>
            <w:r>
              <w:rPr>
                <w:rFonts w:hint="eastAsia" w:ascii="仿宋" w:hAnsi="仿宋" w:eastAsia="仿宋"/>
                <w:b/>
                <w:sz w:val="24"/>
                <w:highlight w:val="none"/>
                <w:u w:val="single"/>
              </w:rPr>
              <w:t>、境外特殊参与者</w:t>
            </w:r>
            <w:r>
              <w:rPr>
                <w:rFonts w:hint="eastAsia" w:ascii="仿宋" w:hAnsi="仿宋" w:eastAsia="仿宋"/>
                <w:sz w:val="24"/>
                <w:highlight w:val="none"/>
              </w:rPr>
              <w:t>没有提供平仓名单，属前条第（一）项的，</w:t>
            </w:r>
            <w:r>
              <w:rPr>
                <w:rFonts w:hint="eastAsia" w:ascii="仿宋" w:hAnsi="仿宋" w:eastAsia="仿宋"/>
                <w:b/>
                <w:sz w:val="24"/>
                <w:highlight w:val="none"/>
                <w:u w:val="single"/>
                <w:lang w:eastAsia="zh-CN"/>
              </w:rPr>
              <w:t>对于结算准备金小于零的明细账户</w:t>
            </w:r>
            <w:r>
              <w:rPr>
                <w:rFonts w:hint="default" w:ascii="仿宋" w:hAnsi="仿宋" w:eastAsia="仿宋"/>
                <w:b/>
                <w:sz w:val="24"/>
                <w:highlight w:val="none"/>
                <w:u w:val="single"/>
                <w:lang w:val="en-US" w:eastAsia="zh-CN"/>
              </w:rPr>
              <w:t>,</w:t>
            </w:r>
            <w:r>
              <w:rPr>
                <w:rFonts w:hint="eastAsia" w:ascii="仿宋" w:hAnsi="仿宋" w:eastAsia="仿宋"/>
                <w:sz w:val="24"/>
                <w:highlight w:val="none"/>
              </w:rPr>
              <w:t>按照上一交易日闭市后期货合约总持仓量由大到小顺序，先选择持仓量大的期货合约作为强行平仓的期货合约，再按照该</w:t>
            </w:r>
            <w:r>
              <w:rPr>
                <w:rFonts w:hint="eastAsia" w:ascii="仿宋" w:hAnsi="仿宋" w:eastAsia="仿宋"/>
                <w:dstrike/>
                <w:sz w:val="24"/>
                <w:highlight w:val="none"/>
              </w:rPr>
              <w:t>会员</w:t>
            </w:r>
            <w:r>
              <w:rPr>
                <w:rFonts w:hint="eastAsia" w:ascii="仿宋" w:hAnsi="仿宋" w:eastAsia="仿宋"/>
                <w:b/>
                <w:sz w:val="24"/>
                <w:highlight w:val="none"/>
                <w:u w:val="single"/>
              </w:rPr>
              <w:t>明细账户</w:t>
            </w:r>
            <w:r>
              <w:rPr>
                <w:rFonts w:hint="eastAsia" w:ascii="仿宋" w:hAnsi="仿宋" w:eastAsia="仿宋"/>
                <w:b/>
                <w:sz w:val="24"/>
                <w:highlight w:val="none"/>
                <w:u w:val="single"/>
                <w:lang w:eastAsia="zh-CN"/>
              </w:rPr>
              <w:t>所有</w:t>
            </w:r>
            <w:r>
              <w:rPr>
                <w:rFonts w:hint="eastAsia" w:ascii="仿宋" w:hAnsi="仿宋" w:eastAsia="仿宋"/>
                <w:strike w:val="0"/>
                <w:dstrike w:val="0"/>
                <w:sz w:val="24"/>
                <w:highlight w:val="none"/>
              </w:rPr>
              <w:t>客户</w:t>
            </w:r>
            <w:r>
              <w:rPr>
                <w:rFonts w:hint="eastAsia" w:ascii="仿宋" w:hAnsi="仿宋" w:eastAsia="仿宋"/>
                <w:sz w:val="24"/>
                <w:highlight w:val="none"/>
              </w:rPr>
              <w:t>该期货合约的净持仓亏损由大到小确定。</w:t>
            </w:r>
          </w:p>
          <w:p>
            <w:pPr>
              <w:ind w:firstLine="482"/>
              <w:rPr>
                <w:rFonts w:hint="eastAsia" w:ascii="仿宋" w:hAnsi="仿宋" w:eastAsia="仿宋"/>
                <w:b/>
                <w:sz w:val="24"/>
                <w:highlight w:val="none"/>
                <w:u w:val="single"/>
              </w:rPr>
            </w:pPr>
            <w:r>
              <w:rPr>
                <w:rFonts w:hint="eastAsia" w:ascii="仿宋" w:hAnsi="仿宋" w:eastAsia="仿宋"/>
                <w:b/>
                <w:sz w:val="24"/>
                <w:highlight w:val="none"/>
                <w:u w:val="single"/>
              </w:rPr>
              <w:t>前项所述的强行平仓执行完毕后，该</w:t>
            </w:r>
            <w:r>
              <w:rPr>
                <w:rFonts w:hint="eastAsia" w:ascii="仿宋" w:hAnsi="仿宋" w:eastAsia="仿宋"/>
                <w:b/>
                <w:sz w:val="24"/>
                <w:highlight w:val="none"/>
                <w:u w:val="single"/>
                <w:lang w:eastAsia="zh-CN"/>
              </w:rPr>
              <w:t>明细</w:t>
            </w:r>
            <w:r>
              <w:rPr>
                <w:rFonts w:hint="eastAsia" w:ascii="仿宋" w:hAnsi="仿宋" w:eastAsia="仿宋"/>
                <w:b/>
                <w:sz w:val="24"/>
                <w:highlight w:val="none"/>
                <w:u w:val="single"/>
              </w:rPr>
              <w:t>账户结算准备金仍小于零的，交易所对会员的</w:t>
            </w:r>
            <w:r>
              <w:rPr>
                <w:rFonts w:hint="eastAsia" w:ascii="仿宋" w:hAnsi="仿宋" w:eastAsia="仿宋"/>
                <w:b/>
                <w:sz w:val="24"/>
                <w:highlight w:val="none"/>
                <w:u w:val="single"/>
                <w:lang w:eastAsia="zh-CN"/>
              </w:rPr>
              <w:t>其他</w:t>
            </w:r>
            <w:r>
              <w:rPr>
                <w:rFonts w:hint="eastAsia" w:ascii="仿宋" w:hAnsi="仿宋" w:eastAsia="仿宋"/>
                <w:b/>
                <w:sz w:val="24"/>
                <w:highlight w:val="none"/>
                <w:u w:val="single"/>
              </w:rPr>
              <w:t>明细账户或者受托结算明细账户对应的持仓按照前项原则执行强行平仓。</w:t>
            </w:r>
          </w:p>
          <w:p>
            <w:pPr>
              <w:ind w:firstLine="480"/>
              <w:rPr>
                <w:rFonts w:hint="eastAsia" w:ascii="仿宋" w:hAnsi="仿宋" w:eastAsia="仿宋"/>
                <w:sz w:val="24"/>
                <w:highlight w:val="none"/>
              </w:rPr>
            </w:pPr>
            <w:r>
              <w:rPr>
                <w:rFonts w:hint="eastAsia" w:ascii="仿宋" w:hAnsi="仿宋" w:eastAsia="仿宋"/>
                <w:sz w:val="24"/>
                <w:highlight w:val="none"/>
              </w:rPr>
              <w:t>多个会员均需要强行平仓的，按追加保证金由大到小的顺序，先强平需要追加保证金大的会员。</w:t>
            </w:r>
          </w:p>
          <w:p>
            <w:pPr>
              <w:ind w:firstLine="480"/>
              <w:rPr>
                <w:rFonts w:hint="eastAsia" w:ascii="仿宋" w:hAnsi="仿宋" w:eastAsia="仿宋"/>
                <w:sz w:val="24"/>
                <w:highlight w:val="none"/>
              </w:rPr>
            </w:pPr>
            <w:r>
              <w:rPr>
                <w:rFonts w:hint="eastAsia" w:ascii="仿宋" w:hAnsi="仿宋" w:eastAsia="仿宋"/>
                <w:sz w:val="24"/>
                <w:highlight w:val="none"/>
              </w:rPr>
              <w:t>（三）属前条第（二）项的，按照超仓量由大到小的顺序，对非期货公司会员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或客户进行强行平仓。</w:t>
            </w:r>
          </w:p>
          <w:p>
            <w:pPr>
              <w:ind w:firstLine="480"/>
              <w:rPr>
                <w:rFonts w:hint="eastAsia" w:ascii="仿宋" w:hAnsi="仿宋" w:eastAsia="仿宋"/>
                <w:sz w:val="24"/>
                <w:highlight w:val="none"/>
              </w:rPr>
            </w:pPr>
            <w:r>
              <w:rPr>
                <w:rFonts w:hint="eastAsia" w:ascii="仿宋" w:hAnsi="仿宋" w:eastAsia="仿宋"/>
                <w:sz w:val="24"/>
                <w:highlight w:val="none"/>
              </w:rPr>
              <w:t>（四）会员</w:t>
            </w:r>
            <w:r>
              <w:rPr>
                <w:rFonts w:hint="eastAsia" w:ascii="仿宋" w:hAnsi="仿宋" w:eastAsia="仿宋"/>
                <w:b/>
                <w:sz w:val="24"/>
                <w:highlight w:val="none"/>
                <w:u w:val="single"/>
              </w:rPr>
              <w:t>、境外特殊参与者</w:t>
            </w:r>
            <w:r>
              <w:rPr>
                <w:rFonts w:hint="eastAsia" w:ascii="仿宋" w:hAnsi="仿宋" w:eastAsia="仿宋"/>
                <w:sz w:val="24"/>
                <w:highlight w:val="none"/>
              </w:rPr>
              <w:t>没有提供平仓名单，属前条第（三）项的，按照上一交易日闭市后自然人期货合约持仓由大到小顺序进行强行平仓。</w:t>
            </w:r>
          </w:p>
          <w:p>
            <w:pPr>
              <w:ind w:firstLine="480"/>
              <w:rPr>
                <w:rFonts w:hint="eastAsia" w:ascii="仿宋" w:hAnsi="仿宋" w:eastAsia="仿宋"/>
                <w:sz w:val="24"/>
                <w:highlight w:val="none"/>
              </w:rPr>
            </w:pPr>
            <w:r>
              <w:rPr>
                <w:rFonts w:hint="eastAsia" w:ascii="仿宋" w:hAnsi="仿宋" w:eastAsia="仿宋"/>
                <w:sz w:val="24"/>
                <w:highlight w:val="none"/>
              </w:rPr>
              <w:t>（五）会员</w:t>
            </w:r>
            <w:r>
              <w:rPr>
                <w:rFonts w:hint="eastAsia" w:ascii="仿宋" w:hAnsi="仿宋" w:eastAsia="仿宋"/>
                <w:b/>
                <w:sz w:val="24"/>
                <w:highlight w:val="none"/>
                <w:u w:val="single"/>
              </w:rPr>
              <w:t>、境外特殊参与者</w:t>
            </w:r>
            <w:r>
              <w:rPr>
                <w:rFonts w:hint="eastAsia" w:ascii="仿宋" w:hAnsi="仿宋" w:eastAsia="仿宋"/>
                <w:sz w:val="24"/>
                <w:highlight w:val="none"/>
              </w:rPr>
              <w:t>没有提供平仓名单，属前条第（四）、（五）、（六）项的，强行平仓头寸由交易所根据涉及的会员</w:t>
            </w:r>
            <w:r>
              <w:rPr>
                <w:rFonts w:hint="eastAsia" w:ascii="仿宋" w:hAnsi="仿宋" w:eastAsia="仿宋"/>
                <w:b/>
                <w:sz w:val="24"/>
                <w:highlight w:val="none"/>
                <w:u w:val="single"/>
              </w:rPr>
              <w:t>、境外特殊参与者、境外中介机构</w:t>
            </w:r>
            <w:r>
              <w:rPr>
                <w:rFonts w:hint="eastAsia" w:ascii="仿宋" w:hAnsi="仿宋" w:eastAsia="仿宋"/>
                <w:sz w:val="24"/>
                <w:highlight w:val="none"/>
              </w:rPr>
              <w:t>和客户具体情况确定。</w:t>
            </w:r>
          </w:p>
          <w:p>
            <w:pPr>
              <w:ind w:firstLine="480"/>
              <w:rPr>
                <w:rFonts w:hint="eastAsia" w:ascii="仿宋" w:hAnsi="仿宋" w:eastAsia="仿宋"/>
                <w:sz w:val="24"/>
                <w:highlight w:val="none"/>
              </w:rPr>
            </w:pPr>
            <w:r>
              <w:rPr>
                <w:rFonts w:hint="eastAsia" w:ascii="仿宋" w:hAnsi="仿宋" w:eastAsia="仿宋"/>
                <w:sz w:val="24"/>
                <w:highlight w:val="none"/>
              </w:rPr>
              <w:t>（六）会员同时满足属前条第（一）、（二）、（三）项情况，交易所先按第（二）、（三）项情况确定强行平仓头寸，再按第（一）项情况确定强行平仓头寸。</w:t>
            </w:r>
          </w:p>
          <w:p>
            <w:pPr>
              <w:ind w:firstLine="480"/>
              <w:rPr>
                <w:rFonts w:ascii="仿宋" w:hAnsi="仿宋" w:eastAsia="仿宋" w:cs="Times New Roman"/>
                <w:sz w:val="24"/>
                <w:szCs w:val="24"/>
                <w:highlight w:val="none"/>
              </w:rPr>
            </w:pPr>
            <w:r>
              <w:rPr>
                <w:rFonts w:hint="eastAsia" w:ascii="仿宋" w:hAnsi="仿宋" w:eastAsia="仿宋"/>
                <w:sz w:val="24"/>
                <w:highlight w:val="none"/>
              </w:rPr>
              <w:t>由于市场原因无法满足上述原则和程序的，交易所有权择机强行平仓。</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交易所实施强行平仓，应当通知会员，会员应当通知客户。</w:t>
            </w:r>
          </w:p>
          <w:p>
            <w:pPr>
              <w:ind w:firstLine="480"/>
              <w:rPr>
                <w:rFonts w:ascii="仿宋" w:hAnsi="仿宋" w:eastAsia="仿宋" w:cs="Times New Roman"/>
                <w:sz w:val="24"/>
                <w:szCs w:val="24"/>
                <w:highlight w:val="none"/>
              </w:rPr>
            </w:pPr>
            <w:r>
              <w:rPr>
                <w:rFonts w:hint="eastAsia" w:ascii="仿宋" w:hAnsi="仿宋" w:eastAsia="仿宋"/>
                <w:sz w:val="24"/>
                <w:highlight w:val="none"/>
              </w:rPr>
              <w:t>属第三十</w:t>
            </w:r>
            <w:r>
              <w:rPr>
                <w:rFonts w:hint="eastAsia" w:ascii="仿宋" w:hAnsi="仿宋" w:eastAsia="仿宋"/>
                <w:sz w:val="24"/>
                <w:highlight w:val="none"/>
                <w:lang w:val="en-US" w:eastAsia="zh-CN"/>
              </w:rPr>
              <w:t>六</w:t>
            </w:r>
            <w:r>
              <w:rPr>
                <w:rFonts w:hint="eastAsia" w:ascii="仿宋" w:hAnsi="仿宋" w:eastAsia="仿宋"/>
                <w:sz w:val="24"/>
                <w:highlight w:val="none"/>
              </w:rPr>
              <w:t>条第（一）、（二）、（三）项情况的，以交易所提供的结算结果为通知依据；属第三十</w:t>
            </w:r>
            <w:r>
              <w:rPr>
                <w:rFonts w:hint="eastAsia" w:ascii="仿宋" w:hAnsi="仿宋" w:eastAsia="仿宋"/>
                <w:sz w:val="24"/>
                <w:highlight w:val="none"/>
                <w:lang w:val="en-US" w:eastAsia="zh-CN"/>
              </w:rPr>
              <w:t>六</w:t>
            </w:r>
            <w:r>
              <w:rPr>
                <w:rFonts w:hint="eastAsia" w:ascii="仿宋" w:hAnsi="仿宋" w:eastAsia="仿宋"/>
                <w:sz w:val="24"/>
                <w:highlight w:val="none"/>
              </w:rPr>
              <w:t>条第（四）、（五）、（六）项情况的，交易所向有关会员下达《强行平仓通知书》。</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第三十</w:t>
            </w:r>
            <w:r>
              <w:rPr>
                <w:rFonts w:hint="eastAsia" w:ascii="仿宋" w:hAnsi="仿宋" w:eastAsia="仿宋"/>
                <w:b/>
                <w:sz w:val="24"/>
                <w:highlight w:val="none"/>
                <w:lang w:val="en-US"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交易所实施强行平仓，应当通知会员，会员应当通知客户</w:t>
            </w:r>
            <w:r>
              <w:rPr>
                <w:rFonts w:hint="eastAsia" w:ascii="仿宋" w:hAnsi="仿宋" w:eastAsia="仿宋"/>
                <w:b/>
                <w:sz w:val="24"/>
                <w:highlight w:val="none"/>
                <w:u w:val="single"/>
              </w:rPr>
              <w:t>或委托其结算的境外特殊参与者</w:t>
            </w:r>
            <w:r>
              <w:rPr>
                <w:rFonts w:hint="eastAsia" w:ascii="仿宋" w:hAnsi="仿宋" w:eastAsia="仿宋"/>
                <w:sz w:val="24"/>
                <w:highlight w:val="none"/>
              </w:rPr>
              <w:t>。</w:t>
            </w:r>
          </w:p>
          <w:p>
            <w:pPr>
              <w:ind w:firstLine="480"/>
              <w:rPr>
                <w:rFonts w:ascii="仿宋" w:hAnsi="仿宋" w:eastAsia="仿宋" w:cs="Times New Roman"/>
                <w:sz w:val="24"/>
                <w:szCs w:val="24"/>
                <w:highlight w:val="none"/>
              </w:rPr>
            </w:pPr>
            <w:r>
              <w:rPr>
                <w:rFonts w:hint="eastAsia" w:ascii="仿宋" w:hAnsi="仿宋" w:eastAsia="仿宋"/>
                <w:sz w:val="24"/>
                <w:highlight w:val="none"/>
              </w:rPr>
              <w:t>属第三十</w:t>
            </w:r>
            <w:r>
              <w:rPr>
                <w:rFonts w:hint="eastAsia" w:ascii="仿宋" w:hAnsi="仿宋" w:eastAsia="仿宋"/>
                <w:sz w:val="24"/>
                <w:highlight w:val="none"/>
                <w:lang w:val="en-US" w:eastAsia="zh-CN"/>
              </w:rPr>
              <w:t>六</w:t>
            </w:r>
            <w:r>
              <w:rPr>
                <w:rFonts w:hint="eastAsia" w:ascii="仿宋" w:hAnsi="仿宋" w:eastAsia="仿宋"/>
                <w:sz w:val="24"/>
                <w:highlight w:val="none"/>
              </w:rPr>
              <w:t>条第（一）、（二）、（三）项情况的，以交易所提供的结算结果为通知依据；属第三十</w:t>
            </w:r>
            <w:r>
              <w:rPr>
                <w:rFonts w:hint="eastAsia" w:ascii="仿宋" w:hAnsi="仿宋" w:eastAsia="仿宋"/>
                <w:sz w:val="24"/>
                <w:highlight w:val="none"/>
                <w:lang w:val="en-US" w:eastAsia="zh-CN"/>
              </w:rPr>
              <w:t>六</w:t>
            </w:r>
            <w:r>
              <w:rPr>
                <w:rFonts w:hint="eastAsia" w:ascii="仿宋" w:hAnsi="仿宋" w:eastAsia="仿宋"/>
                <w:sz w:val="24"/>
                <w:highlight w:val="none"/>
              </w:rPr>
              <w:t>条第（四）、（五）、（六）项情况的，交易所向有关会员下达《强行平仓通知书》。</w:t>
            </w:r>
            <w:r>
              <w:rPr>
                <w:rFonts w:hint="eastAsia" w:ascii="仿宋" w:hAnsi="仿宋" w:eastAsia="仿宋"/>
                <w:b/>
                <w:bCs/>
                <w:sz w:val="24"/>
                <w:highlight w:val="none"/>
                <w:u w:val="single"/>
              </w:rPr>
              <w:t>境外特殊参与者的《强行平仓通知书》送达至为其结算的会员，会员应当及时通知相关境外特殊参与者。</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w:t>
            </w:r>
            <w:r>
              <w:rPr>
                <w:rFonts w:hint="eastAsia" w:ascii="仿宋" w:hAnsi="仿宋" w:eastAsia="仿宋"/>
                <w:b/>
                <w:sz w:val="24"/>
                <w:highlight w:val="none"/>
                <w:lang w:val="en-US" w:eastAsia="zh-CN"/>
              </w:rPr>
              <w:t>三十九</w:t>
            </w:r>
            <w:r>
              <w:rPr>
                <w:rFonts w:hint="eastAsia" w:ascii="仿宋" w:hAnsi="仿宋" w:eastAsia="仿宋"/>
                <w:b/>
                <w:sz w:val="24"/>
                <w:highlight w:val="none"/>
              </w:rPr>
              <w:t>条</w:t>
            </w:r>
            <w:r>
              <w:rPr>
                <w:rFonts w:hint="eastAsia" w:ascii="仿宋" w:hAnsi="仿宋" w:eastAsia="仿宋"/>
                <w:sz w:val="24"/>
                <w:highlight w:val="none"/>
              </w:rPr>
              <w:t xml:space="preserve"> 会员未在规定时间内自行平仓完毕的，剩余部分由交易所按第三十</w:t>
            </w:r>
            <w:r>
              <w:rPr>
                <w:rFonts w:hint="eastAsia" w:ascii="仿宋" w:hAnsi="仿宋" w:eastAsia="仿宋"/>
                <w:sz w:val="24"/>
                <w:highlight w:val="none"/>
                <w:lang w:val="en-US" w:eastAsia="zh-CN"/>
              </w:rPr>
              <w:t>七</w:t>
            </w:r>
            <w:r>
              <w:rPr>
                <w:rFonts w:hint="eastAsia" w:ascii="仿宋" w:hAnsi="仿宋" w:eastAsia="仿宋"/>
                <w:sz w:val="24"/>
                <w:highlight w:val="none"/>
              </w:rPr>
              <w:t>条所确定的原则以市场价对会员直接执行强行平仓。</w:t>
            </w:r>
          </w:p>
          <w:p>
            <w:pPr>
              <w:ind w:firstLine="480"/>
              <w:rPr>
                <w:rFonts w:hint="eastAsia" w:ascii="仿宋" w:hAnsi="仿宋" w:eastAsia="仿宋"/>
                <w:sz w:val="24"/>
                <w:highlight w:val="none"/>
              </w:rPr>
            </w:pPr>
            <w:r>
              <w:rPr>
                <w:rFonts w:hint="eastAsia" w:ascii="仿宋" w:hAnsi="仿宋" w:eastAsia="仿宋"/>
                <w:sz w:val="24"/>
                <w:highlight w:val="none"/>
              </w:rPr>
              <w:t>交易所强行平仓完毕后，应当将强行平仓结果随当日成交记录向会员发送，并将强行平仓记录予以存档。</w:t>
            </w:r>
          </w:p>
          <w:p>
            <w:pPr>
              <w:ind w:firstLine="480"/>
              <w:rPr>
                <w:rFonts w:ascii="仿宋" w:hAnsi="仿宋" w:eastAsia="仿宋" w:cs="Times New Roman"/>
                <w:sz w:val="24"/>
                <w:szCs w:val="24"/>
                <w:highlight w:val="none"/>
              </w:rPr>
            </w:pPr>
            <w:r>
              <w:rPr>
                <w:rFonts w:hint="eastAsia" w:ascii="仿宋" w:hAnsi="仿宋" w:eastAsia="仿宋"/>
                <w:sz w:val="24"/>
                <w:highlight w:val="none"/>
              </w:rPr>
              <w:t>强行平仓的价格通过市场交易形成。</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w:t>
            </w:r>
            <w:r>
              <w:rPr>
                <w:rFonts w:hint="eastAsia" w:ascii="仿宋" w:hAnsi="仿宋" w:eastAsia="仿宋"/>
                <w:b/>
                <w:sz w:val="24"/>
                <w:highlight w:val="none"/>
                <w:lang w:val="en-US" w:eastAsia="zh-CN"/>
              </w:rPr>
              <w:t>三十九</w:t>
            </w:r>
            <w:r>
              <w:rPr>
                <w:rFonts w:hint="eastAsia" w:ascii="仿宋" w:hAnsi="仿宋" w:eastAsia="仿宋"/>
                <w:b/>
                <w:sz w:val="24"/>
                <w:highlight w:val="none"/>
              </w:rPr>
              <w:t>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sz w:val="24"/>
                <w:highlight w:val="none"/>
              </w:rPr>
              <w:t>未在规定时间内自行平仓完毕的，剩余部分由交易所按第三十</w:t>
            </w:r>
            <w:r>
              <w:rPr>
                <w:rFonts w:hint="eastAsia" w:ascii="仿宋" w:hAnsi="仿宋" w:eastAsia="仿宋"/>
                <w:sz w:val="24"/>
                <w:highlight w:val="none"/>
                <w:lang w:val="en-US" w:eastAsia="zh-CN"/>
              </w:rPr>
              <w:t>七</w:t>
            </w:r>
            <w:r>
              <w:rPr>
                <w:rFonts w:hint="eastAsia" w:ascii="仿宋" w:hAnsi="仿宋" w:eastAsia="仿宋"/>
                <w:sz w:val="24"/>
                <w:highlight w:val="none"/>
              </w:rPr>
              <w:t>条所确定的原则以市场价对会员</w:t>
            </w:r>
            <w:r>
              <w:rPr>
                <w:rFonts w:hint="eastAsia" w:ascii="仿宋" w:hAnsi="仿宋" w:eastAsia="仿宋"/>
                <w:b/>
                <w:sz w:val="24"/>
                <w:highlight w:val="none"/>
                <w:u w:val="single"/>
              </w:rPr>
              <w:t>、境外特殊参与者</w:t>
            </w:r>
            <w:r>
              <w:rPr>
                <w:rFonts w:hint="eastAsia" w:ascii="仿宋" w:hAnsi="仿宋" w:eastAsia="仿宋"/>
                <w:sz w:val="24"/>
                <w:highlight w:val="none"/>
              </w:rPr>
              <w:t>直接执行强行平仓。</w:t>
            </w:r>
          </w:p>
          <w:p>
            <w:pPr>
              <w:ind w:firstLine="480"/>
              <w:rPr>
                <w:rFonts w:hint="eastAsia" w:ascii="仿宋" w:hAnsi="仿宋" w:eastAsia="仿宋"/>
                <w:sz w:val="24"/>
                <w:highlight w:val="none"/>
              </w:rPr>
            </w:pPr>
            <w:r>
              <w:rPr>
                <w:rFonts w:hint="eastAsia" w:ascii="仿宋" w:hAnsi="仿宋" w:eastAsia="仿宋"/>
                <w:sz w:val="24"/>
                <w:highlight w:val="none"/>
              </w:rPr>
              <w:t>交易所强行平仓完毕后，应当将强行平仓结果随当日成交记录向会员发送，并将强行平仓记录予以存档。</w:t>
            </w:r>
          </w:p>
          <w:p>
            <w:pPr>
              <w:ind w:firstLine="480"/>
              <w:rPr>
                <w:rFonts w:ascii="仿宋" w:hAnsi="仿宋" w:eastAsia="仿宋" w:cs="Times New Roman"/>
                <w:sz w:val="24"/>
                <w:szCs w:val="24"/>
                <w:highlight w:val="none"/>
              </w:rPr>
            </w:pPr>
            <w:r>
              <w:rPr>
                <w:rFonts w:hint="eastAsia" w:ascii="仿宋" w:hAnsi="仿宋" w:eastAsia="仿宋"/>
                <w:sz w:val="24"/>
                <w:highlight w:val="none"/>
              </w:rPr>
              <w:t>强行平仓的价格通过市场交易形成。</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由于涨跌停板或者其他市场原因有关持仓的强行平仓只能延时完成的，因此发生的亏损仍由会员或者客户承担；未能完成平仓的，该持仓持有者须继续对此承担持仓责任或者交割义务。</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一</w:t>
            </w:r>
            <w:r>
              <w:rPr>
                <w:rFonts w:hint="eastAsia" w:ascii="仿宋" w:hAnsi="仿宋" w:eastAsia="仿宋"/>
                <w:b/>
                <w:sz w:val="24"/>
                <w:highlight w:val="none"/>
              </w:rPr>
              <w:t>条</w:t>
            </w:r>
            <w:r>
              <w:rPr>
                <w:rFonts w:hint="eastAsia" w:ascii="仿宋" w:hAnsi="仿宋" w:eastAsia="仿宋"/>
                <w:sz w:val="24"/>
                <w:highlight w:val="none"/>
              </w:rPr>
              <w:t xml:space="preserve"> 由于涨跌停板或者其他市场原因有关持仓的强行平仓只能延时完成的，因此发生的亏损仍由会员</w:t>
            </w:r>
            <w:r>
              <w:rPr>
                <w:rFonts w:hint="eastAsia" w:ascii="仿宋" w:hAnsi="仿宋" w:eastAsia="仿宋"/>
                <w:b/>
                <w:sz w:val="24"/>
                <w:highlight w:val="none"/>
                <w:u w:val="single"/>
              </w:rPr>
              <w:t>、境外特殊参与者</w:t>
            </w:r>
            <w:r>
              <w:rPr>
                <w:rFonts w:hint="eastAsia" w:ascii="仿宋" w:hAnsi="仿宋" w:eastAsia="仿宋"/>
                <w:sz w:val="24"/>
                <w:highlight w:val="none"/>
              </w:rPr>
              <w:t>或者客户承担；未能完成平仓的，该持仓持有者须继续对此承担持仓责任或者交割义务。</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二</w:t>
            </w:r>
            <w:r>
              <w:rPr>
                <w:rFonts w:hint="eastAsia" w:ascii="仿宋" w:hAnsi="仿宋" w:eastAsia="仿宋"/>
                <w:b/>
                <w:sz w:val="24"/>
                <w:highlight w:val="none"/>
              </w:rPr>
              <w:t>条</w:t>
            </w:r>
            <w:r>
              <w:rPr>
                <w:rFonts w:hint="eastAsia" w:ascii="仿宋" w:hAnsi="仿宋" w:eastAsia="仿宋"/>
                <w:sz w:val="24"/>
                <w:highlight w:val="none"/>
              </w:rPr>
              <w:t xml:space="preserve"> 除第三十</w:t>
            </w:r>
            <w:r>
              <w:rPr>
                <w:rFonts w:hint="eastAsia" w:ascii="仿宋" w:hAnsi="仿宋" w:eastAsia="仿宋"/>
                <w:sz w:val="24"/>
                <w:highlight w:val="none"/>
                <w:lang w:val="en-US" w:eastAsia="zh-CN"/>
              </w:rPr>
              <w:t>六</w:t>
            </w:r>
            <w:r>
              <w:rPr>
                <w:rFonts w:hint="eastAsia" w:ascii="仿宋" w:hAnsi="仿宋" w:eastAsia="仿宋"/>
                <w:sz w:val="24"/>
                <w:highlight w:val="none"/>
              </w:rPr>
              <w:t>条第（四）项外，强行平仓产生的盈利或者亏损均归持仓人。持仓人是客户的，强行平仓发生的亏损，客户所在会员先行承担后，自行向该客户追偿；持仓人是境外经纪机构客户的，境外经纪机构应辅助其委托交易结算的期货公司会员强行平仓，强行平仓后发生的亏损，由为该境外经纪机构交易结算的期货公司会员先行承担后，自行向该境外经纪机构追索；境外经纪机构承担损失后，自行向该客户追索。</w:t>
            </w:r>
          </w:p>
          <w:p>
            <w:pPr>
              <w:ind w:firstLine="480"/>
              <w:rPr>
                <w:rFonts w:ascii="仿宋" w:hAnsi="仿宋" w:eastAsia="仿宋" w:cs="Times New Roman"/>
                <w:sz w:val="24"/>
                <w:szCs w:val="24"/>
                <w:highlight w:val="none"/>
              </w:rPr>
            </w:pPr>
            <w:r>
              <w:rPr>
                <w:rFonts w:hint="eastAsia" w:ascii="仿宋" w:hAnsi="仿宋" w:eastAsia="仿宋"/>
                <w:sz w:val="24"/>
                <w:highlight w:val="none"/>
              </w:rPr>
              <w:t>本办法第三十</w:t>
            </w:r>
            <w:r>
              <w:rPr>
                <w:rFonts w:hint="eastAsia" w:ascii="仿宋" w:hAnsi="仿宋" w:eastAsia="仿宋"/>
                <w:sz w:val="24"/>
                <w:highlight w:val="none"/>
                <w:lang w:val="en-US" w:eastAsia="zh-CN"/>
              </w:rPr>
              <w:t>六</w:t>
            </w:r>
            <w:r>
              <w:rPr>
                <w:rFonts w:hint="eastAsia" w:ascii="仿宋" w:hAnsi="仿宋" w:eastAsia="仿宋"/>
                <w:sz w:val="24"/>
                <w:highlight w:val="none"/>
              </w:rPr>
              <w:t>条第（四）项实施的强行平仓，亏损由持仓人承担，盈利按国家有关规定执行。</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二</w:t>
            </w:r>
            <w:r>
              <w:rPr>
                <w:rFonts w:hint="eastAsia" w:ascii="仿宋" w:hAnsi="仿宋" w:eastAsia="仿宋"/>
                <w:b/>
                <w:sz w:val="24"/>
                <w:highlight w:val="none"/>
              </w:rPr>
              <w:t>条</w:t>
            </w:r>
            <w:r>
              <w:rPr>
                <w:rFonts w:hint="eastAsia" w:ascii="仿宋" w:hAnsi="仿宋" w:eastAsia="仿宋"/>
                <w:sz w:val="24"/>
                <w:highlight w:val="none"/>
              </w:rPr>
              <w:t xml:space="preserve"> 除第三十</w:t>
            </w:r>
            <w:r>
              <w:rPr>
                <w:rFonts w:hint="eastAsia" w:ascii="仿宋" w:hAnsi="仿宋" w:eastAsia="仿宋"/>
                <w:sz w:val="24"/>
                <w:highlight w:val="none"/>
                <w:lang w:val="en-US" w:eastAsia="zh-CN"/>
              </w:rPr>
              <w:t>六</w:t>
            </w:r>
            <w:r>
              <w:rPr>
                <w:rFonts w:hint="eastAsia" w:ascii="仿宋" w:hAnsi="仿宋" w:eastAsia="仿宋"/>
                <w:sz w:val="24"/>
                <w:highlight w:val="none"/>
              </w:rPr>
              <w:t>条第（四）项外，强行平仓产生的盈利或者亏损均归持仓人。持仓人是</w:t>
            </w:r>
            <w:r>
              <w:rPr>
                <w:rFonts w:hint="eastAsia" w:ascii="仿宋" w:hAnsi="仿宋" w:eastAsia="仿宋"/>
                <w:b/>
                <w:sz w:val="24"/>
                <w:highlight w:val="none"/>
                <w:u w:val="single"/>
              </w:rPr>
              <w:t>委托期货公司会员交易的</w:t>
            </w:r>
            <w:r>
              <w:rPr>
                <w:rFonts w:hint="eastAsia" w:ascii="仿宋" w:hAnsi="仿宋" w:eastAsia="仿宋"/>
                <w:sz w:val="24"/>
                <w:highlight w:val="none"/>
              </w:rPr>
              <w:t>客户的，强行平仓发生的亏损，客户所在会员先行承担后，自行向该客户追偿；持仓人是</w:t>
            </w:r>
            <w:r>
              <w:rPr>
                <w:rFonts w:hint="eastAsia" w:ascii="仿宋" w:hAnsi="仿宋" w:eastAsia="仿宋"/>
                <w:b/>
                <w:sz w:val="24"/>
                <w:highlight w:val="none"/>
                <w:u w:val="single"/>
              </w:rPr>
              <w:t>委托境外特殊经纪参与者、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w:t>
            </w:r>
            <w:r>
              <w:rPr>
                <w:rFonts w:hint="eastAsia" w:ascii="仿宋" w:hAnsi="仿宋" w:eastAsia="仿宋"/>
                <w:b/>
                <w:sz w:val="24"/>
                <w:highlight w:val="none"/>
                <w:u w:val="single"/>
              </w:rPr>
              <w:t>交易的</w:t>
            </w:r>
            <w:r>
              <w:rPr>
                <w:rFonts w:hint="eastAsia" w:ascii="仿宋" w:hAnsi="仿宋" w:eastAsia="仿宋"/>
                <w:sz w:val="24"/>
                <w:highlight w:val="none"/>
              </w:rPr>
              <w:t>客户的，</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机构应辅助其委托交易结算的期货公司会员强行平仓，强行平仓后发生的亏损，由为该</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机构交易结算的期货公司会员先行承担后，自行向该</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机构追索；</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机构承担损失后，自行向该客户追索。</w:t>
            </w:r>
          </w:p>
          <w:p>
            <w:pPr>
              <w:ind w:firstLine="480"/>
              <w:rPr>
                <w:rFonts w:ascii="仿宋" w:hAnsi="仿宋" w:eastAsia="仿宋" w:cs="Times New Roman"/>
                <w:sz w:val="24"/>
                <w:szCs w:val="24"/>
                <w:highlight w:val="none"/>
              </w:rPr>
            </w:pPr>
            <w:r>
              <w:rPr>
                <w:rFonts w:hint="eastAsia" w:ascii="仿宋" w:hAnsi="仿宋" w:eastAsia="仿宋"/>
                <w:sz w:val="24"/>
                <w:highlight w:val="none"/>
              </w:rPr>
              <w:t>本办法第三十</w:t>
            </w:r>
            <w:r>
              <w:rPr>
                <w:rFonts w:hint="eastAsia" w:ascii="仿宋" w:hAnsi="仿宋" w:eastAsia="仿宋"/>
                <w:sz w:val="24"/>
                <w:highlight w:val="none"/>
                <w:lang w:val="en-US" w:eastAsia="zh-CN"/>
              </w:rPr>
              <w:t>六</w:t>
            </w:r>
            <w:r>
              <w:rPr>
                <w:rFonts w:hint="eastAsia" w:ascii="仿宋" w:hAnsi="仿宋" w:eastAsia="仿宋"/>
                <w:sz w:val="24"/>
                <w:highlight w:val="none"/>
              </w:rPr>
              <w:t>条第（四）项实施的强行平仓，亏损由持仓人承担，盈利按国家有关规定执行。</w:t>
            </w:r>
          </w:p>
        </w:tc>
      </w:tr>
      <w:tr>
        <w:tblPrEx>
          <w:tblCellMar>
            <w:top w:w="0" w:type="dxa"/>
            <w:left w:w="108" w:type="dxa"/>
            <w:bottom w:w="0" w:type="dxa"/>
            <w:right w:w="108" w:type="dxa"/>
          </w:tblCellMar>
        </w:tblPrEx>
        <w:trPr>
          <w:trHeight w:val="39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pStyle w:val="15"/>
              <w:numPr>
                <w:ilvl w:val="0"/>
                <w:numId w:val="13"/>
              </w:numPr>
              <w:ind w:firstLineChars="0"/>
              <w:jc w:val="center"/>
              <w:rPr>
                <w:rFonts w:ascii="仿宋" w:hAnsi="仿宋" w:eastAsia="仿宋"/>
                <w:b/>
                <w:sz w:val="24"/>
                <w:szCs w:val="24"/>
                <w:highlight w:val="none"/>
              </w:rPr>
            </w:pPr>
            <w:r>
              <w:rPr>
                <w:rFonts w:hint="eastAsia" w:ascii="仿宋" w:hAnsi="仿宋" w:eastAsia="仿宋"/>
                <w:b/>
                <w:sz w:val="24"/>
                <w:szCs w:val="24"/>
                <w:highlight w:val="none"/>
              </w:rPr>
              <w:t>异常情况处理</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center"/>
          </w:tcPr>
          <w:p>
            <w:pPr>
              <w:ind w:firstLine="42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三</w:t>
            </w:r>
            <w:r>
              <w:rPr>
                <w:rFonts w:hint="eastAsia" w:ascii="仿宋" w:hAnsi="仿宋" w:eastAsia="仿宋"/>
                <w:b/>
                <w:sz w:val="24"/>
                <w:highlight w:val="none"/>
              </w:rPr>
              <w:t xml:space="preserve">条 </w:t>
            </w:r>
            <w:r>
              <w:rPr>
                <w:rFonts w:hint="eastAsia" w:ascii="仿宋" w:hAnsi="仿宋" w:eastAsia="仿宋"/>
                <w:sz w:val="24"/>
                <w:highlight w:val="none"/>
              </w:rPr>
              <w:t>期货交易过程中，出现以下情形之一的，交易所采取紧急措施化解风险，并可以宣布进入异常情况：</w:t>
            </w:r>
          </w:p>
          <w:p>
            <w:pPr>
              <w:ind w:firstLine="420"/>
              <w:rPr>
                <w:rFonts w:hint="eastAsia" w:ascii="仿宋" w:hAnsi="仿宋" w:eastAsia="仿宋"/>
                <w:sz w:val="24"/>
                <w:highlight w:val="none"/>
              </w:rPr>
            </w:pPr>
            <w:r>
              <w:rPr>
                <w:rFonts w:hint="eastAsia" w:ascii="仿宋" w:hAnsi="仿宋" w:eastAsia="仿宋"/>
                <w:sz w:val="24"/>
                <w:highlight w:val="none"/>
              </w:rPr>
              <w:t>（一）地震、水灾、火灾等不可抗力或者计算机系统故障、意外事件等原因导致交易、结算、交割、行权与履约等业务无法正常进行；</w:t>
            </w:r>
          </w:p>
          <w:p>
            <w:pPr>
              <w:ind w:firstLine="420"/>
              <w:rPr>
                <w:rFonts w:hint="eastAsia" w:ascii="仿宋" w:hAnsi="仿宋" w:eastAsia="仿宋"/>
                <w:sz w:val="24"/>
                <w:highlight w:val="none"/>
              </w:rPr>
            </w:pPr>
            <w:r>
              <w:rPr>
                <w:rFonts w:hint="eastAsia" w:ascii="仿宋" w:hAnsi="仿宋" w:eastAsia="仿宋"/>
                <w:sz w:val="24"/>
                <w:highlight w:val="none"/>
              </w:rPr>
              <w:t>（二）出现结算、交割、行权与履约危机，对市场正在产生或者将产生重大影响；</w:t>
            </w:r>
          </w:p>
          <w:p>
            <w:pPr>
              <w:ind w:firstLine="420"/>
              <w:rPr>
                <w:rFonts w:hint="eastAsia" w:ascii="仿宋" w:hAnsi="仿宋" w:eastAsia="仿宋"/>
                <w:sz w:val="24"/>
                <w:highlight w:val="none"/>
              </w:rPr>
            </w:pPr>
            <w:r>
              <w:rPr>
                <w:rFonts w:hint="eastAsia" w:ascii="仿宋" w:hAnsi="仿宋" w:eastAsia="仿宋"/>
                <w:sz w:val="24"/>
                <w:highlight w:val="none"/>
              </w:rPr>
              <w:t>（三）期货价格出现同方向连续涨跌停板，有根据认为会员、境外经纪机构或者客户违反交易所交易规则及其实施细则并且对市场正在产生或者即将产生重大影响；</w:t>
            </w:r>
          </w:p>
          <w:p>
            <w:pPr>
              <w:ind w:firstLine="420"/>
              <w:rPr>
                <w:rFonts w:ascii="仿宋" w:hAnsi="仿宋" w:eastAsia="仿宋" w:cs="Times New Roman"/>
                <w:b/>
                <w:sz w:val="24"/>
                <w:szCs w:val="24"/>
                <w:highlight w:val="none"/>
              </w:rPr>
            </w:pPr>
            <w:r>
              <w:rPr>
                <w:rFonts w:hint="eastAsia" w:ascii="仿宋" w:hAnsi="仿宋" w:eastAsia="仿宋"/>
                <w:sz w:val="24"/>
                <w:highlight w:val="none"/>
              </w:rPr>
              <w:t>……</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ind w:firstLine="42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三</w:t>
            </w:r>
            <w:r>
              <w:rPr>
                <w:rFonts w:hint="eastAsia" w:ascii="仿宋" w:hAnsi="仿宋" w:eastAsia="仿宋"/>
                <w:b/>
                <w:sz w:val="24"/>
                <w:highlight w:val="none"/>
              </w:rPr>
              <w:t>条</w:t>
            </w:r>
            <w:r>
              <w:rPr>
                <w:rFonts w:hint="eastAsia" w:ascii="仿宋" w:hAnsi="仿宋" w:eastAsia="仿宋"/>
                <w:sz w:val="24"/>
                <w:highlight w:val="none"/>
              </w:rPr>
              <w:t xml:space="preserve"> 期货交易过程中，出现以下情形之一的，交易所采取紧急措施化解风险，并可以宣布进入异常情况：</w:t>
            </w:r>
          </w:p>
          <w:p>
            <w:pPr>
              <w:ind w:firstLine="420"/>
              <w:rPr>
                <w:rFonts w:hint="eastAsia" w:ascii="仿宋" w:hAnsi="仿宋" w:eastAsia="仿宋"/>
                <w:sz w:val="24"/>
                <w:highlight w:val="none"/>
              </w:rPr>
            </w:pPr>
            <w:r>
              <w:rPr>
                <w:rFonts w:hint="eastAsia" w:ascii="仿宋" w:hAnsi="仿宋" w:eastAsia="仿宋"/>
                <w:sz w:val="24"/>
                <w:highlight w:val="none"/>
              </w:rPr>
              <w:t>（一）地震、水灾、火灾等不可抗力或者计算机系统故障、意外事件等原因导致交易、结算、交割、行权与履约等业务无法正常进行；</w:t>
            </w:r>
          </w:p>
          <w:p>
            <w:pPr>
              <w:ind w:firstLine="420"/>
              <w:rPr>
                <w:rFonts w:hint="eastAsia" w:ascii="仿宋" w:hAnsi="仿宋" w:eastAsia="仿宋"/>
                <w:sz w:val="24"/>
                <w:highlight w:val="none"/>
              </w:rPr>
            </w:pPr>
            <w:r>
              <w:rPr>
                <w:rFonts w:hint="eastAsia" w:ascii="仿宋" w:hAnsi="仿宋" w:eastAsia="仿宋"/>
                <w:sz w:val="24"/>
                <w:highlight w:val="none"/>
              </w:rPr>
              <w:t>（二）出现结算、交割、行权与履约危机，对市场正在产生或者将产生重大影响；</w:t>
            </w:r>
          </w:p>
          <w:p>
            <w:pPr>
              <w:ind w:firstLine="420"/>
              <w:rPr>
                <w:rFonts w:hint="eastAsia" w:ascii="仿宋" w:hAnsi="仿宋" w:eastAsia="仿宋"/>
                <w:sz w:val="24"/>
                <w:highlight w:val="none"/>
              </w:rPr>
            </w:pPr>
            <w:r>
              <w:rPr>
                <w:rFonts w:hint="eastAsia" w:ascii="仿宋" w:hAnsi="仿宋" w:eastAsia="仿宋"/>
                <w:sz w:val="24"/>
                <w:highlight w:val="none"/>
              </w:rPr>
              <w:t>（三）期货价格出现同方向连续涨跌停板，有根据认为会员、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机构或者客户违反交易所交易规则及其实施细则并且对市场正在产生或者即将产生重大影响；</w:t>
            </w:r>
          </w:p>
          <w:p>
            <w:pPr>
              <w:ind w:firstLine="640"/>
              <w:rPr>
                <w:rFonts w:ascii="仿宋" w:hAnsi="仿宋" w:eastAsia="仿宋" w:cs="Times New Roman"/>
                <w:b/>
                <w:sz w:val="24"/>
                <w:szCs w:val="24"/>
                <w:highlight w:val="none"/>
              </w:rPr>
            </w:pPr>
            <w:r>
              <w:rPr>
                <w:rFonts w:hint="eastAsia" w:ascii="仿宋" w:hAnsi="仿宋" w:eastAsia="仿宋"/>
                <w:sz w:val="24"/>
                <w:highlight w:val="none"/>
              </w:rPr>
              <w:t>……</w:t>
            </w:r>
          </w:p>
        </w:tc>
      </w:tr>
      <w:tr>
        <w:tblPrEx>
          <w:tblCellMar>
            <w:top w:w="0" w:type="dxa"/>
            <w:left w:w="108" w:type="dxa"/>
            <w:bottom w:w="0" w:type="dxa"/>
            <w:right w:w="108" w:type="dxa"/>
          </w:tblCellMar>
        </w:tblPrEx>
        <w:trPr>
          <w:trHeight w:val="39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13"/>
              </w:numPr>
              <w:ind w:firstLineChars="0"/>
              <w:jc w:val="center"/>
              <w:rPr>
                <w:rFonts w:ascii="仿宋" w:hAnsi="仿宋" w:eastAsia="仿宋"/>
                <w:b/>
                <w:sz w:val="24"/>
                <w:szCs w:val="24"/>
                <w:highlight w:val="none"/>
              </w:rPr>
            </w:pPr>
            <w:r>
              <w:rPr>
                <w:rFonts w:hint="eastAsia" w:ascii="仿宋" w:hAnsi="仿宋" w:eastAsia="仿宋"/>
                <w:b/>
                <w:sz w:val="24"/>
                <w:szCs w:val="24"/>
                <w:highlight w:val="none"/>
              </w:rPr>
              <w:t>风险警示制度</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出现下列情形之一的，交易所可以对指定的会员、境外经纪机构高管人员或者客户谈话提醒风险，或者要求会员、境外经纪机构、客户报告情况：</w:t>
            </w:r>
          </w:p>
          <w:p>
            <w:pPr>
              <w:ind w:firstLine="480"/>
              <w:rPr>
                <w:rFonts w:hint="eastAsia" w:ascii="仿宋" w:hAnsi="仿宋" w:eastAsia="仿宋"/>
                <w:sz w:val="24"/>
                <w:highlight w:val="none"/>
              </w:rPr>
            </w:pPr>
            <w:r>
              <w:rPr>
                <w:rFonts w:hint="eastAsia" w:ascii="仿宋" w:hAnsi="仿宋" w:eastAsia="仿宋"/>
                <w:sz w:val="24"/>
                <w:highlight w:val="none"/>
              </w:rPr>
              <w:t xml:space="preserve">（一）合约价格出现异常波动； </w:t>
            </w:r>
          </w:p>
          <w:p>
            <w:pPr>
              <w:ind w:firstLine="480"/>
              <w:rPr>
                <w:rFonts w:hint="eastAsia" w:ascii="仿宋" w:hAnsi="仿宋" w:eastAsia="仿宋"/>
                <w:sz w:val="24"/>
                <w:highlight w:val="none"/>
              </w:rPr>
            </w:pPr>
            <w:r>
              <w:rPr>
                <w:rFonts w:hint="eastAsia" w:ascii="仿宋" w:hAnsi="仿宋" w:eastAsia="仿宋"/>
                <w:sz w:val="24"/>
                <w:highlight w:val="none"/>
              </w:rPr>
              <w:t xml:space="preserve">（二）会员、境外经纪机构或者客户交易异常； </w:t>
            </w:r>
          </w:p>
          <w:p>
            <w:pPr>
              <w:ind w:firstLine="480"/>
              <w:rPr>
                <w:rFonts w:hint="eastAsia" w:ascii="仿宋" w:hAnsi="仿宋" w:eastAsia="仿宋"/>
                <w:sz w:val="24"/>
                <w:highlight w:val="none"/>
              </w:rPr>
            </w:pPr>
            <w:r>
              <w:rPr>
                <w:rFonts w:hint="eastAsia" w:ascii="仿宋" w:hAnsi="仿宋" w:eastAsia="仿宋"/>
                <w:sz w:val="24"/>
                <w:highlight w:val="none"/>
              </w:rPr>
              <w:t>（三）会员、境外经纪机构或者客户持仓异常；</w:t>
            </w:r>
          </w:p>
          <w:p>
            <w:pPr>
              <w:ind w:firstLine="480"/>
              <w:rPr>
                <w:rFonts w:hint="eastAsia" w:ascii="仿宋" w:hAnsi="仿宋" w:eastAsia="仿宋"/>
                <w:sz w:val="24"/>
                <w:highlight w:val="none"/>
              </w:rPr>
            </w:pPr>
            <w:r>
              <w:rPr>
                <w:rFonts w:hint="eastAsia" w:ascii="仿宋" w:hAnsi="仿宋" w:eastAsia="仿宋"/>
                <w:sz w:val="24"/>
                <w:highlight w:val="none"/>
              </w:rPr>
              <w:t xml:space="preserve">（四）会员资金异常； </w:t>
            </w:r>
          </w:p>
          <w:p>
            <w:pPr>
              <w:ind w:firstLine="480"/>
              <w:rPr>
                <w:rFonts w:hint="eastAsia" w:ascii="仿宋" w:hAnsi="仿宋" w:eastAsia="仿宋"/>
                <w:sz w:val="24"/>
                <w:highlight w:val="none"/>
              </w:rPr>
            </w:pPr>
            <w:r>
              <w:rPr>
                <w:rFonts w:hint="eastAsia" w:ascii="仿宋" w:hAnsi="仿宋" w:eastAsia="仿宋"/>
                <w:sz w:val="24"/>
                <w:highlight w:val="none"/>
              </w:rPr>
              <w:t xml:space="preserve">（五）会员、境外经纪机构或者客户涉嫌违规、违约； </w:t>
            </w:r>
          </w:p>
          <w:p>
            <w:pPr>
              <w:ind w:firstLine="480"/>
              <w:rPr>
                <w:rFonts w:hint="eastAsia" w:ascii="仿宋" w:hAnsi="仿宋" w:eastAsia="仿宋"/>
                <w:sz w:val="24"/>
                <w:highlight w:val="none"/>
              </w:rPr>
            </w:pPr>
            <w:r>
              <w:rPr>
                <w:rFonts w:hint="eastAsia" w:ascii="仿宋" w:hAnsi="仿宋" w:eastAsia="仿宋"/>
                <w:sz w:val="24"/>
                <w:highlight w:val="none"/>
              </w:rPr>
              <w:t xml:space="preserve">（六）交易所接到涉及会员、境外经纪机构或者客户的投诉； </w:t>
            </w:r>
          </w:p>
          <w:p>
            <w:pPr>
              <w:ind w:firstLine="480"/>
              <w:rPr>
                <w:rFonts w:hint="eastAsia" w:ascii="仿宋" w:hAnsi="仿宋" w:eastAsia="仿宋"/>
                <w:sz w:val="24"/>
                <w:highlight w:val="none"/>
              </w:rPr>
            </w:pPr>
            <w:r>
              <w:rPr>
                <w:rFonts w:hint="eastAsia" w:ascii="仿宋" w:hAnsi="仿宋" w:eastAsia="仿宋"/>
                <w:sz w:val="24"/>
                <w:highlight w:val="none"/>
              </w:rPr>
              <w:t xml:space="preserve">（七）会员、境外经纪机构涉及执法调查； </w:t>
            </w:r>
          </w:p>
          <w:p>
            <w:pPr>
              <w:ind w:firstLine="480"/>
              <w:rPr>
                <w:rFonts w:hint="eastAsia" w:ascii="仿宋" w:hAnsi="仿宋" w:eastAsia="仿宋"/>
                <w:sz w:val="24"/>
                <w:highlight w:val="none"/>
              </w:rPr>
            </w:pPr>
            <w:r>
              <w:rPr>
                <w:rFonts w:hint="eastAsia" w:ascii="仿宋" w:hAnsi="仿宋" w:eastAsia="仿宋"/>
                <w:sz w:val="24"/>
                <w:highlight w:val="none"/>
              </w:rPr>
              <w:t>（八）交易所认定的其他情况。</w:t>
            </w:r>
          </w:p>
          <w:p>
            <w:pPr>
              <w:ind w:firstLine="480"/>
              <w:rPr>
                <w:rFonts w:hint="eastAsia" w:ascii="仿宋" w:hAnsi="仿宋" w:eastAsia="仿宋"/>
                <w:sz w:val="24"/>
                <w:highlight w:val="none"/>
              </w:rPr>
            </w:pPr>
            <w:r>
              <w:rPr>
                <w:rFonts w:hint="eastAsia" w:ascii="仿宋" w:hAnsi="仿宋" w:eastAsia="仿宋"/>
                <w:sz w:val="24"/>
                <w:highlight w:val="none"/>
              </w:rPr>
              <w:t>交易所通过电话提醒的，应当保留电话录音；通过视频谈话的，应当保留视频录像；通过当面谈话的，应当保存谈话记录。</w:t>
            </w:r>
          </w:p>
          <w:p>
            <w:pPr>
              <w:ind w:firstLine="480"/>
              <w:rPr>
                <w:rFonts w:hint="eastAsia" w:ascii="仿宋" w:hAnsi="仿宋" w:eastAsia="仿宋"/>
                <w:sz w:val="24"/>
                <w:highlight w:val="none"/>
              </w:rPr>
            </w:pPr>
            <w:r>
              <w:rPr>
                <w:rFonts w:hint="eastAsia" w:ascii="仿宋" w:hAnsi="仿宋" w:eastAsia="仿宋"/>
                <w:sz w:val="24"/>
                <w:highlight w:val="none"/>
              </w:rPr>
              <w:t>交易所实施谈话提醒的，会员、境外经纪机构或者客户应当按照交易所要求的时间、地点和方式认真履行。</w:t>
            </w:r>
          </w:p>
          <w:p>
            <w:pPr>
              <w:ind w:firstLine="480"/>
              <w:rPr>
                <w:rFonts w:ascii="仿宋" w:hAnsi="仿宋" w:eastAsia="仿宋" w:cs="Times New Roman"/>
                <w:sz w:val="24"/>
                <w:szCs w:val="24"/>
                <w:highlight w:val="none"/>
              </w:rPr>
            </w:pPr>
            <w:r>
              <w:rPr>
                <w:rFonts w:hint="eastAsia" w:ascii="仿宋" w:hAnsi="仿宋" w:eastAsia="仿宋"/>
                <w:sz w:val="24"/>
                <w:highlight w:val="none"/>
              </w:rPr>
              <w:t>交易所要求会员、境外经纪机构或者客户报告情况的，会员、境外经纪机构或者客户应当按照交易所要求的时间、内容和方式如实报告。</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七</w:t>
            </w:r>
            <w:r>
              <w:rPr>
                <w:rFonts w:hint="eastAsia" w:ascii="仿宋" w:hAnsi="仿宋" w:eastAsia="仿宋"/>
                <w:b/>
                <w:sz w:val="24"/>
                <w:highlight w:val="none"/>
              </w:rPr>
              <w:t>条</w:t>
            </w:r>
            <w:r>
              <w:rPr>
                <w:rFonts w:hint="eastAsia" w:ascii="仿宋" w:hAnsi="仿宋" w:eastAsia="仿宋"/>
                <w:sz w:val="24"/>
                <w:highlight w:val="none"/>
              </w:rPr>
              <w:t xml:space="preserve"> 出现下列情形之一的，交易所可以对指定的会员、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机构高管人员或者客户谈话提醒风险，或者要求会员、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机构、客户报告情况：</w:t>
            </w:r>
          </w:p>
          <w:p>
            <w:pPr>
              <w:ind w:firstLine="480"/>
              <w:rPr>
                <w:rFonts w:hint="eastAsia" w:ascii="仿宋" w:hAnsi="仿宋" w:eastAsia="仿宋"/>
                <w:sz w:val="24"/>
                <w:highlight w:val="none"/>
              </w:rPr>
            </w:pPr>
            <w:r>
              <w:rPr>
                <w:rFonts w:hint="eastAsia" w:ascii="仿宋" w:hAnsi="仿宋" w:eastAsia="仿宋"/>
                <w:sz w:val="24"/>
                <w:highlight w:val="none"/>
              </w:rPr>
              <w:t xml:space="preserve">（一）合约价格出现异常波动； </w:t>
            </w:r>
          </w:p>
          <w:p>
            <w:pPr>
              <w:ind w:firstLine="480"/>
              <w:rPr>
                <w:rFonts w:hint="eastAsia" w:ascii="仿宋" w:hAnsi="仿宋" w:eastAsia="仿宋"/>
                <w:sz w:val="24"/>
                <w:highlight w:val="none"/>
              </w:rPr>
            </w:pPr>
            <w:r>
              <w:rPr>
                <w:rFonts w:hint="eastAsia" w:ascii="仿宋" w:hAnsi="仿宋" w:eastAsia="仿宋"/>
                <w:sz w:val="24"/>
                <w:highlight w:val="none"/>
              </w:rPr>
              <w:t>（二）会员、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 xml:space="preserve">机构或者客户交易异常； </w:t>
            </w:r>
          </w:p>
          <w:p>
            <w:pPr>
              <w:ind w:firstLine="480"/>
              <w:rPr>
                <w:rFonts w:hint="eastAsia" w:ascii="仿宋" w:hAnsi="仿宋" w:eastAsia="仿宋"/>
                <w:sz w:val="24"/>
                <w:highlight w:val="none"/>
              </w:rPr>
            </w:pPr>
            <w:r>
              <w:rPr>
                <w:rFonts w:hint="eastAsia" w:ascii="仿宋" w:hAnsi="仿宋" w:eastAsia="仿宋"/>
                <w:sz w:val="24"/>
                <w:highlight w:val="none"/>
              </w:rPr>
              <w:t>（三）会员、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机构或者客户持仓异常；</w:t>
            </w:r>
          </w:p>
          <w:p>
            <w:pPr>
              <w:ind w:firstLine="480"/>
              <w:rPr>
                <w:rFonts w:hint="eastAsia" w:ascii="仿宋" w:hAnsi="仿宋" w:eastAsia="仿宋"/>
                <w:sz w:val="24"/>
                <w:highlight w:val="none"/>
              </w:rPr>
            </w:pPr>
            <w:r>
              <w:rPr>
                <w:rFonts w:hint="eastAsia" w:ascii="仿宋" w:hAnsi="仿宋" w:eastAsia="仿宋"/>
                <w:sz w:val="24"/>
                <w:highlight w:val="none"/>
              </w:rPr>
              <w:t>（四）会员</w:t>
            </w:r>
            <w:r>
              <w:rPr>
                <w:rFonts w:hint="eastAsia" w:ascii="仿宋" w:hAnsi="仿宋" w:eastAsia="仿宋"/>
                <w:b/>
                <w:sz w:val="24"/>
                <w:highlight w:val="none"/>
                <w:u w:val="single"/>
              </w:rPr>
              <w:t>或其受托结算明细账户</w:t>
            </w:r>
            <w:r>
              <w:rPr>
                <w:rFonts w:hint="eastAsia" w:ascii="仿宋" w:hAnsi="仿宋" w:eastAsia="仿宋"/>
                <w:sz w:val="24"/>
                <w:highlight w:val="none"/>
              </w:rPr>
              <w:t xml:space="preserve">资金异常； </w:t>
            </w:r>
          </w:p>
          <w:p>
            <w:pPr>
              <w:ind w:firstLine="480"/>
              <w:rPr>
                <w:rFonts w:hint="eastAsia" w:ascii="仿宋" w:hAnsi="仿宋" w:eastAsia="仿宋"/>
                <w:sz w:val="24"/>
                <w:highlight w:val="none"/>
              </w:rPr>
            </w:pPr>
            <w:r>
              <w:rPr>
                <w:rFonts w:hint="eastAsia" w:ascii="仿宋" w:hAnsi="仿宋" w:eastAsia="仿宋"/>
                <w:sz w:val="24"/>
                <w:highlight w:val="none"/>
              </w:rPr>
              <w:t>（五）会员、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 xml:space="preserve">机构或者客户涉嫌违规、违约； </w:t>
            </w:r>
          </w:p>
          <w:p>
            <w:pPr>
              <w:ind w:firstLine="480"/>
              <w:rPr>
                <w:rFonts w:hint="eastAsia" w:ascii="仿宋" w:hAnsi="仿宋" w:eastAsia="仿宋"/>
                <w:sz w:val="24"/>
                <w:highlight w:val="none"/>
              </w:rPr>
            </w:pPr>
            <w:r>
              <w:rPr>
                <w:rFonts w:hint="eastAsia" w:ascii="仿宋" w:hAnsi="仿宋" w:eastAsia="仿宋"/>
                <w:sz w:val="24"/>
                <w:highlight w:val="none"/>
              </w:rPr>
              <w:t>（六）交易所接到涉及会员、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 xml:space="preserve">机构或者客户的投诉； </w:t>
            </w:r>
          </w:p>
          <w:p>
            <w:pPr>
              <w:ind w:firstLine="480"/>
              <w:rPr>
                <w:rFonts w:hint="eastAsia" w:ascii="仿宋" w:hAnsi="仿宋" w:eastAsia="仿宋"/>
                <w:sz w:val="24"/>
                <w:highlight w:val="none"/>
              </w:rPr>
            </w:pPr>
            <w:r>
              <w:rPr>
                <w:rFonts w:hint="eastAsia" w:ascii="仿宋" w:hAnsi="仿宋" w:eastAsia="仿宋"/>
                <w:sz w:val="24"/>
                <w:highlight w:val="none"/>
              </w:rPr>
              <w:t>（七）会员、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 xml:space="preserve">机构涉及执法调查； </w:t>
            </w:r>
          </w:p>
          <w:p>
            <w:pPr>
              <w:ind w:firstLine="480"/>
              <w:rPr>
                <w:rFonts w:hint="eastAsia" w:ascii="仿宋" w:hAnsi="仿宋" w:eastAsia="仿宋"/>
                <w:sz w:val="24"/>
                <w:highlight w:val="none"/>
              </w:rPr>
            </w:pPr>
            <w:r>
              <w:rPr>
                <w:rFonts w:hint="eastAsia" w:ascii="仿宋" w:hAnsi="仿宋" w:eastAsia="仿宋"/>
                <w:sz w:val="24"/>
                <w:highlight w:val="none"/>
              </w:rPr>
              <w:t>（八）交易所认定的其他情况。</w:t>
            </w:r>
          </w:p>
          <w:p>
            <w:pPr>
              <w:ind w:firstLine="480"/>
              <w:rPr>
                <w:rFonts w:hint="eastAsia" w:ascii="仿宋" w:hAnsi="仿宋" w:eastAsia="仿宋"/>
                <w:sz w:val="24"/>
                <w:highlight w:val="none"/>
              </w:rPr>
            </w:pPr>
            <w:r>
              <w:rPr>
                <w:rFonts w:hint="eastAsia" w:ascii="仿宋" w:hAnsi="仿宋" w:eastAsia="仿宋"/>
                <w:sz w:val="24"/>
                <w:highlight w:val="none"/>
              </w:rPr>
              <w:t>交易所通过电话提醒的，应当保留电话录音；通过视频谈话的，应当保留视频录像；通过当面谈话的，应当保存谈话记录。</w:t>
            </w:r>
          </w:p>
          <w:p>
            <w:pPr>
              <w:ind w:firstLine="480"/>
              <w:rPr>
                <w:rFonts w:hint="eastAsia" w:ascii="仿宋" w:hAnsi="仿宋" w:eastAsia="仿宋"/>
                <w:sz w:val="24"/>
                <w:highlight w:val="none"/>
              </w:rPr>
            </w:pPr>
            <w:r>
              <w:rPr>
                <w:rFonts w:hint="eastAsia" w:ascii="仿宋" w:hAnsi="仿宋" w:eastAsia="仿宋"/>
                <w:sz w:val="24"/>
                <w:highlight w:val="none"/>
              </w:rPr>
              <w:t>交易所实施谈话提醒的，会员、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机构或者客户应当按照交易所要求的时间、地点和方式认真履行。</w:t>
            </w:r>
          </w:p>
          <w:p>
            <w:pPr>
              <w:ind w:firstLine="480"/>
              <w:rPr>
                <w:rFonts w:ascii="仿宋" w:hAnsi="仿宋" w:eastAsia="仿宋" w:cs="Times New Roman"/>
                <w:sz w:val="24"/>
                <w:szCs w:val="24"/>
                <w:highlight w:val="none"/>
              </w:rPr>
            </w:pPr>
            <w:r>
              <w:rPr>
                <w:rFonts w:hint="eastAsia" w:ascii="仿宋" w:hAnsi="仿宋" w:eastAsia="仿宋"/>
                <w:sz w:val="24"/>
                <w:highlight w:val="none"/>
              </w:rPr>
              <w:t>交易所要求会员、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机构或者客户报告情况的，会员、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机构或者客户应当按照交易所要求的时间、内容和方式如实报告。</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会员、境外经纪机构或者客户有违规嫌疑、交易头寸有较大风险的，交易所可以对会员、境外经纪机构或者客户发出书面的风险提示函。</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第四十</w:t>
            </w:r>
            <w:r>
              <w:rPr>
                <w:rFonts w:hint="eastAsia" w:ascii="仿宋" w:hAnsi="仿宋" w:eastAsia="仿宋"/>
                <w:b/>
                <w:sz w:val="24"/>
                <w:highlight w:val="none"/>
                <w:lang w:val="en-US" w:eastAsia="zh-CN"/>
              </w:rPr>
              <w:t>八</w:t>
            </w:r>
            <w:r>
              <w:rPr>
                <w:rFonts w:hint="eastAsia" w:ascii="仿宋" w:hAnsi="仿宋" w:eastAsia="仿宋"/>
                <w:b/>
                <w:sz w:val="24"/>
                <w:highlight w:val="none"/>
              </w:rPr>
              <w:t>条</w:t>
            </w:r>
            <w:r>
              <w:rPr>
                <w:rFonts w:hint="eastAsia" w:ascii="仿宋" w:hAnsi="仿宋" w:eastAsia="仿宋"/>
                <w:sz w:val="24"/>
                <w:highlight w:val="none"/>
              </w:rPr>
              <w:t xml:space="preserve"> 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机构或者客户有违规嫌疑、交易头寸有较大风险的，交易所可以对会员、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机构或者客户发出书面的风险提示函。</w:t>
            </w:r>
          </w:p>
        </w:tc>
      </w:tr>
      <w:tr>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w:t>
            </w:r>
            <w:r>
              <w:rPr>
                <w:rFonts w:hint="eastAsia" w:ascii="仿宋" w:hAnsi="仿宋" w:eastAsia="仿宋"/>
                <w:b/>
                <w:sz w:val="24"/>
                <w:highlight w:val="none"/>
                <w:lang w:val="en-US" w:eastAsia="zh-CN"/>
              </w:rPr>
              <w:t>四十九</w:t>
            </w:r>
            <w:r>
              <w:rPr>
                <w:rFonts w:hint="eastAsia" w:ascii="仿宋" w:hAnsi="仿宋" w:eastAsia="仿宋"/>
                <w:b/>
                <w:sz w:val="24"/>
                <w:highlight w:val="none"/>
              </w:rPr>
              <w:t>条</w:t>
            </w:r>
            <w:r>
              <w:rPr>
                <w:rFonts w:hint="eastAsia" w:ascii="仿宋" w:hAnsi="仿宋" w:eastAsia="仿宋"/>
                <w:sz w:val="24"/>
                <w:highlight w:val="none"/>
              </w:rPr>
              <w:t xml:space="preserve"> 发生下列情形之一的，交易所可以向全体或者部分会员、境外经纪机构和客户发出风险提示函：</w:t>
            </w:r>
          </w:p>
          <w:p>
            <w:pPr>
              <w:ind w:firstLine="480"/>
              <w:rPr>
                <w:rFonts w:hint="eastAsia" w:ascii="仿宋" w:hAnsi="仿宋" w:eastAsia="仿宋"/>
                <w:sz w:val="24"/>
                <w:highlight w:val="none"/>
              </w:rPr>
            </w:pPr>
            <w:r>
              <w:rPr>
                <w:rFonts w:hint="eastAsia" w:ascii="仿宋" w:hAnsi="仿宋" w:eastAsia="仿宋"/>
                <w:sz w:val="24"/>
                <w:highlight w:val="none"/>
              </w:rPr>
              <w:t>（一）期货价格出现异常；</w:t>
            </w:r>
          </w:p>
          <w:p>
            <w:pPr>
              <w:ind w:firstLine="480"/>
              <w:rPr>
                <w:rFonts w:hint="eastAsia" w:ascii="仿宋" w:hAnsi="仿宋" w:eastAsia="仿宋"/>
                <w:sz w:val="24"/>
                <w:highlight w:val="none"/>
              </w:rPr>
            </w:pPr>
            <w:r>
              <w:rPr>
                <w:rFonts w:hint="eastAsia" w:ascii="仿宋" w:hAnsi="仿宋" w:eastAsia="仿宋"/>
                <w:sz w:val="24"/>
                <w:highlight w:val="none"/>
              </w:rPr>
              <w:t>（二）期货价格和现货价格出现较大差距；</w:t>
            </w:r>
          </w:p>
          <w:p>
            <w:pPr>
              <w:ind w:firstLine="480"/>
              <w:rPr>
                <w:rFonts w:hint="eastAsia" w:ascii="仿宋" w:hAnsi="仿宋" w:eastAsia="仿宋"/>
                <w:sz w:val="24"/>
                <w:highlight w:val="none"/>
              </w:rPr>
            </w:pPr>
            <w:r>
              <w:rPr>
                <w:rFonts w:hint="eastAsia" w:ascii="仿宋" w:hAnsi="仿宋" w:eastAsia="仿宋"/>
                <w:sz w:val="24"/>
                <w:highlight w:val="none"/>
              </w:rPr>
              <w:t>（三）国内期货价格和国际市场价格出现较大差距；</w:t>
            </w:r>
          </w:p>
          <w:p>
            <w:pPr>
              <w:ind w:firstLine="480"/>
              <w:rPr>
                <w:rFonts w:ascii="仿宋" w:hAnsi="仿宋" w:eastAsia="仿宋" w:cs="Times New Roman"/>
                <w:sz w:val="24"/>
                <w:szCs w:val="24"/>
                <w:highlight w:val="none"/>
              </w:rPr>
            </w:pPr>
            <w:r>
              <w:rPr>
                <w:rFonts w:hint="eastAsia" w:ascii="仿宋" w:hAnsi="仿宋" w:eastAsia="仿宋"/>
                <w:sz w:val="24"/>
                <w:highlight w:val="none"/>
              </w:rPr>
              <w:t>（四）交易所认定的其他异常情况。</w:t>
            </w:r>
          </w:p>
        </w:tc>
        <w:tc>
          <w:tcPr>
            <w:tcW w:w="4261"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w:t>
            </w:r>
            <w:r>
              <w:rPr>
                <w:rFonts w:hint="eastAsia" w:ascii="仿宋" w:hAnsi="仿宋" w:eastAsia="仿宋"/>
                <w:b/>
                <w:sz w:val="24"/>
                <w:highlight w:val="none"/>
                <w:lang w:val="en-US" w:eastAsia="zh-CN"/>
              </w:rPr>
              <w:t>四十九</w:t>
            </w:r>
            <w:r>
              <w:rPr>
                <w:rFonts w:hint="eastAsia" w:ascii="仿宋" w:hAnsi="仿宋" w:eastAsia="仿宋"/>
                <w:b/>
                <w:sz w:val="24"/>
                <w:highlight w:val="none"/>
              </w:rPr>
              <w:t>条</w:t>
            </w:r>
            <w:r>
              <w:rPr>
                <w:rFonts w:hint="eastAsia" w:ascii="仿宋" w:hAnsi="仿宋" w:eastAsia="仿宋"/>
                <w:sz w:val="24"/>
                <w:highlight w:val="none"/>
              </w:rPr>
              <w:t xml:space="preserve"> 发生下列情形之一的，交易所可以向全体或者部分会员、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机构和客户发出风险提示函：</w:t>
            </w:r>
          </w:p>
          <w:p>
            <w:pPr>
              <w:ind w:firstLine="480"/>
              <w:rPr>
                <w:rFonts w:hint="eastAsia" w:ascii="仿宋" w:hAnsi="仿宋" w:eastAsia="仿宋"/>
                <w:sz w:val="24"/>
                <w:highlight w:val="none"/>
              </w:rPr>
            </w:pPr>
            <w:r>
              <w:rPr>
                <w:rFonts w:hint="eastAsia" w:ascii="仿宋" w:hAnsi="仿宋" w:eastAsia="仿宋"/>
                <w:sz w:val="24"/>
                <w:highlight w:val="none"/>
              </w:rPr>
              <w:t>（一）期货价格出现异常；</w:t>
            </w:r>
          </w:p>
          <w:p>
            <w:pPr>
              <w:ind w:firstLine="480"/>
              <w:rPr>
                <w:rFonts w:hint="eastAsia" w:ascii="仿宋" w:hAnsi="仿宋" w:eastAsia="仿宋"/>
                <w:sz w:val="24"/>
                <w:highlight w:val="none"/>
              </w:rPr>
            </w:pPr>
            <w:r>
              <w:rPr>
                <w:rFonts w:hint="eastAsia" w:ascii="仿宋" w:hAnsi="仿宋" w:eastAsia="仿宋"/>
                <w:sz w:val="24"/>
                <w:highlight w:val="none"/>
              </w:rPr>
              <w:t>（二）期货价格和现货价格出现较大差距；</w:t>
            </w:r>
          </w:p>
          <w:p>
            <w:pPr>
              <w:ind w:firstLine="480"/>
              <w:rPr>
                <w:rFonts w:hint="eastAsia" w:ascii="仿宋" w:hAnsi="仿宋" w:eastAsia="仿宋"/>
                <w:sz w:val="24"/>
                <w:highlight w:val="none"/>
              </w:rPr>
            </w:pPr>
            <w:r>
              <w:rPr>
                <w:rFonts w:hint="eastAsia" w:ascii="仿宋" w:hAnsi="仿宋" w:eastAsia="仿宋"/>
                <w:sz w:val="24"/>
                <w:highlight w:val="none"/>
              </w:rPr>
              <w:t>（三）国内期货价格和国际市场价格出现较大差距；</w:t>
            </w:r>
          </w:p>
          <w:p>
            <w:pPr>
              <w:ind w:firstLine="480"/>
              <w:rPr>
                <w:rFonts w:ascii="仿宋" w:hAnsi="仿宋" w:eastAsia="仿宋" w:cs="Times New Roman"/>
                <w:sz w:val="24"/>
                <w:szCs w:val="24"/>
                <w:highlight w:val="none"/>
              </w:rPr>
            </w:pPr>
            <w:r>
              <w:rPr>
                <w:rFonts w:hint="eastAsia" w:ascii="仿宋" w:hAnsi="仿宋" w:eastAsia="仿宋"/>
                <w:sz w:val="24"/>
                <w:highlight w:val="none"/>
              </w:rPr>
              <w:t>（四）交易所认定的其他异常情况。</w:t>
            </w:r>
          </w:p>
        </w:tc>
      </w:tr>
    </w:tbl>
    <w:p>
      <w:pPr>
        <w:rPr>
          <w:rFonts w:hint="default" w:ascii="黑体" w:hAnsi="黑体" w:eastAsia="黑体" w:cs="黑体"/>
          <w:sz w:val="32"/>
          <w:szCs w:val="32"/>
          <w:highlight w:val="none"/>
          <w:lang w:val="en-US" w:eastAsia="zh-CN"/>
        </w:rPr>
        <w:sectPr>
          <w:pgSz w:w="11906" w:h="16838"/>
          <w:pgMar w:top="1440" w:right="1800" w:bottom="1440" w:left="1800" w:header="851" w:footer="992" w:gutter="0"/>
          <w:cols w:space="720" w:num="1"/>
          <w:docGrid w:type="lines" w:linePitch="312" w:charSpace="0"/>
        </w:sectPr>
      </w:pPr>
    </w:p>
    <w:p>
      <w:pPr>
        <w:widowControl/>
        <w:spacing w:line="360" w:lineRule="auto"/>
        <w:jc w:val="center"/>
        <w:outlineLvl w:val="3"/>
        <w:rPr>
          <w:rFonts w:ascii="宋体" w:hAnsi="宋体"/>
          <w:b/>
          <w:sz w:val="44"/>
          <w:szCs w:val="36"/>
          <w:highlight w:val="none"/>
        </w:rPr>
      </w:pPr>
      <w:bookmarkStart w:id="37" w:name="_Toc1170"/>
      <w:r>
        <w:rPr>
          <w:rFonts w:hint="eastAsia" w:ascii="宋体" w:hAnsi="宋体"/>
          <w:b/>
          <w:sz w:val="44"/>
          <w:szCs w:val="36"/>
          <w:highlight w:val="none"/>
        </w:rPr>
        <w:t>郑州商品交易所期货交易风险控制</w:t>
      </w:r>
    </w:p>
    <w:p>
      <w:pPr>
        <w:widowControl/>
        <w:spacing w:line="360" w:lineRule="auto"/>
        <w:jc w:val="center"/>
        <w:outlineLvl w:val="3"/>
        <w:rPr>
          <w:rFonts w:ascii="宋体" w:hAnsi="宋体"/>
          <w:b/>
          <w:sz w:val="44"/>
          <w:szCs w:val="36"/>
          <w:highlight w:val="none"/>
        </w:rPr>
      </w:pPr>
      <w:r>
        <w:rPr>
          <w:rFonts w:hint="eastAsia" w:ascii="宋体" w:hAnsi="宋体"/>
          <w:b/>
          <w:sz w:val="44"/>
          <w:szCs w:val="36"/>
          <w:highlight w:val="none"/>
        </w:rPr>
        <w:t>管理办法</w:t>
      </w:r>
    </w:p>
    <w:p>
      <w:pPr>
        <w:spacing w:before="240" w:after="240"/>
        <w:rPr>
          <w:rFonts w:ascii="楷体" w:hAnsi="楷体" w:eastAsia="楷体" w:cs="Times New Roman"/>
          <w:b/>
          <w:sz w:val="24"/>
          <w:szCs w:val="24"/>
          <w:highlight w:val="none"/>
        </w:rPr>
      </w:pPr>
      <w:r>
        <w:rPr>
          <w:rFonts w:hint="eastAsia" w:ascii="宋体" w:hAnsi="宋体"/>
          <w:sz w:val="24"/>
          <w:highlight w:val="none"/>
        </w:rPr>
        <w:t>（2026年4月7日郑州商品交易所第八届理事会第三十四次会议审议通过，2026年</w:t>
      </w:r>
      <w:r>
        <w:rPr>
          <w:rFonts w:hint="default" w:ascii="宋体" w:hAnsi="宋体"/>
          <w:sz w:val="24"/>
          <w:highlight w:val="none"/>
          <w:lang w:val="en-US"/>
        </w:rPr>
        <w:t>5</w:t>
      </w:r>
      <w:r>
        <w:rPr>
          <w:rFonts w:hint="eastAsia" w:ascii="宋体" w:hAnsi="宋体"/>
          <w:sz w:val="24"/>
          <w:highlight w:val="none"/>
        </w:rPr>
        <w:t>月</w:t>
      </w:r>
      <w:r>
        <w:rPr>
          <w:rFonts w:hint="default" w:ascii="宋体" w:hAnsi="宋体"/>
          <w:sz w:val="24"/>
          <w:highlight w:val="none"/>
          <w:lang w:val="en-US"/>
        </w:rPr>
        <w:t>7</w:t>
      </w:r>
      <w:r>
        <w:rPr>
          <w:rFonts w:hint="eastAsia" w:ascii="宋体" w:hAnsi="宋体"/>
          <w:sz w:val="24"/>
          <w:highlight w:val="none"/>
        </w:rPr>
        <w:t>日〔2026〕</w:t>
      </w:r>
      <w:r>
        <w:rPr>
          <w:rFonts w:hint="eastAsia" w:ascii="宋体" w:hAnsi="宋体"/>
          <w:sz w:val="24"/>
          <w:highlight w:val="none"/>
          <w:lang w:eastAsia="zh-CN"/>
        </w:rPr>
        <w:t>68号</w:t>
      </w:r>
      <w:r>
        <w:rPr>
          <w:rFonts w:hint="eastAsia" w:ascii="宋体" w:hAnsi="宋体"/>
          <w:sz w:val="24"/>
          <w:highlight w:val="none"/>
        </w:rPr>
        <w:t>公告发布，自发布之日起实施）</w:t>
      </w:r>
    </w:p>
    <w:p>
      <w:pPr>
        <w:pStyle w:val="15"/>
        <w:widowControl/>
        <w:numPr>
          <w:ilvl w:val="0"/>
          <w:numId w:val="14"/>
        </w:numPr>
        <w:spacing w:after="240" w:line="360" w:lineRule="auto"/>
        <w:ind w:firstLineChars="0"/>
        <w:jc w:val="center"/>
        <w:outlineLvl w:val="1"/>
        <w:rPr>
          <w:rFonts w:ascii="宋体" w:hAnsi="宋体" w:eastAsia="黑体" w:cs="宋体"/>
          <w:sz w:val="32"/>
          <w:szCs w:val="28"/>
          <w:highlight w:val="none"/>
        </w:rPr>
      </w:pPr>
      <w:r>
        <w:rPr>
          <w:rFonts w:hint="eastAsia" w:ascii="宋体" w:hAnsi="宋体" w:eastAsia="黑体" w:cs="宋体"/>
          <w:sz w:val="32"/>
          <w:szCs w:val="28"/>
          <w:highlight w:val="none"/>
        </w:rPr>
        <w:t>总 则</w:t>
      </w:r>
    </w:p>
    <w:p>
      <w:pPr>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第一条 </w:t>
      </w:r>
      <w:r>
        <w:rPr>
          <w:rFonts w:hint="eastAsia" w:ascii="宋体" w:hAnsi="宋体" w:cs="宋体"/>
          <w:kern w:val="0"/>
          <w:sz w:val="28"/>
          <w:szCs w:val="28"/>
          <w:highlight w:val="none"/>
        </w:rPr>
        <w:t>为加强期货交易风险管理，维护期货交易当事人的合法权益，保证郑州商品交易所（以下简称交易所）期货交易的正常进行，根据《郑州商品交易所交易规则》，制定本办法。</w:t>
      </w:r>
    </w:p>
    <w:p>
      <w:pPr>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第二条 </w:t>
      </w:r>
      <w:r>
        <w:rPr>
          <w:rFonts w:hint="eastAsia" w:ascii="宋体" w:hAnsi="宋体" w:cs="宋体"/>
          <w:kern w:val="0"/>
          <w:sz w:val="28"/>
          <w:szCs w:val="28"/>
          <w:highlight w:val="none"/>
        </w:rPr>
        <w:t>期货交易风险管理实行保证金制度、涨跌停板制度、限仓制度、交易限额制度、大户报告制度、强行平仓制度、风险警示制度。</w:t>
      </w:r>
    </w:p>
    <w:p>
      <w:pPr>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第三条 </w:t>
      </w:r>
      <w:r>
        <w:rPr>
          <w:rFonts w:hint="eastAsia" w:ascii="宋体" w:hAnsi="宋体" w:cs="宋体"/>
          <w:kern w:val="0"/>
          <w:sz w:val="28"/>
          <w:szCs w:val="28"/>
          <w:highlight w:val="none"/>
        </w:rPr>
        <w:t>交易所、会员、境外特殊参与者、境外</w:t>
      </w:r>
      <w:r>
        <w:rPr>
          <w:rFonts w:hint="eastAsia" w:ascii="宋体" w:hAnsi="宋体" w:cs="宋体"/>
          <w:kern w:val="0"/>
          <w:sz w:val="28"/>
          <w:szCs w:val="28"/>
          <w:highlight w:val="none"/>
          <w:lang w:val="en-US" w:eastAsia="zh-CN"/>
        </w:rPr>
        <w:t>中介</w:t>
      </w:r>
      <w:r>
        <w:rPr>
          <w:rFonts w:hint="eastAsia" w:ascii="宋体" w:hAnsi="宋体" w:cs="宋体"/>
          <w:kern w:val="0"/>
          <w:sz w:val="28"/>
          <w:szCs w:val="28"/>
          <w:highlight w:val="none"/>
        </w:rPr>
        <w:t>机构和客户应当遵守本办法。境外特殊经纪参与者和境外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机构应当辅助其委托交易结算的期货公司会员做好境外客户的强行平仓、大户报告、风险提示等工作。期货公司会员应当将涉及境外特殊经纪参与者</w:t>
      </w:r>
      <w:r>
        <w:rPr>
          <w:rFonts w:hint="eastAsia" w:ascii="宋体" w:hAnsi="宋体" w:cs="宋体"/>
          <w:kern w:val="0"/>
          <w:sz w:val="28"/>
          <w:szCs w:val="28"/>
          <w:highlight w:val="none"/>
          <w:lang w:eastAsia="zh-CN"/>
        </w:rPr>
        <w:t>的客户</w:t>
      </w:r>
      <w:r>
        <w:rPr>
          <w:rFonts w:hint="eastAsia" w:ascii="宋体" w:hAnsi="宋体" w:cs="宋体"/>
          <w:kern w:val="0"/>
          <w:sz w:val="28"/>
          <w:szCs w:val="28"/>
          <w:highlight w:val="none"/>
        </w:rPr>
        <w:t>和境外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w:t>
      </w:r>
      <w:r>
        <w:rPr>
          <w:rFonts w:hint="eastAsia" w:ascii="宋体" w:hAnsi="宋体" w:cs="宋体"/>
          <w:kern w:val="0"/>
          <w:sz w:val="28"/>
          <w:szCs w:val="28"/>
          <w:highlight w:val="none"/>
          <w:lang w:eastAsia="zh-CN"/>
        </w:rPr>
        <w:t>的</w:t>
      </w:r>
      <w:r>
        <w:rPr>
          <w:rFonts w:hint="eastAsia" w:ascii="宋体" w:hAnsi="宋体" w:cs="宋体"/>
          <w:kern w:val="0"/>
          <w:sz w:val="28"/>
          <w:szCs w:val="28"/>
          <w:highlight w:val="none"/>
        </w:rPr>
        <w:t>客户的《强行平仓通知书》、强行平仓结果、风险提示函等及时通知境外特殊经纪参与者和境外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w:t>
      </w:r>
    </w:p>
    <w:p>
      <w:pPr>
        <w:pStyle w:val="15"/>
        <w:widowControl/>
        <w:numPr>
          <w:ilvl w:val="0"/>
          <w:numId w:val="14"/>
        </w:numPr>
        <w:spacing w:line="360" w:lineRule="auto"/>
        <w:ind w:firstLineChars="0"/>
        <w:jc w:val="center"/>
        <w:outlineLvl w:val="1"/>
        <w:rPr>
          <w:rFonts w:ascii="宋体" w:hAnsi="宋体" w:eastAsia="黑体" w:cs="宋体"/>
          <w:kern w:val="0"/>
          <w:sz w:val="32"/>
          <w:szCs w:val="28"/>
          <w:highlight w:val="none"/>
        </w:rPr>
      </w:pPr>
      <w:bookmarkStart w:id="38" w:name="_Toc392878608"/>
      <w:r>
        <w:rPr>
          <w:rFonts w:hint="eastAsia" w:ascii="宋体" w:hAnsi="宋体" w:eastAsia="黑体" w:cs="宋体"/>
          <w:sz w:val="32"/>
          <w:szCs w:val="28"/>
          <w:highlight w:val="none"/>
        </w:rPr>
        <w:t>保证金制度</w:t>
      </w:r>
      <w:bookmarkEnd w:id="38"/>
    </w:p>
    <w:p>
      <w:pPr>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第四条 </w:t>
      </w:r>
      <w:r>
        <w:rPr>
          <w:rFonts w:hint="eastAsia" w:ascii="宋体" w:hAnsi="宋体" w:cs="宋体"/>
          <w:kern w:val="0"/>
          <w:sz w:val="28"/>
          <w:szCs w:val="28"/>
          <w:highlight w:val="none"/>
        </w:rPr>
        <w:t>期货交易实行保证金制度。</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各品种期货合约的最低交易保证金标准，以及不同交易时间段执行的交易保证金标准见相关品种期货业务细则。</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第五条 </w:t>
      </w:r>
      <w:r>
        <w:rPr>
          <w:rFonts w:hint="eastAsia" w:ascii="宋体" w:hAnsi="宋体" w:cs="宋体"/>
          <w:kern w:val="0"/>
          <w:sz w:val="28"/>
          <w:szCs w:val="28"/>
          <w:highlight w:val="none"/>
        </w:rPr>
        <w:t>交易过程中，当日开仓按照该期货合约前一交易日结算价收取相应标准的交易保证金。当日结算时，该期货合约的所有持仓按照当日结算价收取相应标准的交易保证金。</w:t>
      </w:r>
    </w:p>
    <w:p>
      <w:pPr>
        <w:tabs>
          <w:tab w:val="left" w:pos="1260"/>
          <w:tab w:val="left" w:pos="1620"/>
          <w:tab w:val="left" w:pos="2100"/>
          <w:tab w:val="left" w:pos="5040"/>
        </w:tabs>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第六条 </w:t>
      </w:r>
      <w:r>
        <w:rPr>
          <w:rFonts w:hint="eastAsia" w:ascii="宋体" w:hAnsi="宋体" w:cs="宋体"/>
          <w:kern w:val="0"/>
          <w:sz w:val="28"/>
          <w:szCs w:val="28"/>
          <w:highlight w:val="none"/>
        </w:rPr>
        <w:t>某期货合约所处期间符合调整交易保证金要求的，自该期间首日的前一交易日闭市起，该期货合约的所有持仓按照新的交易保证金标准收取相应的交易保证金。</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第七条 </w:t>
      </w:r>
      <w:r>
        <w:rPr>
          <w:rFonts w:hint="eastAsia" w:ascii="宋体" w:hAnsi="宋体" w:cs="宋体"/>
          <w:kern w:val="0"/>
          <w:sz w:val="28"/>
          <w:szCs w:val="28"/>
          <w:highlight w:val="none"/>
        </w:rPr>
        <w:t>某期货合约按结算价计算的价格变化，连续四个交易日（即D1、D2、D3、D4交易日）累计涨(跌)幅（N）达到期货合约规定涨(跌)幅的3倍或者连续五个交易日（即D1、D2、D3、D4、D5交易日）累计涨(跌)幅（N）达到期货合约规定涨(跌)幅的3.5倍的，交易所有权提高交易保证金标准；提高交易保证金标准的幅度不高于期货合约当时适用的交易保证金标准的3倍。</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N的计算公式如下：</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N＝(P</w:t>
      </w:r>
      <w:r>
        <w:rPr>
          <w:rFonts w:hint="eastAsia" w:ascii="宋体" w:hAnsi="宋体" w:cs="宋体"/>
          <w:kern w:val="0"/>
          <w:sz w:val="28"/>
          <w:szCs w:val="28"/>
          <w:highlight w:val="none"/>
          <w:vertAlign w:val="subscript"/>
        </w:rPr>
        <w:t>t</w:t>
      </w:r>
      <w:r>
        <w:rPr>
          <w:rFonts w:hint="eastAsia" w:ascii="宋体" w:hAnsi="宋体" w:cs="宋体"/>
          <w:kern w:val="0"/>
          <w:sz w:val="28"/>
          <w:szCs w:val="28"/>
          <w:highlight w:val="none"/>
        </w:rPr>
        <w:t>—P</w:t>
      </w:r>
      <w:r>
        <w:rPr>
          <w:rFonts w:hint="eastAsia" w:ascii="宋体" w:hAnsi="宋体" w:cs="宋体"/>
          <w:kern w:val="0"/>
          <w:sz w:val="28"/>
          <w:szCs w:val="28"/>
          <w:highlight w:val="none"/>
          <w:vertAlign w:val="subscript"/>
        </w:rPr>
        <w:t>0</w:t>
      </w:r>
      <w:r>
        <w:rPr>
          <w:rFonts w:hint="eastAsia" w:ascii="宋体" w:hAnsi="宋体" w:cs="宋体"/>
          <w:kern w:val="0"/>
          <w:sz w:val="28"/>
          <w:szCs w:val="28"/>
          <w:highlight w:val="none"/>
        </w:rPr>
        <w:t>)/P</w:t>
      </w:r>
      <w:r>
        <w:rPr>
          <w:rFonts w:hint="eastAsia" w:ascii="宋体" w:hAnsi="宋体" w:cs="宋体"/>
          <w:kern w:val="0"/>
          <w:sz w:val="28"/>
          <w:szCs w:val="28"/>
          <w:highlight w:val="none"/>
          <w:vertAlign w:val="subscript"/>
        </w:rPr>
        <w:t>0</w:t>
      </w:r>
      <w:r>
        <w:rPr>
          <w:rFonts w:hint="eastAsia" w:ascii="宋体" w:hAnsi="宋体" w:cs="宋体"/>
          <w:kern w:val="0"/>
          <w:sz w:val="28"/>
          <w:szCs w:val="28"/>
          <w:highlight w:val="none"/>
        </w:rPr>
        <w:t>×100%   t=4，5</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P</w:t>
      </w:r>
      <w:r>
        <w:rPr>
          <w:rFonts w:hint="eastAsia" w:ascii="宋体" w:hAnsi="宋体" w:cs="宋体"/>
          <w:kern w:val="0"/>
          <w:sz w:val="28"/>
          <w:szCs w:val="28"/>
          <w:highlight w:val="none"/>
          <w:vertAlign w:val="subscript"/>
        </w:rPr>
        <w:t>0</w:t>
      </w:r>
      <w:r>
        <w:rPr>
          <w:rFonts w:hint="eastAsia" w:ascii="宋体" w:hAnsi="宋体" w:cs="宋体"/>
          <w:kern w:val="0"/>
          <w:sz w:val="28"/>
          <w:szCs w:val="28"/>
          <w:highlight w:val="none"/>
        </w:rPr>
        <w:t>为D1交易日前一交易日结算价</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P</w:t>
      </w:r>
      <w:r>
        <w:rPr>
          <w:rFonts w:hint="eastAsia" w:ascii="宋体" w:hAnsi="宋体" w:cs="宋体"/>
          <w:kern w:val="0"/>
          <w:sz w:val="28"/>
          <w:szCs w:val="28"/>
          <w:highlight w:val="none"/>
          <w:vertAlign w:val="subscript"/>
        </w:rPr>
        <w:t>t</w:t>
      </w:r>
      <w:r>
        <w:rPr>
          <w:rFonts w:hint="eastAsia" w:ascii="宋体" w:hAnsi="宋体" w:cs="宋体"/>
          <w:kern w:val="0"/>
          <w:sz w:val="28"/>
          <w:szCs w:val="28"/>
          <w:highlight w:val="none"/>
        </w:rPr>
        <w:t>为t交易日结算价，t=4，5</w:t>
      </w:r>
    </w:p>
    <w:p>
      <w:pPr>
        <w:snapToGrid w:val="0"/>
        <w:spacing w:line="360" w:lineRule="auto"/>
        <w:ind w:firstLine="554" w:firstLineChars="198"/>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第八条 </w:t>
      </w:r>
      <w:r>
        <w:rPr>
          <w:rFonts w:hint="eastAsia" w:ascii="宋体" w:hAnsi="宋体" w:cs="宋体"/>
          <w:kern w:val="0"/>
          <w:sz w:val="28"/>
          <w:szCs w:val="28"/>
          <w:highlight w:val="none"/>
        </w:rPr>
        <w:t>遇法定节假日休市时间较长的，交易所可以在休市前调整期货合约交易保证金标准和涨跌停板幅度。</w:t>
      </w:r>
    </w:p>
    <w:p>
      <w:pPr>
        <w:snapToGrid w:val="0"/>
        <w:spacing w:line="360" w:lineRule="auto"/>
        <w:ind w:firstLine="554" w:firstLineChars="198"/>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第九条 </w:t>
      </w:r>
      <w:r>
        <w:rPr>
          <w:rFonts w:hint="eastAsia" w:ascii="宋体" w:hAnsi="宋体" w:cs="宋体"/>
          <w:kern w:val="0"/>
          <w:sz w:val="28"/>
          <w:szCs w:val="28"/>
          <w:highlight w:val="none"/>
        </w:rPr>
        <w:t>某期货合约市场风险明显增大时，交易所可根据某期货合约市场风险情况采取下列措施：</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（一）对全部或者部分会员、境外特殊参与者、境外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机构、客户限制出入金；</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（二）对全部或者部分非期货公司会员、境外特殊非经纪参与者、客户限制开平仓；</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（三）调整该期货合约交易保证金标准；</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（四）调整该期货合约涨跌停板幅度。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当某期货合约市场行情趋于平缓时，交易所可以将上述措施恢复到正常水平。</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交易所调整交易保证金标准或者涨跌停板幅度的，应予公告，并报中国证监会备案。</w:t>
      </w:r>
    </w:p>
    <w:p>
      <w:pPr>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第十条 </w:t>
      </w:r>
      <w:r>
        <w:rPr>
          <w:rFonts w:hint="eastAsia" w:ascii="宋体" w:hAnsi="宋体" w:cs="宋体"/>
          <w:kern w:val="0"/>
          <w:sz w:val="28"/>
          <w:szCs w:val="28"/>
          <w:highlight w:val="none"/>
        </w:rPr>
        <w:t>同时适用本办法规定的两种或者两种以上有关调整交易保证金标准的期货合约，其交易保证金标准按照最高值收取。</w:t>
      </w:r>
    </w:p>
    <w:p>
      <w:pPr>
        <w:pStyle w:val="15"/>
        <w:widowControl/>
        <w:numPr>
          <w:ilvl w:val="0"/>
          <w:numId w:val="14"/>
        </w:numPr>
        <w:spacing w:line="360" w:lineRule="auto"/>
        <w:ind w:firstLineChars="0"/>
        <w:jc w:val="center"/>
        <w:outlineLvl w:val="1"/>
        <w:rPr>
          <w:rFonts w:ascii="宋体" w:hAnsi="宋体" w:eastAsia="黑体" w:cs="宋体"/>
          <w:kern w:val="0"/>
          <w:sz w:val="32"/>
          <w:szCs w:val="28"/>
          <w:highlight w:val="none"/>
        </w:rPr>
      </w:pPr>
      <w:bookmarkStart w:id="39" w:name="_Toc392878609"/>
      <w:r>
        <w:rPr>
          <w:rFonts w:hint="eastAsia" w:ascii="宋体" w:hAnsi="宋体" w:eastAsia="黑体" w:cs="宋体"/>
          <w:sz w:val="32"/>
          <w:szCs w:val="28"/>
          <w:highlight w:val="none"/>
        </w:rPr>
        <w:t>涨跌停板制度</w:t>
      </w:r>
      <w:bookmarkEnd w:id="39"/>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第十一条 </w:t>
      </w:r>
      <w:r>
        <w:rPr>
          <w:rFonts w:hint="eastAsia" w:ascii="宋体" w:hAnsi="宋体" w:cs="宋体"/>
          <w:kern w:val="0"/>
          <w:sz w:val="28"/>
          <w:szCs w:val="28"/>
          <w:highlight w:val="none"/>
        </w:rPr>
        <w:t>期货交易实行价格涨跌停板制度，由交易所规定各上市期货合约的每日最大价格波动幅度。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对同时满足本办法有关调整涨跌停板幅度规定的合约，其涨跌停板幅度按照规定涨跌停板幅度数值中的较大值确定。</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第十二条 </w:t>
      </w:r>
      <w:r>
        <w:rPr>
          <w:rFonts w:hint="eastAsia" w:ascii="宋体" w:hAnsi="宋体" w:cs="宋体"/>
          <w:kern w:val="0"/>
          <w:sz w:val="28"/>
          <w:szCs w:val="28"/>
          <w:highlight w:val="none"/>
        </w:rPr>
        <w:t>各品种期货合约的每日涨跌停板幅度见相关品种期货业务细则。</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第十三条 </w:t>
      </w:r>
      <w:r>
        <w:rPr>
          <w:rFonts w:hint="eastAsia" w:ascii="宋体" w:hAnsi="宋体" w:cs="宋体"/>
          <w:kern w:val="0"/>
          <w:sz w:val="28"/>
          <w:szCs w:val="28"/>
          <w:highlight w:val="none"/>
        </w:rPr>
        <w:t>新期货合约上市当日至成交首日，涨跌停板幅度为期货合约实际执行的涨跌停板幅度的2倍。</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新期货合约成交首日的下一交易日，涨跌停板幅度恢复为期货合约实际执行的涨跌停板幅度。</w:t>
      </w:r>
    </w:p>
    <w:p>
      <w:pPr>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第十四条 </w:t>
      </w:r>
      <w:r>
        <w:rPr>
          <w:rFonts w:hint="eastAsia" w:ascii="宋体" w:hAnsi="宋体" w:cs="宋体"/>
          <w:kern w:val="0"/>
          <w:sz w:val="28"/>
          <w:szCs w:val="28"/>
          <w:highlight w:val="none"/>
        </w:rPr>
        <w:t>某期货合约以涨跌停板价格成交的，成交撮合原则为平仓优先和时间优先。</w:t>
      </w:r>
    </w:p>
    <w:p>
      <w:pPr>
        <w:tabs>
          <w:tab w:val="left" w:pos="1854"/>
          <w:tab w:val="left" w:pos="2100"/>
        </w:tabs>
        <w:snapToGrid w:val="0"/>
        <w:spacing w:line="360" w:lineRule="auto"/>
        <w:ind w:firstLine="560" w:firstLineChars="200"/>
        <w:rPr>
          <w:rFonts w:ascii="宋体" w:hAnsi="宋体" w:cs="宋体"/>
          <w:kern w:val="0"/>
          <w:sz w:val="28"/>
          <w:szCs w:val="28"/>
          <w:highlight w:val="none"/>
        </w:rPr>
      </w:pPr>
      <w:r>
        <w:rPr>
          <w:rFonts w:hint="eastAsia" w:ascii="黑体" w:hAnsi="宋体" w:eastAsia="黑体" w:cs="黑体"/>
          <w:sz w:val="28"/>
          <w:szCs w:val="28"/>
          <w:highlight w:val="none"/>
        </w:rPr>
        <w:t xml:space="preserve">第十五条 </w:t>
      </w:r>
      <w:r>
        <w:rPr>
          <w:rFonts w:hint="eastAsia" w:ascii="宋体" w:hAnsi="宋体" w:cs="宋体"/>
          <w:kern w:val="0"/>
          <w:sz w:val="28"/>
          <w:szCs w:val="28"/>
          <w:highlight w:val="none"/>
        </w:rPr>
        <w:t>某期货合约在某一交易日收盘前5分钟内出现只有停板价位的买入(卖出)申报、没有停板价位的卖出(买入)申报，或者一有卖出(买入)申报就成交、但未打开停板价位的情况，称为涨（跌）停板单方无报价（以下简称单边市）。</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第十六条 </w:t>
      </w:r>
      <w:r>
        <w:rPr>
          <w:rFonts w:hint="eastAsia" w:ascii="宋体" w:hAnsi="宋体" w:cs="宋体"/>
          <w:kern w:val="0"/>
          <w:sz w:val="28"/>
          <w:szCs w:val="28"/>
          <w:highlight w:val="none"/>
        </w:rPr>
        <w:t>某期货合约在某一交易日（该交易日称为D1交易日，以下几个交易日分别称为D2、D3、D4、D5交易日）出现单边市的，D2交易日该期货合约的涨跌停板幅度为在D1交易日涨跌停板幅度的基础上增加3个百分点；D1交易日结算时和D2交易日该期货合约交易保证金标准为在D2交易日涨跌停板幅度的基础上增加2个百分点。若该合约调整后的交易保证金标准低于D1交易日执行的交易保证金标准，则按D1交易日该合约执行的交易保证金标准收取。</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D2交易日该期货合约未出现同方向单边市的，当日结算时交易保证金标准恢复到正常水平；D3交易日涨跌停板幅度恢复到正常水平。D2交易日出现同方向单边市的，D3交易日该期货合约的涨跌停板幅度为在D2交易日涨跌停板幅度的基础上增加3个百分点；D2交易日结算时和D3交易日该期货合约交易保证金标准为在D3交易日涨跌停板幅度的基础上增加2个百分点。若该合约调整后的交易保证金标准低于D2交易日执行的交易保证金标准，则按D2交易日该合约执行的交易保证金标准收取。</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D3交易日该期货合约未出现同方向单边市的，当日结算时交易保证金标准恢复到正常水平；D4交易日涨跌停板幅度恢复到正常水平。D3交易日该期货合约仍出现同方向单边市的（即连续三个交易日出现同方向单边市），交易所可根据市场情况决定并公告，对该合约实施下列三种措施中的任意一种：</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措施一：D4交易日继续交易，交易所可以采取调整交易保证金标准、调整涨跌停板幅度、暂停开仓、暂停平仓、限制出金、限期平仓及其他风险控制措施。</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措施二：D4交易日暂停交易一天，交易所在D5交易日可以采取调整交易保证金标准、调整涨跌停板幅度、暂停开仓、暂停平仓、限制出金、限期平仓及其他风险控制措施。</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措施三：D4交易日暂停交易一天，交易所在D4交易日强制减仓。强制减仓后，从下一交易日（含该日）开始，该期货合约交易保证金标准和涨跌停板幅度按照D3交易日的标准执行，直至该期货合约不再出现同方向单边市。</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第十七条 </w:t>
      </w:r>
      <w:r>
        <w:rPr>
          <w:rFonts w:hint="eastAsia" w:ascii="宋体" w:hAnsi="宋体" w:cs="宋体"/>
          <w:kern w:val="0"/>
          <w:sz w:val="28"/>
          <w:szCs w:val="28"/>
          <w:highlight w:val="none"/>
        </w:rPr>
        <w:t>当D2及以后交易日出现与前一交易日反方向涨跌停板单边市，则视作新一轮单边市开始，该日即视为D1交易日，下一交易日涨跌停板幅度和交易保证金标准参照第十六条执行。</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第十八条 </w:t>
      </w:r>
      <w:r>
        <w:rPr>
          <w:rFonts w:hint="eastAsia" w:ascii="宋体" w:hAnsi="宋体" w:cs="宋体"/>
          <w:kern w:val="0"/>
          <w:sz w:val="28"/>
          <w:szCs w:val="28"/>
          <w:highlight w:val="none"/>
        </w:rPr>
        <w:t>强制减仓是指D4交易日结算时，交易所将D3交易日闭市时以涨跌停板价申报的未成交平仓报单，且该客户（</w:t>
      </w:r>
      <w:r>
        <w:rPr>
          <w:rFonts w:hint="eastAsia" w:ascii="宋体" w:hAnsi="宋体" w:cs="宋体"/>
          <w:kern w:val="0"/>
          <w:sz w:val="28"/>
          <w:szCs w:val="28"/>
          <w:highlight w:val="none"/>
          <w:lang w:eastAsia="zh-CN"/>
        </w:rPr>
        <w:t>或者</w:t>
      </w:r>
      <w:r>
        <w:rPr>
          <w:rFonts w:hint="eastAsia" w:ascii="宋体" w:hAnsi="宋体" w:cs="宋体"/>
          <w:kern w:val="0"/>
          <w:sz w:val="28"/>
          <w:szCs w:val="28"/>
          <w:highlight w:val="none"/>
        </w:rPr>
        <w:t>非期货公司会员和境外特殊非经纪参与者，下同）该期货合约单位持仓亏损大于或者等于D3交易日结算价一定比例(该期货合约规定的最低交易保证金标准)的所有持仓，以D3交易日涨跌停板价，与该期货合约盈利持仓按规定方式和方法自动撮合成交。</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强制减仓前，同一客户在该期货合约的双向持仓首先自动对冲。强制减仓造成的经济损失由会员、境外特殊参与者、境外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机构及客户承担。</w:t>
      </w:r>
    </w:p>
    <w:p>
      <w:pPr>
        <w:widowControl/>
        <w:spacing w:line="360" w:lineRule="auto"/>
        <w:ind w:firstLine="560" w:firstLineChars="200"/>
        <w:outlineLvl w:val="3"/>
        <w:rPr>
          <w:rFonts w:ascii="宋体" w:hAnsi="宋体" w:cs="宋体"/>
          <w:b/>
          <w:bCs/>
          <w:kern w:val="0"/>
          <w:sz w:val="28"/>
          <w:szCs w:val="28"/>
          <w:highlight w:val="none"/>
        </w:rPr>
      </w:pPr>
      <w:r>
        <w:rPr>
          <w:rFonts w:hint="eastAsia" w:ascii="宋体" w:hAnsi="宋体" w:eastAsia="黑体" w:cs="宋体"/>
          <w:kern w:val="0"/>
          <w:sz w:val="28"/>
          <w:szCs w:val="28"/>
          <w:highlight w:val="none"/>
        </w:rPr>
        <w:t xml:space="preserve">第十九条 </w:t>
      </w:r>
      <w:r>
        <w:rPr>
          <w:rFonts w:hint="eastAsia" w:ascii="宋体" w:hAnsi="宋体" w:cs="宋体"/>
          <w:kern w:val="0"/>
          <w:sz w:val="28"/>
          <w:szCs w:val="28"/>
          <w:highlight w:val="none"/>
        </w:rPr>
        <w:t>强制减仓的方法和程序：</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（一）申报数量的确定</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D3交易日收市后，已在计算机系统中以涨（跌）停板价申报但没有成交的，且该客户该期货合约的单位持仓亏损大于或者等于D3交易日结算价一定比例(该期货合约规定的最低交易保证金标准)的所有申报平仓数量的总和。因自动对冲客户双向持仓造成客户持仓少于平仓单所报数量时，系统自动将平仓数量进行调整。客户不愿按上述方法平仓的，可在收市前撤单，不作为申报的平仓报单。</w:t>
      </w:r>
    </w:p>
    <w:p>
      <w:pPr>
        <w:widowControl/>
        <w:spacing w:line="360" w:lineRule="auto"/>
        <w:ind w:firstLine="420" w:firstLineChars="200"/>
        <w:outlineLvl w:val="3"/>
        <w:rPr>
          <w:rFonts w:ascii="宋体" w:hAnsi="宋体" w:cs="宋体"/>
          <w:kern w:val="0"/>
          <w:sz w:val="28"/>
          <w:szCs w:val="28"/>
          <w:highlight w:val="none"/>
        </w:rPr>
      </w:pPr>
      <w:r>
        <w:rPr>
          <w:rFonts w:ascii="Times New Roman" w:hAnsi="Times New Roman" w:cs="Times New Roman"/>
          <w:szCs w:val="24"/>
          <w:highlight w:val="none"/>
        </w:rPr>
        <w:pict>
          <v:shape id="文本框 1" o:spid="_x0000_s2053" o:spt="202" type="#_x0000_t202" style="position:absolute;left:0pt;margin-left:230.75pt;margin-top:-1.05pt;height:38.25pt;width:223.25pt;z-index:-251657216;mso-width-relative:margin;mso-height-relative:margin;" filled="f" stroked="t" coordsize="21600,21600" o:gfxdata="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">
            <v:path/>
            <v:fill on="f" focussize="0,0"/>
            <v:stroke color="#FFFFFF" joinstyle="miter"/>
            <v:imagedata o:title=""/>
            <o:lock v:ext="edit"/>
            <v:textbox>
              <w:txbxContent>
                <w:p>
                  <w:pPr>
                    <w:tabs>
                      <w:tab w:val="left" w:pos="1620"/>
                      <w:tab w:val="left" w:pos="1980"/>
                      <w:tab w:val="left" w:pos="5040"/>
                    </w:tabs>
                    <w:snapToGrid w:val="0"/>
                    <w:ind w:firstLine="4420" w:firstLineChars="1700"/>
                    <w:rPr>
                      <w:rFonts w:ascii="宋体"/>
                      <w:spacing w:val="-2"/>
                      <w:sz w:val="24"/>
                    </w:rPr>
                  </w:pPr>
                  <w:r>
                    <w:rPr>
                      <w:rFonts w:hint="eastAsia" w:ascii="宋体" w:hAnsi="宋体" w:cs="宋体"/>
                      <w:spacing w:val="10"/>
                      <w:sz w:val="24"/>
                    </w:rPr>
                    <w:t>客客户</w:t>
                  </w:r>
                  <w:r>
                    <w:rPr>
                      <w:rFonts w:hint="eastAsia" w:ascii="宋体" w:hAnsi="宋体" w:cs="宋体"/>
                      <w:spacing w:val="-2"/>
                      <w:sz w:val="24"/>
                    </w:rPr>
                    <w:t>该</w:t>
                  </w:r>
                  <w:r>
                    <w:rPr>
                      <w:rFonts w:hint="eastAsia" w:ascii="宋体" w:hAnsi="宋体" w:cs="宋体"/>
                      <w:sz w:val="24"/>
                    </w:rPr>
                    <w:t>期货</w:t>
                  </w:r>
                  <w:r>
                    <w:rPr>
                      <w:rFonts w:hint="eastAsia" w:ascii="宋体" w:hAnsi="宋体" w:cs="宋体"/>
                      <w:spacing w:val="-2"/>
                      <w:sz w:val="24"/>
                    </w:rPr>
                    <w:t>合约持仓盈亏的总和(元)</w:t>
                  </w:r>
                </w:p>
              </w:txbxContent>
            </v:textbox>
          </v:shape>
        </w:pict>
      </w:r>
      <w:r>
        <w:rPr>
          <w:rFonts w:hint="eastAsia" w:ascii="宋体" w:hAnsi="宋体" w:cs="宋体"/>
          <w:kern w:val="0"/>
          <w:sz w:val="28"/>
          <w:szCs w:val="28"/>
          <w:highlight w:val="none"/>
        </w:rPr>
        <w:t>客户单位持仓盈亏的计算方法：</w:t>
      </w:r>
    </w:p>
    <w:p>
      <w:pPr>
        <w:adjustRightInd w:val="0"/>
        <w:snapToGrid w:val="0"/>
        <w:ind w:right="-21" w:firstLine="420" w:firstLineChars="200"/>
        <w:rPr>
          <w:rFonts w:ascii="宋体" w:hAnsi="宋体" w:cs="宋体"/>
          <w:spacing w:val="10"/>
          <w:sz w:val="24"/>
          <w:highlight w:val="none"/>
        </w:rPr>
      </w:pPr>
      <w:r>
        <w:rPr>
          <w:rFonts w:ascii="Times New Roman" w:hAnsi="Times New Roman" w:cs="Times New Roman"/>
          <w:highlight w:val="none"/>
        </w:rPr>
        <w:pict>
          <v:shape id="直接箭头连接符 3" o:spid="_x0000_s2054" o:spt="32" type="#_x0000_t32" style="position:absolute;left:0pt;margin-left:241.05pt;margin-top:10.75pt;height:0pt;width:179.15pt;z-index:251660288;mso-width-relative:page;mso-height-relative:page;" filled="f" coordsize="21600,21600" o:gfxdata="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AoAAAAAAIdO4kAAAAAAAAAAAAAAAAAE&#10;AAAAAAAAAAAAEAAAABYAAABkcnMvUEsBAhQAFAAAAAgAh07iQANG4hT9AQAA7AMAAA4AAAAAAAAA&#10;AQAgAAAAOwEAAGRycy9lMm9Eb2MueG1sUEsBAhQAFAAAAAgAh07iQDy6QP3WAAAACQEAAA8AAAAA&#10;AAAAAQAgAAAAOAAAAGRycy9kb3ducmV2LnhtbFBLBQYAAAAABgAGAFkBAACqBQAAAAA=&#10;">
            <v:path arrowok="t"/>
            <v:fill on="f" focussize="0,0"/>
            <v:stroke/>
            <v:imagedata o:title=""/>
            <o:lock v:ext="edit"/>
          </v:shape>
        </w:pict>
      </w:r>
      <w:r>
        <w:rPr>
          <w:rFonts w:hint="eastAsia" w:ascii="宋体" w:hAnsi="宋体" w:cs="宋体"/>
          <w:spacing w:val="10"/>
          <w:sz w:val="28"/>
          <w:szCs w:val="28"/>
          <w:highlight w:val="none"/>
        </w:rPr>
        <w:t>客户该期货合约单位持仓盈亏 =</w:t>
      </w:r>
    </w:p>
    <w:p>
      <w:pPr>
        <w:adjustRightInd w:val="0"/>
        <w:snapToGrid w:val="0"/>
        <w:ind w:firstLine="4986" w:firstLineChars="1918"/>
        <w:rPr>
          <w:rFonts w:ascii="宋体"/>
          <w:spacing w:val="-2"/>
          <w:sz w:val="24"/>
          <w:highlight w:val="none"/>
        </w:rPr>
      </w:pPr>
      <w:r>
        <w:rPr>
          <w:rFonts w:hint="eastAsia" w:ascii="宋体" w:hAnsi="宋体" w:cs="宋体"/>
          <w:spacing w:val="10"/>
          <w:sz w:val="24"/>
          <w:highlight w:val="none"/>
        </w:rPr>
        <w:t>客户</w:t>
      </w:r>
      <w:r>
        <w:rPr>
          <w:rFonts w:hint="eastAsia" w:ascii="宋体" w:hAnsi="宋体" w:cs="宋体"/>
          <w:spacing w:val="-2"/>
          <w:sz w:val="24"/>
          <w:highlight w:val="none"/>
        </w:rPr>
        <w:t>该</w:t>
      </w:r>
      <w:r>
        <w:rPr>
          <w:rFonts w:hint="eastAsia" w:ascii="宋体" w:hAnsi="宋体" w:cs="宋体"/>
          <w:sz w:val="24"/>
          <w:highlight w:val="none"/>
        </w:rPr>
        <w:t>期货</w:t>
      </w:r>
      <w:r>
        <w:rPr>
          <w:rFonts w:hint="eastAsia" w:ascii="宋体" w:hAnsi="宋体" w:cs="宋体"/>
          <w:spacing w:val="-2"/>
          <w:sz w:val="24"/>
          <w:highlight w:val="none"/>
        </w:rPr>
        <w:t>合约的持仓量(手)</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客户该期货合约持仓盈亏总和，是指客户该期货合约的持仓按其实际成交价与当日结算价之差计算的盈亏总和。</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（二）持仓盈利客户平仓范围的确定</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根据上述方法计算的客户单位持仓盈利的投机持仓（包括套利持仓）以及客户单位持仓盈利大于或等于期货合约规定价幅2倍的保值持仓都列入平仓范围。</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（三）平仓数量的分配原则及方法</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1.平仓数量的分配原则</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（1）在平仓范围内按盈利的大小和投机与保值的不同分成四级，逐级进行分配。</w:t>
      </w:r>
    </w:p>
    <w:p>
      <w:pPr>
        <w:widowControl/>
        <w:spacing w:line="360" w:lineRule="auto"/>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首先分配给属平仓范围内单位持仓盈利大于或者等于期货合约规定价幅（以D3交易日结算价计算，下同）2倍的投机持仓(以下简称盈利2倍的投机持仓)。</w:t>
      </w:r>
    </w:p>
    <w:p>
      <w:pPr>
        <w:widowControl/>
        <w:spacing w:line="360" w:lineRule="auto"/>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其次分配给单位持仓盈利大于或者等于期货合约规定价幅1倍的投机持仓(以下简称盈利1倍的投机持仓)。</w:t>
      </w:r>
    </w:p>
    <w:p>
      <w:pPr>
        <w:widowControl/>
        <w:spacing w:line="360" w:lineRule="auto"/>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再次分配给单位持仓盈利大于或者等于期货合约规定价幅1倍以下的投机持仓(以下简称盈利1倍以下的投机持仓)。</w:t>
      </w:r>
    </w:p>
    <w:p>
      <w:pPr>
        <w:widowControl/>
        <w:spacing w:line="360" w:lineRule="auto"/>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最后分配给单位持仓盈利大于或等于合约规定价幅2倍的保值持仓(以下简称盈利2倍的保值持仓)。</w:t>
      </w:r>
    </w:p>
    <w:p>
      <w:pPr>
        <w:widowControl/>
        <w:spacing w:line="360" w:lineRule="auto"/>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（2）以上各级分配比例均按申报平仓数量(剩余申报平仓数量)与各级可平仓的盈利持仓数量之比进行分配。</w:t>
      </w:r>
    </w:p>
    <w:p>
      <w:pPr>
        <w:widowControl/>
        <w:spacing w:line="360" w:lineRule="auto"/>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2.平仓数量的分配方法及步骤</w:t>
      </w:r>
    </w:p>
    <w:p>
      <w:pPr>
        <w:widowControl/>
        <w:spacing w:line="360" w:lineRule="auto"/>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若盈利2倍的投机持仓数量大于或者等于申报平仓数量，根据申报平仓数量与盈利2倍的投机持仓数量的比例，将申报平仓数量向盈利2倍的投机客户等比例分配实际平仓数量。</w:t>
      </w:r>
    </w:p>
    <w:p>
      <w:pPr>
        <w:widowControl/>
        <w:spacing w:line="360" w:lineRule="auto"/>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盈利2倍的投机持仓数量小于申报平仓数量，则根据盈利2倍的投机持仓数量与申报平仓数量的比例，将盈利2倍的投机持仓数量向申报平仓客户分配实际平仓数量；再把剩余的申报平仓数量按上述的分配方法向盈利1倍的投机持仓分配；还有剩余的，再向盈利1倍以下的投机持仓分配；若还有剩余，再向盈利2倍的保值持仓分配；仍有剩余的，不再分配。具体方法与步骤见本办法附件。</w:t>
      </w:r>
    </w:p>
    <w:p>
      <w:pPr>
        <w:widowControl/>
        <w:spacing w:line="360" w:lineRule="auto"/>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分配平仓数量以“手”为单位，不足一手的按如下方法计算。首先对每个交易编码所分配到的平仓数量的整数部分进行分配，然后按小数部分由大到小的顺序“进位取整”进行分配。</w:t>
      </w:r>
    </w:p>
    <w:p>
      <w:pPr>
        <w:tabs>
          <w:tab w:val="left" w:pos="1620"/>
          <w:tab w:val="left" w:pos="1980"/>
          <w:tab w:val="left" w:pos="5040"/>
        </w:tabs>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第二十条 </w:t>
      </w:r>
      <w:r>
        <w:rPr>
          <w:rFonts w:hint="eastAsia" w:ascii="宋体" w:hAnsi="宋体" w:cs="宋体"/>
          <w:kern w:val="0"/>
          <w:sz w:val="28"/>
          <w:szCs w:val="28"/>
          <w:highlight w:val="none"/>
        </w:rPr>
        <w:t>采取上述措施后该期货合约风险仍未释放的，交易所宣布进入异常情况，并按有关规定采取风险控制措施。</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第二十一条 </w:t>
      </w:r>
      <w:r>
        <w:rPr>
          <w:rFonts w:hint="eastAsia" w:ascii="宋体" w:hAnsi="宋体" w:cs="宋体"/>
          <w:kern w:val="0"/>
          <w:sz w:val="28"/>
          <w:szCs w:val="28"/>
          <w:highlight w:val="none"/>
        </w:rPr>
        <w:t>新期货合约成交首日以前（含该日）出现单边市的，该期货合约的涨跌停板幅度和交易保证金标准不受本办法第十六条限制。</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某期货合约在交割月的最后交易日出现第三个连续同方向单边市的，则当日闭市后，交易所根据市场情况，决定对该期货合约先执行强制减仓之后配对交割或者直接配对交割。</w:t>
      </w:r>
    </w:p>
    <w:p>
      <w:pPr>
        <w:pStyle w:val="15"/>
        <w:widowControl/>
        <w:numPr>
          <w:ilvl w:val="0"/>
          <w:numId w:val="14"/>
        </w:numPr>
        <w:spacing w:line="360" w:lineRule="auto"/>
        <w:ind w:firstLineChars="0"/>
        <w:jc w:val="center"/>
        <w:outlineLvl w:val="1"/>
        <w:rPr>
          <w:rFonts w:ascii="宋体" w:hAnsi="宋体" w:eastAsia="黑体" w:cs="宋体"/>
          <w:kern w:val="0"/>
          <w:sz w:val="32"/>
          <w:szCs w:val="28"/>
          <w:highlight w:val="none"/>
        </w:rPr>
      </w:pPr>
      <w:bookmarkStart w:id="40" w:name="_Toc392878610"/>
      <w:r>
        <w:rPr>
          <w:rFonts w:hint="eastAsia" w:ascii="宋体" w:hAnsi="宋体" w:eastAsia="黑体" w:cs="宋体"/>
          <w:sz w:val="32"/>
          <w:szCs w:val="28"/>
          <w:highlight w:val="none"/>
        </w:rPr>
        <w:t>限仓制度</w:t>
      </w:r>
      <w:bookmarkEnd w:id="40"/>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第二十二条 </w:t>
      </w:r>
      <w:r>
        <w:rPr>
          <w:rFonts w:hint="eastAsia" w:ascii="宋体" w:hAnsi="宋体" w:cs="宋体"/>
          <w:kern w:val="0"/>
          <w:sz w:val="28"/>
          <w:szCs w:val="28"/>
          <w:highlight w:val="none"/>
        </w:rPr>
        <w:t>期货交易实行限仓制度。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限仓是指交易所规定会员、境外特殊参与者或者客户按单边计算的、可以持有某一期货合约投机持仓的最大数量。具有实际控制关系的客户和非期货公司会员、境外特殊非经纪参与者的持仓合并计算。</w:t>
      </w:r>
    </w:p>
    <w:p>
      <w:pPr>
        <w:widowControl/>
        <w:spacing w:line="360" w:lineRule="auto"/>
        <w:ind w:firstLine="560" w:firstLineChars="200"/>
        <w:outlineLvl w:val="3"/>
        <w:rPr>
          <w:rFonts w:ascii="宋体" w:hAnsi="宋体" w:cs="宋体"/>
          <w:kern w:val="0"/>
          <w:sz w:val="28"/>
          <w:szCs w:val="28"/>
          <w:highlight w:val="none"/>
        </w:rPr>
      </w:pPr>
      <w:r>
        <w:rPr>
          <w:rFonts w:hint="eastAsia" w:ascii="黑体" w:hAnsi="黑体" w:eastAsia="黑体" w:cs="宋体"/>
          <w:kern w:val="0"/>
          <w:sz w:val="28"/>
          <w:szCs w:val="28"/>
          <w:highlight w:val="none"/>
        </w:rPr>
        <w:t>第二十三条</w:t>
      </w:r>
      <w:r>
        <w:rPr>
          <w:rFonts w:hint="eastAsia" w:ascii="宋体" w:hAnsi="宋体" w:cs="宋体"/>
          <w:kern w:val="0"/>
          <w:sz w:val="28"/>
          <w:szCs w:val="28"/>
          <w:highlight w:val="none"/>
        </w:rPr>
        <w:t xml:space="preserve"> 各品种期货合约对期货公司会员、境外特殊经纪参与者不限仓。</w:t>
      </w:r>
    </w:p>
    <w:p>
      <w:pPr>
        <w:widowControl/>
        <w:spacing w:line="360" w:lineRule="auto"/>
        <w:ind w:firstLine="560" w:firstLineChars="200"/>
        <w:jc w:val="left"/>
        <w:outlineLvl w:val="3"/>
        <w:rPr>
          <w:rFonts w:ascii="宋体" w:hAnsi="宋体" w:cs="宋体"/>
          <w:kern w:val="0"/>
          <w:sz w:val="28"/>
          <w:szCs w:val="28"/>
          <w:highlight w:val="none"/>
        </w:rPr>
      </w:pPr>
      <w:r>
        <w:rPr>
          <w:rFonts w:hint="eastAsia" w:ascii="黑体" w:hAnsi="黑体" w:eastAsia="黑体" w:cs="宋体"/>
          <w:kern w:val="0"/>
          <w:sz w:val="28"/>
          <w:szCs w:val="28"/>
          <w:highlight w:val="none"/>
        </w:rPr>
        <w:t xml:space="preserve">第二十四条 </w:t>
      </w:r>
      <w:r>
        <w:rPr>
          <w:rFonts w:hint="eastAsia" w:ascii="宋体" w:hAnsi="宋体" w:cs="宋体"/>
          <w:kern w:val="0"/>
          <w:sz w:val="28"/>
          <w:szCs w:val="28"/>
          <w:highlight w:val="none"/>
        </w:rPr>
        <w:t>各品种期货合约的限仓标准见相关品种期货业务细则。</w:t>
      </w:r>
    </w:p>
    <w:p>
      <w:pPr>
        <w:widowControl/>
        <w:spacing w:line="360" w:lineRule="auto"/>
        <w:ind w:firstLine="560" w:firstLineChars="200"/>
        <w:jc w:val="left"/>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第二十五条 </w:t>
      </w:r>
      <w:r>
        <w:rPr>
          <w:rFonts w:hint="eastAsia" w:ascii="宋体" w:hAnsi="宋体" w:cs="宋体"/>
          <w:kern w:val="0"/>
          <w:sz w:val="28"/>
          <w:szCs w:val="28"/>
          <w:highlight w:val="none"/>
        </w:rPr>
        <w:t>交割月前一个月的最后一个交易日收盘前，会员、境外特殊参与者及客户应当将其期货合约持仓调整为最小交割单位的整倍数；自进入交割月起，会员、境外特殊参与者及客户的持仓应当是最小交割单位的整倍数。</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第二十六条 </w:t>
      </w:r>
      <w:r>
        <w:rPr>
          <w:rFonts w:hint="eastAsia" w:ascii="宋体" w:hAnsi="宋体" w:cs="宋体"/>
          <w:kern w:val="0"/>
          <w:sz w:val="28"/>
          <w:szCs w:val="28"/>
          <w:highlight w:val="none"/>
        </w:rPr>
        <w:t>同一客户在不同期货公司会员、境外特殊经纪参与者、境外中介机构处开有多个交易编码，各交易编码上所有持仓的合计数，不得超出</w:t>
      </w:r>
      <w:r>
        <w:rPr>
          <w:rFonts w:hint="eastAsia" w:ascii="宋体" w:hAnsi="宋体" w:cs="宋体"/>
          <w:kern w:val="0"/>
          <w:sz w:val="28"/>
          <w:szCs w:val="28"/>
          <w:highlight w:val="none"/>
          <w:lang w:eastAsia="zh-CN"/>
        </w:rPr>
        <w:t>交易所关于</w:t>
      </w:r>
      <w:r>
        <w:rPr>
          <w:rFonts w:hint="eastAsia" w:ascii="宋体" w:hAnsi="宋体" w:cs="宋体"/>
          <w:kern w:val="0"/>
          <w:sz w:val="28"/>
          <w:szCs w:val="28"/>
          <w:highlight w:val="none"/>
        </w:rPr>
        <w:t>客户限仓数额</w:t>
      </w:r>
      <w:r>
        <w:rPr>
          <w:rFonts w:hint="eastAsia" w:ascii="宋体" w:hAnsi="宋体" w:cs="宋体"/>
          <w:kern w:val="0"/>
          <w:sz w:val="28"/>
          <w:szCs w:val="28"/>
          <w:highlight w:val="none"/>
          <w:lang w:eastAsia="zh-CN"/>
        </w:rPr>
        <w:t>的规定</w:t>
      </w:r>
      <w:r>
        <w:rPr>
          <w:rFonts w:hint="eastAsia" w:ascii="宋体" w:hAnsi="宋体" w:cs="宋体"/>
          <w:kern w:val="0"/>
          <w:sz w:val="28"/>
          <w:szCs w:val="28"/>
          <w:highlight w:val="none"/>
        </w:rPr>
        <w:t>。</w:t>
      </w:r>
    </w:p>
    <w:p>
      <w:pPr>
        <w:widowControl/>
        <w:spacing w:line="360" w:lineRule="auto"/>
        <w:ind w:firstLine="560" w:firstLineChars="200"/>
        <w:outlineLvl w:val="3"/>
        <w:rPr>
          <w:rFonts w:ascii="宋体" w:hAnsi="宋体" w:cs="宋体"/>
          <w:kern w:val="0"/>
          <w:sz w:val="28"/>
          <w:szCs w:val="28"/>
          <w:highlight w:val="none"/>
        </w:rPr>
      </w:pPr>
      <w:r>
        <w:rPr>
          <w:rFonts w:hint="eastAsia" w:ascii="黑体" w:hAnsi="宋体" w:eastAsia="黑体" w:cs="黑体"/>
          <w:kern w:val="0"/>
          <w:sz w:val="28"/>
          <w:szCs w:val="28"/>
          <w:highlight w:val="none"/>
        </w:rPr>
        <w:t xml:space="preserve">第二十七条 </w:t>
      </w:r>
      <w:r>
        <w:rPr>
          <w:rFonts w:hint="eastAsia" w:ascii="宋体" w:hAnsi="宋体" w:cs="宋体"/>
          <w:kern w:val="0"/>
          <w:sz w:val="28"/>
          <w:szCs w:val="28"/>
          <w:highlight w:val="none"/>
        </w:rPr>
        <w:t>非期货公司会员、境外特殊非经纪参与者或者客户的持仓数量不得超过交易所规定的持仓限额。</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非期货公司会员、境外特殊非经纪参与者或者客户超过持仓限额的，交易所按照本办法第七章强行平仓制度有关规定进行处理，并可以采取要求提交书面说明、书面警示、约见谈话、限制开仓等措施。</w:t>
      </w:r>
    </w:p>
    <w:p>
      <w:pPr>
        <w:pStyle w:val="15"/>
        <w:widowControl/>
        <w:numPr>
          <w:ilvl w:val="0"/>
          <w:numId w:val="14"/>
        </w:numPr>
        <w:spacing w:line="360" w:lineRule="auto"/>
        <w:ind w:firstLineChars="0"/>
        <w:jc w:val="center"/>
        <w:outlineLvl w:val="1"/>
        <w:rPr>
          <w:rFonts w:ascii="宋体" w:hAnsi="宋体" w:eastAsia="黑体" w:cs="宋体"/>
          <w:kern w:val="0"/>
          <w:sz w:val="32"/>
          <w:szCs w:val="28"/>
          <w:highlight w:val="none"/>
        </w:rPr>
      </w:pPr>
      <w:r>
        <w:rPr>
          <w:rFonts w:hint="eastAsia" w:ascii="宋体" w:hAnsi="宋体" w:eastAsia="黑体" w:cs="宋体"/>
          <w:sz w:val="32"/>
          <w:szCs w:val="28"/>
          <w:highlight w:val="none"/>
        </w:rPr>
        <w:t>交易限额制度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第二十八条 </w:t>
      </w:r>
      <w:r>
        <w:rPr>
          <w:rFonts w:hint="eastAsia" w:ascii="宋体" w:hAnsi="宋体" w:cs="宋体"/>
          <w:kern w:val="0"/>
          <w:sz w:val="28"/>
          <w:szCs w:val="28"/>
          <w:highlight w:val="none"/>
        </w:rPr>
        <w:t>交易所实行交易限额制度。交易限额是指交易所规定会员、境外特殊参与者或者客户对某一合约在某一期限内开仓交易的最大数量。交易所可以根据市场情况，对不同的上市品种、合约，对部分或者全部的会员、境外特殊参与者、客户，制定交易限额，具体标准由交易所另行公布。</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套期保值交易和做市交易的开仓数量不受本条前款限制。</w:t>
      </w:r>
    </w:p>
    <w:p>
      <w:pPr>
        <w:snapToGrid w:val="0"/>
        <w:spacing w:line="520" w:lineRule="exact"/>
        <w:ind w:firstLine="562" w:firstLineChars="201"/>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第二十九条 </w:t>
      </w:r>
      <w:r>
        <w:rPr>
          <w:rFonts w:hint="eastAsia" w:ascii="宋体" w:hAnsi="宋体" w:cs="宋体"/>
          <w:kern w:val="0"/>
          <w:sz w:val="28"/>
          <w:szCs w:val="28"/>
          <w:highlight w:val="none"/>
        </w:rPr>
        <w:t>同一客户在不同期货公司会员、境外特殊经纪参与者、境外中介机构处开有多个交易编码，各交易编码上所有开仓交易数量的合计数，不得超过</w:t>
      </w:r>
      <w:r>
        <w:rPr>
          <w:rFonts w:hint="eastAsia" w:ascii="宋体" w:hAnsi="宋体" w:cs="宋体"/>
          <w:kern w:val="0"/>
          <w:sz w:val="28"/>
          <w:szCs w:val="28"/>
          <w:highlight w:val="none"/>
          <w:lang w:eastAsia="zh-CN"/>
        </w:rPr>
        <w:t>交易所关于</w:t>
      </w:r>
      <w:r>
        <w:rPr>
          <w:rFonts w:hint="eastAsia" w:ascii="宋体" w:hAnsi="宋体" w:cs="宋体"/>
          <w:kern w:val="0"/>
          <w:sz w:val="28"/>
          <w:szCs w:val="28"/>
          <w:highlight w:val="none"/>
        </w:rPr>
        <w:t>客户交易限额</w:t>
      </w:r>
      <w:r>
        <w:rPr>
          <w:rFonts w:hint="eastAsia" w:ascii="宋体" w:hAnsi="宋体" w:cs="宋体"/>
          <w:kern w:val="0"/>
          <w:sz w:val="28"/>
          <w:szCs w:val="28"/>
          <w:highlight w:val="none"/>
          <w:lang w:eastAsia="zh-CN"/>
        </w:rPr>
        <w:t>的规定</w:t>
      </w:r>
      <w:r>
        <w:rPr>
          <w:rFonts w:hint="eastAsia" w:ascii="宋体" w:hAnsi="宋体" w:cs="宋体"/>
          <w:kern w:val="0"/>
          <w:sz w:val="28"/>
          <w:szCs w:val="28"/>
          <w:highlight w:val="none"/>
        </w:rPr>
        <w:t>。</w:t>
      </w:r>
    </w:p>
    <w:p>
      <w:pPr>
        <w:snapToGrid w:val="0"/>
        <w:spacing w:line="520" w:lineRule="exact"/>
        <w:ind w:firstLine="562" w:firstLineChars="201"/>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第三十条 </w:t>
      </w:r>
      <w:r>
        <w:rPr>
          <w:rFonts w:hint="eastAsia" w:ascii="宋体" w:hAnsi="宋体" w:cs="宋体"/>
          <w:kern w:val="0"/>
          <w:sz w:val="28"/>
          <w:szCs w:val="28"/>
          <w:highlight w:val="none"/>
        </w:rPr>
        <w:t>非期货公司会员、境外特殊非经纪参与者或者客户的开仓数量不得超过交易所规定的交易限额。对超过交易限额的非期货公司会员、境外特殊非经纪参与者或者客户，交易所可以采取电话提示、要求报告情况、要求提交书面承诺、列入重点监管名单、暂停开仓交易等措施。</w:t>
      </w:r>
    </w:p>
    <w:p>
      <w:pPr>
        <w:pStyle w:val="15"/>
        <w:widowControl/>
        <w:numPr>
          <w:ilvl w:val="0"/>
          <w:numId w:val="14"/>
        </w:numPr>
        <w:spacing w:line="360" w:lineRule="auto"/>
        <w:ind w:firstLineChars="0"/>
        <w:jc w:val="center"/>
        <w:outlineLvl w:val="1"/>
        <w:rPr>
          <w:rFonts w:ascii="宋体" w:hAnsi="宋体" w:eastAsia="黑体" w:cs="宋体"/>
          <w:kern w:val="0"/>
          <w:sz w:val="32"/>
          <w:szCs w:val="28"/>
          <w:highlight w:val="none"/>
        </w:rPr>
      </w:pPr>
      <w:r>
        <w:rPr>
          <w:rFonts w:hint="eastAsia" w:ascii="宋体" w:hAnsi="宋体" w:eastAsia="黑体" w:cs="宋体"/>
          <w:sz w:val="32"/>
          <w:szCs w:val="28"/>
          <w:highlight w:val="none"/>
        </w:rPr>
        <w:t>大户报告制度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第三十一条 </w:t>
      </w:r>
      <w:r>
        <w:rPr>
          <w:rFonts w:hint="eastAsia" w:ascii="宋体" w:hAnsi="宋体" w:cs="宋体"/>
          <w:kern w:val="0"/>
          <w:sz w:val="28"/>
          <w:szCs w:val="28"/>
          <w:highlight w:val="none"/>
        </w:rPr>
        <w:t>期货交易实行大户报告制度。</w:t>
      </w:r>
    </w:p>
    <w:p>
      <w:pPr>
        <w:tabs>
          <w:tab w:val="left" w:pos="1215"/>
        </w:tabs>
        <w:snapToGrid w:val="0"/>
        <w:spacing w:line="52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非期货公司会员、境外特殊非经纪参与者或者客户持有某期货合约数量达到交易所对其规定的持仓限量80%以上（含本数）或者交易所要求报告的，应当向交易所报告其资金、持仓等情况。根据市场风险状况，交易所可调整持仓报告水平。委托期货公司会员从事期货交易的客户应当通过期货公司会员报告；委托境外特殊经纪参与者从事期货交易的客户，应当通过境外特殊经纪参与者报告；委托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机构从事期货交易的客户，应当委托其境外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机构报告，境外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机构再委托期货公司会员或者境外特殊经纪参与者报告；非期货公司会员及境外特殊非经纪参与者向交易所报告。</w:t>
      </w:r>
    </w:p>
    <w:p>
      <w:pPr>
        <w:widowControl/>
        <w:spacing w:line="520" w:lineRule="exact"/>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非期货公司会员、境外特殊非经纪参与者和客户应当保证所提供的大户持仓报告和其他材料的真实性、准确性和完整性。</w:t>
      </w:r>
    </w:p>
    <w:p>
      <w:pPr>
        <w:tabs>
          <w:tab w:val="left" w:pos="1215"/>
        </w:tabs>
        <w:snapToGrid w:val="0"/>
        <w:spacing w:line="520" w:lineRule="exact"/>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第三十二条 </w:t>
      </w:r>
      <w:r>
        <w:rPr>
          <w:rFonts w:hint="eastAsia" w:ascii="宋体" w:hAnsi="宋体" w:cs="宋体"/>
          <w:kern w:val="0"/>
          <w:sz w:val="28"/>
          <w:szCs w:val="28"/>
          <w:highlight w:val="none"/>
        </w:rPr>
        <w:t>交易过程中，非期货公司会员、境外特殊非经纪参与者或者客户符合大户报告条件的，应当主动于下一交易日向交易所报告。非期货公司会员、境外特殊非经纪参与者或者客户履行首次报告义务后，需再次报告或者补充报告的，交易所通知有关会员。</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第三十三条 </w:t>
      </w:r>
      <w:r>
        <w:rPr>
          <w:rFonts w:hint="eastAsia" w:ascii="宋体" w:hAnsi="宋体" w:cs="宋体"/>
          <w:kern w:val="0"/>
          <w:sz w:val="28"/>
          <w:szCs w:val="28"/>
          <w:highlight w:val="none"/>
        </w:rPr>
        <w:t>符合大户报告条件的非期货公司会员、境外特殊非经纪参与者或客户应当向交易所提供下列材料：</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（一）《郑州商品交易所大户报告表》；</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（二）开户资料及当日结算单据；</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（三）交易所要求提供的其他材料。</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第三十四条 </w:t>
      </w:r>
      <w:r>
        <w:rPr>
          <w:rFonts w:hint="eastAsia" w:ascii="宋体" w:hAnsi="宋体" w:eastAsia="宋体" w:cs="宋体"/>
          <w:kern w:val="0"/>
          <w:sz w:val="28"/>
          <w:szCs w:val="28"/>
          <w:highlight w:val="none"/>
        </w:rPr>
        <w:t>期货公司会员、境外特殊经纪参与者应当对符合大户报告条件的客户所提供的有关材料进行初审，然后报告交易所。境外中介机构应对符合大户报告条件的客户所提供的有关材料进行初审，然后由期货公司会员或境外特殊经纪参与者转交交易所。</w:t>
      </w:r>
      <w:r>
        <w:rPr>
          <w:rFonts w:hint="eastAsia" w:ascii="宋体" w:hAnsi="宋体" w:cs="宋体"/>
          <w:kern w:val="0"/>
          <w:sz w:val="28"/>
          <w:szCs w:val="28"/>
          <w:highlight w:val="none"/>
        </w:rPr>
        <w:t>期货公司会员、境外特殊经纪参与者、境外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机构应当保证报告材料的真实性和准确性。</w:t>
      </w:r>
    </w:p>
    <w:p>
      <w:pPr>
        <w:widowControl/>
        <w:spacing w:line="360" w:lineRule="auto"/>
        <w:jc w:val="center"/>
        <w:outlineLvl w:val="1"/>
        <w:rPr>
          <w:rFonts w:ascii="黑体" w:hAnsi="宋体" w:eastAsia="黑体" w:cs="宋体"/>
          <w:kern w:val="0"/>
          <w:sz w:val="32"/>
          <w:szCs w:val="28"/>
          <w:highlight w:val="none"/>
        </w:rPr>
      </w:pPr>
      <w:r>
        <w:rPr>
          <w:rFonts w:ascii="黑体" w:hAnsi="宋体" w:eastAsia="黑体" w:cs="宋体"/>
          <w:kern w:val="0"/>
          <w:sz w:val="32"/>
          <w:szCs w:val="28"/>
          <w:highlight w:val="none"/>
        </w:rPr>
        <w:drawing>
          <wp:inline distT="0" distB="0" distL="114300" distR="114300">
            <wp:extent cx="38100" cy="381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2"/>
                    <a:srcRect t="-99944" b="99944"/>
                    <a:stretch>
                      <a:fillRect/>
                    </a:stretch>
                  </pic:blipFill>
                  <pic:spPr>
                    <a:xfrm>
                      <a:off x="0" y="0"/>
                      <a:ext cx="38100" cy="38100"/>
                    </a:xfrm>
                    <a:prstGeom prst="rect">
                      <a:avLst/>
                    </a:prstGeom>
                    <a:noFill/>
                    <a:ln>
                      <a:noFill/>
                    </a:ln>
                  </pic:spPr>
                </pic:pic>
              </a:graphicData>
            </a:graphic>
          </wp:inline>
        </w:drawing>
      </w:r>
      <w:r>
        <w:rPr>
          <w:rFonts w:hint="eastAsia" w:ascii="宋体" w:hAnsi="宋体" w:eastAsia="黑体" w:cs="宋体"/>
          <w:kern w:val="0"/>
          <w:sz w:val="32"/>
          <w:szCs w:val="28"/>
          <w:highlight w:val="none"/>
        </w:rPr>
        <w:t>第七章 强行平仓制度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第三十五条 </w:t>
      </w:r>
      <w:r>
        <w:rPr>
          <w:rFonts w:hint="eastAsia" w:ascii="宋体" w:hAnsi="宋体" w:cs="宋体"/>
          <w:kern w:val="0"/>
          <w:sz w:val="28"/>
          <w:szCs w:val="28"/>
          <w:highlight w:val="none"/>
        </w:rPr>
        <w:t>期货交易实行强行平仓制度。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强行平仓是指当会员、境外特殊参与者、客户违反交易所相关业务规定时，交易所对其违规持有的相关期货合约持仓予以平仓的强制措施。</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第三十六条 </w:t>
      </w:r>
      <w:r>
        <w:rPr>
          <w:rFonts w:hint="eastAsia" w:ascii="宋体" w:hAnsi="宋体" w:cs="宋体"/>
          <w:kern w:val="0"/>
          <w:sz w:val="28"/>
          <w:szCs w:val="28"/>
          <w:highlight w:val="none"/>
        </w:rPr>
        <w:t>会员、境外特殊参与者</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客户有下列情形之一的，交易所有权进行强行平仓：</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（一）会员或其受托结算的任一明细账户的结算准备金余额小于零并未能在规定时间内补足的；</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（二）非期货公司会员、境外特殊非经纪参与者和客户持仓量超出其限仓规定的；</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（三）进入交割月份的自然人持仓；</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（四）因违规受到交易所强行平仓处罚的；</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（五）根据交易所的紧急措施应予强行平仓的；</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（六）其他应予强行平仓的。</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第三十七条 </w:t>
      </w:r>
      <w:r>
        <w:rPr>
          <w:rFonts w:hint="eastAsia" w:ascii="宋体" w:hAnsi="宋体" w:cs="宋体"/>
          <w:kern w:val="0"/>
          <w:sz w:val="28"/>
          <w:szCs w:val="28"/>
          <w:highlight w:val="none"/>
        </w:rPr>
        <w:t>强行平仓的原则和程序：</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强行平仓先由会员、境外特殊参与者自行实施，会员应督导委托其交易结算的境外特殊参与者、境外中介机构和客户执行。除交易所特别规定的时限外，会员未在10时15分之前平仓完毕的，交易所强制执行。因会员或其受托结算的任一明细账户的结算准备金余额小于零而被要求强行平仓的，在保证金补足至最低结算准备金余额前，禁止该明细账户的开仓交易。</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由会员、境外特殊参与者自行平仓的，属前条第（一）、（二）、（三）项情形的，由会员、境外特殊参与者自行确定，平仓结果符合交易所规定即可；属前条第（四）、（五）、（六）项情形的，由交易所确定。</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由交易所强行平仓的，按以下程序实施：</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（一）交易所按照会员、境外特殊参与者提供的平仓名单进行强行平仓。</w:t>
      </w:r>
    </w:p>
    <w:p>
      <w:pPr>
        <w:widowControl/>
        <w:spacing w:line="360" w:lineRule="auto"/>
        <w:ind w:firstLine="560" w:firstLineChars="200"/>
        <w:outlineLvl w:val="3"/>
        <w:rPr>
          <w:rFonts w:hint="eastAsia" w:ascii="宋体" w:hAnsi="宋体" w:cs="宋体"/>
          <w:kern w:val="0"/>
          <w:sz w:val="28"/>
          <w:szCs w:val="28"/>
          <w:highlight w:val="none"/>
        </w:rPr>
      </w:pPr>
      <w:r>
        <w:rPr>
          <w:rFonts w:hint="eastAsia" w:ascii="宋体" w:hAnsi="宋体" w:cs="宋体"/>
          <w:kern w:val="0"/>
          <w:sz w:val="28"/>
          <w:szCs w:val="28"/>
          <w:highlight w:val="none"/>
        </w:rPr>
        <w:t>（二）会员、境外特殊参与者没有提供平仓名单，属前条第（一）项的，对于结算准备金小于零的明细账户,按照上一交易日闭市后期货合约总持仓量由大到小顺序，先选择持仓量大的期货合约作为强行平仓的期货合约，再按照该明细账户</w:t>
      </w:r>
      <w:r>
        <w:rPr>
          <w:rFonts w:hint="eastAsia" w:ascii="宋体" w:hAnsi="宋体" w:cs="宋体"/>
          <w:kern w:val="0"/>
          <w:sz w:val="28"/>
          <w:szCs w:val="28"/>
          <w:highlight w:val="none"/>
          <w:lang w:eastAsia="zh-CN"/>
        </w:rPr>
        <w:t>所有</w:t>
      </w:r>
      <w:r>
        <w:rPr>
          <w:rFonts w:hint="eastAsia" w:ascii="宋体" w:hAnsi="宋体" w:cs="宋体"/>
          <w:kern w:val="0"/>
          <w:sz w:val="28"/>
          <w:szCs w:val="28"/>
          <w:highlight w:val="none"/>
        </w:rPr>
        <w:t>客户该期货合约的净持仓亏损由大到小确定。</w:t>
      </w:r>
    </w:p>
    <w:p>
      <w:pPr>
        <w:widowControl/>
        <w:spacing w:line="360" w:lineRule="auto"/>
        <w:ind w:firstLine="560" w:firstLineChars="200"/>
        <w:outlineLvl w:val="3"/>
        <w:rPr>
          <w:rFonts w:hint="eastAsia" w:ascii="宋体" w:hAnsi="宋体" w:cs="宋体"/>
          <w:kern w:val="0"/>
          <w:sz w:val="28"/>
          <w:szCs w:val="28"/>
          <w:highlight w:val="none"/>
        </w:rPr>
      </w:pPr>
      <w:r>
        <w:rPr>
          <w:rFonts w:hint="eastAsia" w:ascii="宋体" w:hAnsi="宋体" w:cs="宋体"/>
          <w:kern w:val="0"/>
          <w:sz w:val="28"/>
          <w:szCs w:val="28"/>
          <w:highlight w:val="none"/>
        </w:rPr>
        <w:t>前项所述的强行平仓执行完毕后，该明细账户结算准备金仍小于零的，交易所对会员的其他明细账户或者受托结算明细账户对应的持仓按照前项原则执行强行平仓。</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多个会员均需要强行平仓的，按追加保证金由大到小的顺序，先强平需要追加保证金大的会员。</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（三）属前条第（二）项的，按照超仓量由大到小的顺序，对非期货公司会员、境外特殊非经纪参与者或客户进行强行平仓。</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（四）会员、境外特殊参与者没有提供平仓名单，属前条第（三）项的，按照上一交易日闭市后自然人期货合约持仓由大到小顺序进行强行平仓。</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（五）会员、境外特殊参与者没有提供平仓名单，属前条第（四）、（五）、（六）项的，强行平仓头寸由交易所根据涉及的会员、境外特殊参与者、境外中介机构和客户具体情况确定。</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（六）会员同时满足属前条第（一）、（二）、（三）项情况，交易所先按第（二）、（三）项情况确定强行平仓头寸，再按第（一）项情况确定强行平仓头寸。</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由于市场原因无法满足上述原则和程序的，交易所有权择机强行平仓。</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第三十八条 </w:t>
      </w:r>
      <w:r>
        <w:rPr>
          <w:rFonts w:hint="eastAsia" w:ascii="宋体" w:hAnsi="宋体" w:cs="宋体"/>
          <w:kern w:val="0"/>
          <w:sz w:val="28"/>
          <w:szCs w:val="28"/>
          <w:highlight w:val="none"/>
        </w:rPr>
        <w:t>交易所实施强行平仓，应当通知会员，会员应当通知客户或委托其结算的境外特殊参与者。</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属第三十六条第（一）、（二）、（三）项情况的，以交易所提供的结算结果为通知依据；属第三十六条第（四）、（五）、（六）项情况的，交易所向有关会员下达《强行平仓通知书》。境外特殊参与者的《强行平仓通知书》送达至为其结算的会员，会员应当及时通知相关境外特殊参与者。</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第三十九条 </w:t>
      </w:r>
      <w:r>
        <w:rPr>
          <w:rFonts w:hint="eastAsia" w:ascii="宋体" w:hAnsi="宋体" w:cs="宋体"/>
          <w:kern w:val="0"/>
          <w:sz w:val="28"/>
          <w:szCs w:val="28"/>
          <w:highlight w:val="none"/>
        </w:rPr>
        <w:t>会员、境外特殊参与者未在规定时间内自行平仓完毕的，剩余部分由交易所按第三十七条所确定的原则以市场价对会员、境外特殊参与者直接执行强行平仓。</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交易所强行平仓完毕后，应当将强行平仓结果随当日成交记录向会员发送，并将强行平仓记录予以存档。</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强行平仓的价格通过市场交易形成。</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第四十条 </w:t>
      </w:r>
      <w:r>
        <w:rPr>
          <w:rFonts w:hint="eastAsia" w:ascii="宋体" w:hAnsi="宋体" w:cs="宋体"/>
          <w:kern w:val="0"/>
          <w:sz w:val="28"/>
          <w:szCs w:val="28"/>
          <w:highlight w:val="none"/>
        </w:rPr>
        <w:t>由于涨跌停板或者其他市场原因无法在当日完成全部强行平仓的，剩余持仓可以顺延至下一交易日继续执行强行平仓，直至平仓完毕。</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第四十一条 </w:t>
      </w:r>
      <w:r>
        <w:rPr>
          <w:rFonts w:hint="eastAsia" w:ascii="宋体" w:hAnsi="宋体" w:cs="宋体"/>
          <w:kern w:val="0"/>
          <w:sz w:val="28"/>
          <w:szCs w:val="28"/>
          <w:highlight w:val="none"/>
        </w:rPr>
        <w:t>由于涨跌停板或者其他市场原因有关持仓的强行平仓只能延时完成的，因此发生的亏损仍由会员、境外特殊参与者或者客户承担；未能完成平仓的，该持仓持有者须继续对此承担持仓责任或者交割义务。</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第四十二条 </w:t>
      </w:r>
      <w:r>
        <w:rPr>
          <w:rFonts w:hint="eastAsia" w:ascii="宋体" w:hAnsi="宋体" w:cs="宋体"/>
          <w:kern w:val="0"/>
          <w:sz w:val="28"/>
          <w:szCs w:val="28"/>
          <w:highlight w:val="none"/>
        </w:rPr>
        <w:t>除第三十六条第（四）项外，强行平仓产生的盈利或者亏损均归持仓人。持仓人是委托期货公司会员交易的客户的，强行平仓发生的亏损，客户所在会员先行承担后，自行向该客户追偿；持仓人是委托境外特殊经纪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w:t>
      </w:r>
      <w:r>
        <w:rPr>
          <w:rFonts w:hint="eastAsia" w:ascii="宋体" w:hAnsi="宋体" w:cs="宋体"/>
          <w:kern w:val="0"/>
          <w:sz w:val="28"/>
          <w:szCs w:val="28"/>
          <w:highlight w:val="none"/>
          <w:lang w:eastAsia="zh-CN"/>
        </w:rPr>
        <w:t>交易的</w:t>
      </w:r>
      <w:r>
        <w:rPr>
          <w:rFonts w:hint="eastAsia" w:ascii="宋体" w:hAnsi="宋体" w:cs="宋体"/>
          <w:kern w:val="0"/>
          <w:sz w:val="28"/>
          <w:szCs w:val="28"/>
          <w:highlight w:val="none"/>
        </w:rPr>
        <w:t>客户的，境外特殊经纪参与者、境外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机构应辅助其委托交易结算的期货公司会员强行平仓，强行平仓后发生的亏损，由为该境外特殊经纪参与者、境外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机构交易结算的期货公司会员先行承担后，自行向该境外特殊经纪参与者、境外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机构追索；境外特殊经纪参与者、境外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机构承担损失后，自行向该客户追索。</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本办法第三十六条第（四）项实施的强行平仓，亏损由持仓人承担，盈利按国家有关规定执行。</w:t>
      </w:r>
    </w:p>
    <w:p>
      <w:pPr>
        <w:widowControl/>
        <w:spacing w:line="360" w:lineRule="auto"/>
        <w:jc w:val="center"/>
        <w:outlineLvl w:val="1"/>
        <w:rPr>
          <w:rFonts w:ascii="宋体" w:hAnsi="宋体" w:eastAsia="黑体" w:cs="宋体"/>
          <w:kern w:val="0"/>
          <w:sz w:val="32"/>
          <w:szCs w:val="28"/>
          <w:highlight w:val="none"/>
        </w:rPr>
      </w:pPr>
      <w:r>
        <w:rPr>
          <w:rFonts w:hint="eastAsia" w:ascii="宋体" w:hAnsi="宋体" w:eastAsia="黑体" w:cs="宋体"/>
          <w:kern w:val="0"/>
          <w:sz w:val="32"/>
          <w:szCs w:val="28"/>
          <w:highlight w:val="none"/>
        </w:rPr>
        <w:t>第八章 异常情况处理</w:t>
      </w:r>
    </w:p>
    <w:p>
      <w:pPr>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第四十三条</w:t>
      </w:r>
      <w:r>
        <w:rPr>
          <w:rFonts w:hint="eastAsia" w:ascii="宋体" w:hAnsi="宋体" w:cs="宋体"/>
          <w:kern w:val="0"/>
          <w:sz w:val="28"/>
          <w:szCs w:val="28"/>
          <w:highlight w:val="none"/>
        </w:rPr>
        <w:t xml:space="preserve"> 期货交易过程中，出现以下情形之一的，交易所采取紧急措施化解风险，并可以宣布进入异常情况：</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（一）地震、水灾、火灾等不可抗力或者计算机系统故障、意外事件等原因导致交易、结算、交割、行权与履约等业务无法正常进行；</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（二）出现结算、交割、行权与履约危机，对市场正在产生或者将产生重大影响；</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（三）期货价格出现同方向连续涨跌停板，有根据认为会员、境外特殊参与者、境外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机构或者客户违反交易所交易规则及其实施细则并且对市场正在产生或者即将产生重大影响；</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（四）交易所规定的其他情形。</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出现第一款第一项情形时，交易所总经理可以采取调整开市、收市时间，暂停交易，调整交易时间，暂停挂牌新合约，调整相关合约最后交易日、到期日、最后交割日等日期，调整标准仓单和交割相关业务，调整期权行权、履约及相关对冲业务，调整资产作为保证金业务，取消未办理的相关业务申请，调整强行平仓实施时间，调整保证金收取标准或者方式、涨跌停板幅度，调整合约结算价、交割结算价，调整相关费用收取标准及结算时间，调整结算数据发送方式等紧急措施；出现第一款第一项情形且相关交易指令、成交数据错误、丢失无法恢复的，交易所总经理可以决定取消未成交的交易指令，理事会可以决定取消交易。</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出现第一款第二、三、四项异常情况时，理事会可以决定采取调整开市收市时间、暂停交易、调整涨跌停板幅度、提高交易保证金、暂停开仓、限期平仓、强行平仓、限制出金、强制减仓等紧急措施。</w:t>
      </w:r>
    </w:p>
    <w:p>
      <w:pPr>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第四十四条</w:t>
      </w:r>
      <w:r>
        <w:rPr>
          <w:rFonts w:hint="eastAsia" w:ascii="宋体" w:hAnsi="宋体" w:cs="宋体"/>
          <w:kern w:val="0"/>
          <w:sz w:val="28"/>
          <w:szCs w:val="28"/>
          <w:highlight w:val="none"/>
        </w:rPr>
        <w:t xml:space="preserve"> 交易所宣布异常情况、采取紧急措施前应当报告中国证监会。</w:t>
      </w:r>
    </w:p>
    <w:p>
      <w:pPr>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第四十五条</w:t>
      </w:r>
      <w:r>
        <w:rPr>
          <w:rFonts w:hint="eastAsia" w:ascii="宋体" w:hAnsi="宋体" w:cs="宋体"/>
          <w:kern w:val="0"/>
          <w:sz w:val="28"/>
          <w:szCs w:val="28"/>
          <w:highlight w:val="none"/>
        </w:rPr>
        <w:t xml:space="preserve"> 交易所宣布进入异常情况并决定暂停交易时，暂停交易的期限不得超过3个交易日，但经中国证监会批准延长的除外。</w:t>
      </w:r>
    </w:p>
    <w:p>
      <w:pPr>
        <w:widowControl/>
        <w:spacing w:line="360" w:lineRule="auto"/>
        <w:jc w:val="center"/>
        <w:outlineLvl w:val="1"/>
        <w:rPr>
          <w:rFonts w:ascii="宋体" w:hAnsi="宋体" w:eastAsia="黑体" w:cs="宋体"/>
          <w:kern w:val="0"/>
          <w:sz w:val="32"/>
          <w:szCs w:val="28"/>
          <w:highlight w:val="none"/>
        </w:rPr>
      </w:pPr>
      <w:r>
        <w:rPr>
          <w:rFonts w:hint="eastAsia" w:ascii="宋体" w:hAnsi="宋体" w:eastAsia="黑体" w:cs="宋体"/>
          <w:kern w:val="0"/>
          <w:sz w:val="32"/>
          <w:szCs w:val="28"/>
          <w:highlight w:val="none"/>
        </w:rPr>
        <w:t>第九章 风险警示制度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第四十六条 </w:t>
      </w:r>
      <w:r>
        <w:rPr>
          <w:rFonts w:hint="eastAsia" w:ascii="宋体" w:hAnsi="宋体" w:cs="宋体"/>
          <w:kern w:val="0"/>
          <w:sz w:val="28"/>
          <w:szCs w:val="28"/>
          <w:highlight w:val="none"/>
        </w:rPr>
        <w:t>期货交易实行风险警示制度。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交易所认为必要时，可以分别或者同时采取要求报告情况、谈话提醒、发布风险提示函等措施，以警示和化解风险。</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第四十七条 </w:t>
      </w:r>
      <w:r>
        <w:rPr>
          <w:rFonts w:hint="eastAsia" w:ascii="宋体" w:hAnsi="宋体" w:cs="宋体"/>
          <w:kern w:val="0"/>
          <w:sz w:val="28"/>
          <w:szCs w:val="28"/>
          <w:highlight w:val="none"/>
        </w:rPr>
        <w:t>出现下列情形之一的，交易所可以对指定的会员、境外特殊参与者、境外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机构高管人员或者客户谈话提醒风险，或者要求会员、境外特殊参与者、境外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机构、客户报告情况：</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（一）合约价格出现异常波动；</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（二）会员、境外特殊参与者、境外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机构或者客户交易异常；</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（三）会员、境外特殊参与者、境外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机构或者客户持仓异常；</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（四）会员或其受托结算明细账户资金异常；</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（五）会员、境外特殊参与者、境外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机构或者客户涉嫌违规、违约；</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（六）交易所接到涉及会员、境外特殊参与者、境外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机构或者客户的投诉；</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（七）会员、境外特殊参与者、境外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机构涉及执法调查；</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（八）交易所认定的其他情况。</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交易所通过电话提醒的，应当保留电话录音；通过视频谈话的，应当保留视频录像；通过当面谈话的，应当保存谈话记录。</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交易所实施谈话提醒的，会员、境外特殊参与者、境外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机构或者客户应当按照交易所要求的时间、地点和方式认真履行。</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交易所要求会员、境外特殊参与者、境外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机构或者客户报告情况的，会员、境外特殊参与者、境外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机构或者客户应当按照交易所要求的时间、内容和方式如实报告。</w:t>
      </w:r>
    </w:p>
    <w:p>
      <w:pPr>
        <w:adjustRightInd w:val="0"/>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第四十八条 </w:t>
      </w:r>
      <w:r>
        <w:rPr>
          <w:rFonts w:hint="eastAsia" w:ascii="宋体" w:hAnsi="宋体" w:cs="宋体"/>
          <w:kern w:val="0"/>
          <w:sz w:val="28"/>
          <w:szCs w:val="28"/>
          <w:highlight w:val="none"/>
        </w:rPr>
        <w:t>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机构或者客户有违规嫌疑、交易头寸有较大风险的，交易所可以对会员、境外特殊参与者、境外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机构或者客户发出书面的风险提示函。</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第四十九条 </w:t>
      </w:r>
      <w:r>
        <w:rPr>
          <w:rFonts w:hint="eastAsia" w:ascii="宋体" w:hAnsi="宋体" w:cs="宋体"/>
          <w:kern w:val="0"/>
          <w:sz w:val="28"/>
          <w:szCs w:val="28"/>
          <w:highlight w:val="none"/>
        </w:rPr>
        <w:t>发生下列情形之一的，交易所可以向全体或者部分会员、境外特殊参与者、境外</w:t>
      </w:r>
      <w:r>
        <w:rPr>
          <w:rFonts w:hint="eastAsia" w:ascii="宋体" w:hAnsi="宋体" w:cs="宋体"/>
          <w:kern w:val="0"/>
          <w:sz w:val="28"/>
          <w:szCs w:val="28"/>
          <w:highlight w:val="none"/>
          <w:lang w:eastAsia="zh-CN"/>
        </w:rPr>
        <w:t>中介</w:t>
      </w:r>
      <w:r>
        <w:rPr>
          <w:rFonts w:hint="eastAsia" w:ascii="宋体" w:hAnsi="宋体" w:cs="宋体"/>
          <w:kern w:val="0"/>
          <w:sz w:val="28"/>
          <w:szCs w:val="28"/>
          <w:highlight w:val="none"/>
        </w:rPr>
        <w:t>机构和客户发出风险提示函：</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（一）期货价格出现异常；</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（二）期货价格和现货价格出现较大差距；</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（三）国内期货价格和国际市场价格出现较大差距；</w:t>
      </w:r>
    </w:p>
    <w:p>
      <w:pPr>
        <w:widowControl/>
        <w:spacing w:line="360" w:lineRule="auto"/>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（四）交易所认定的其他异常情况。</w:t>
      </w:r>
    </w:p>
    <w:p>
      <w:pPr>
        <w:widowControl/>
        <w:spacing w:line="360" w:lineRule="auto"/>
        <w:jc w:val="center"/>
        <w:outlineLvl w:val="1"/>
        <w:rPr>
          <w:rFonts w:ascii="宋体" w:hAnsi="宋体" w:eastAsia="黑体" w:cs="宋体"/>
          <w:kern w:val="0"/>
          <w:sz w:val="32"/>
          <w:szCs w:val="28"/>
          <w:highlight w:val="none"/>
        </w:rPr>
      </w:pPr>
      <w:bookmarkStart w:id="41" w:name="_Toc392878614"/>
      <w:r>
        <w:rPr>
          <w:rFonts w:hint="eastAsia" w:ascii="宋体" w:hAnsi="宋体" w:eastAsia="黑体" w:cs="宋体"/>
          <w:kern w:val="0"/>
          <w:sz w:val="32"/>
          <w:szCs w:val="28"/>
          <w:highlight w:val="none"/>
        </w:rPr>
        <w:t>第十章 附 则</w:t>
      </w:r>
      <w:bookmarkEnd w:id="41"/>
    </w:p>
    <w:p>
      <w:pPr>
        <w:adjustRightInd w:val="0"/>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第五十条 </w:t>
      </w:r>
      <w:r>
        <w:rPr>
          <w:rFonts w:hint="eastAsia" w:ascii="宋体" w:hAnsi="宋体" w:cs="宋体"/>
          <w:kern w:val="0"/>
          <w:sz w:val="28"/>
          <w:szCs w:val="28"/>
          <w:highlight w:val="none"/>
        </w:rPr>
        <w:t>违反本办法规定的，交易所按照《郑州商品交易所违规处理办法》有关规定处理。</w:t>
      </w:r>
    </w:p>
    <w:p>
      <w:pPr>
        <w:tabs>
          <w:tab w:val="left" w:pos="1215"/>
          <w:tab w:val="left" w:pos="2310"/>
        </w:tabs>
        <w:adjustRightInd w:val="0"/>
        <w:snapToGrid w:val="0"/>
        <w:spacing w:line="360" w:lineRule="auto"/>
        <w:ind w:firstLine="560" w:firstLineChars="200"/>
        <w:rPr>
          <w:rFonts w:ascii="宋体" w:hAnsi="宋体" w:cs="宋体"/>
          <w:kern w:val="0"/>
          <w:sz w:val="28"/>
          <w:szCs w:val="28"/>
          <w:highlight w:val="none"/>
        </w:rPr>
      </w:pPr>
      <w:r>
        <w:rPr>
          <w:rFonts w:hint="eastAsia" w:ascii="宋体" w:hAnsi="宋体" w:eastAsia="黑体" w:cs="宋体"/>
          <w:kern w:val="0"/>
          <w:sz w:val="28"/>
          <w:szCs w:val="28"/>
          <w:highlight w:val="none"/>
        </w:rPr>
        <w:t xml:space="preserve">第五十一条 </w:t>
      </w:r>
      <w:r>
        <w:rPr>
          <w:rFonts w:hint="eastAsia" w:ascii="宋体" w:hAnsi="宋体" w:cs="宋体"/>
          <w:kern w:val="0"/>
          <w:sz w:val="28"/>
          <w:szCs w:val="28"/>
          <w:highlight w:val="none"/>
        </w:rPr>
        <w:t>本办法解释权属于郑州商品交易所。</w:t>
      </w:r>
    </w:p>
    <w:p>
      <w:pPr>
        <w:spacing w:line="360" w:lineRule="auto"/>
        <w:ind w:right="57" w:firstLine="560" w:firstLineChars="200"/>
        <w:rPr>
          <w:rFonts w:ascii="宋体"/>
          <w:sz w:val="28"/>
          <w:szCs w:val="28"/>
          <w:highlight w:val="none"/>
        </w:rPr>
      </w:pPr>
      <w:r>
        <w:rPr>
          <w:rFonts w:hint="eastAsia" w:ascii="宋体" w:hAnsi="宋体" w:eastAsia="黑体" w:cs="宋体"/>
          <w:kern w:val="0"/>
          <w:sz w:val="28"/>
          <w:szCs w:val="28"/>
          <w:highlight w:val="none"/>
        </w:rPr>
        <w:t xml:space="preserve">第五十二条 </w:t>
      </w:r>
      <w:r>
        <w:rPr>
          <w:rFonts w:hint="eastAsia" w:ascii="宋体" w:hAnsi="宋体" w:cs="宋体"/>
          <w:sz w:val="28"/>
          <w:szCs w:val="28"/>
          <w:highlight w:val="none"/>
        </w:rPr>
        <w:t>本办法自</w:t>
      </w:r>
      <w:r>
        <w:rPr>
          <w:rFonts w:hint="eastAsia" w:ascii="宋体" w:hAnsi="宋体" w:cs="宋体"/>
          <w:kern w:val="0"/>
          <w:sz w:val="28"/>
          <w:szCs w:val="28"/>
          <w:highlight w:val="none"/>
          <w:lang w:val="en-US" w:eastAsia="zh-CN"/>
        </w:rPr>
        <w:t>2026</w:t>
      </w:r>
      <w:r>
        <w:rPr>
          <w:rFonts w:hint="eastAsia" w:ascii="宋体" w:hAnsi="宋体" w:cs="宋体"/>
          <w:kern w:val="0"/>
          <w:sz w:val="28"/>
          <w:szCs w:val="28"/>
          <w:highlight w:val="none"/>
        </w:rPr>
        <w:t>年</w:t>
      </w:r>
      <w:r>
        <w:rPr>
          <w:rFonts w:hint="default" w:ascii="宋体" w:hAnsi="宋体" w:cs="宋体"/>
          <w:kern w:val="0"/>
          <w:sz w:val="28"/>
          <w:szCs w:val="28"/>
          <w:highlight w:val="none"/>
          <w:lang w:val="en-US" w:eastAsia="zh-CN"/>
        </w:rPr>
        <w:t>5</w:t>
      </w:r>
      <w:r>
        <w:rPr>
          <w:rFonts w:hint="eastAsia" w:ascii="宋体" w:hAnsi="宋体" w:cs="宋体"/>
          <w:kern w:val="0"/>
          <w:sz w:val="28"/>
          <w:szCs w:val="28"/>
          <w:highlight w:val="none"/>
        </w:rPr>
        <w:t>月</w:t>
      </w:r>
      <w:r>
        <w:rPr>
          <w:rFonts w:hint="default" w:ascii="宋体" w:hAnsi="宋体" w:cs="宋体"/>
          <w:kern w:val="0"/>
          <w:sz w:val="28"/>
          <w:szCs w:val="28"/>
          <w:highlight w:val="none"/>
          <w:lang w:val="en-US" w:eastAsia="zh-CN"/>
        </w:rPr>
        <w:t>7</w:t>
      </w:r>
      <w:r>
        <w:rPr>
          <w:rFonts w:hint="eastAsia" w:ascii="宋体" w:hAnsi="宋体" w:cs="宋体"/>
          <w:kern w:val="0"/>
          <w:sz w:val="28"/>
          <w:szCs w:val="28"/>
          <w:highlight w:val="none"/>
        </w:rPr>
        <w:t>日起施行。</w:t>
      </w:r>
    </w:p>
    <w:p>
      <w:pPr>
        <w:adjustRightInd w:val="0"/>
        <w:snapToGrid w:val="0"/>
        <w:spacing w:line="520" w:lineRule="exact"/>
        <w:jc w:val="left"/>
        <w:rPr>
          <w:rFonts w:ascii="宋体" w:hAnsi="宋体" w:cs="黑体"/>
          <w:sz w:val="28"/>
          <w:szCs w:val="28"/>
          <w:highlight w:val="none"/>
        </w:rPr>
      </w:pPr>
      <w:r>
        <w:rPr>
          <w:rFonts w:hint="eastAsia" w:ascii="宋体"/>
          <w:kern w:val="0"/>
          <w:sz w:val="28"/>
          <w:szCs w:val="28"/>
          <w:highlight w:val="none"/>
        </w:rPr>
        <w:br w:type="page"/>
      </w:r>
      <w:r>
        <w:rPr>
          <w:rFonts w:hint="eastAsia" w:ascii="黑体" w:hAnsi="黑体" w:eastAsia="黑体" w:cs="黑体"/>
          <w:sz w:val="32"/>
          <w:szCs w:val="32"/>
          <w:highlight w:val="none"/>
        </w:rPr>
        <w:t>附  件</w:t>
      </w:r>
    </w:p>
    <w:p>
      <w:pPr>
        <w:adjustRightInd w:val="0"/>
        <w:snapToGrid w:val="0"/>
        <w:spacing w:line="520" w:lineRule="exact"/>
        <w:ind w:firstLine="880"/>
        <w:jc w:val="center"/>
        <w:rPr>
          <w:rFonts w:ascii="华文中宋" w:hAnsi="华文中宋" w:eastAsia="华文中宋" w:cs="黑体"/>
          <w:sz w:val="44"/>
          <w:szCs w:val="44"/>
          <w:highlight w:val="none"/>
        </w:rPr>
      </w:pPr>
      <w:r>
        <w:rPr>
          <w:rFonts w:hint="eastAsia" w:ascii="华文中宋" w:hAnsi="华文中宋" w:eastAsia="华文中宋" w:cs="黑体"/>
          <w:sz w:val="44"/>
          <w:szCs w:val="44"/>
          <w:highlight w:val="none"/>
        </w:rPr>
        <w:t>平仓数量的分配方法及步骤</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2"/>
        <w:gridCol w:w="2277"/>
        <w:gridCol w:w="1276"/>
        <w:gridCol w:w="2127"/>
        <w:gridCol w:w="1131"/>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bottom"/>
          </w:tcPr>
          <w:p>
            <w:pPr>
              <w:tabs>
                <w:tab w:val="left" w:pos="1854"/>
                <w:tab w:val="left" w:pos="2100"/>
              </w:tabs>
              <w:adjustRightInd w:val="0"/>
              <w:snapToGrid w:val="0"/>
              <w:spacing w:line="800" w:lineRule="exact"/>
              <w:jc w:val="center"/>
              <w:rPr>
                <w:rFonts w:ascii="宋体" w:cs="宋体"/>
                <w:bCs/>
                <w:spacing w:val="10"/>
                <w:sz w:val="24"/>
                <w:highlight w:val="none"/>
              </w:rPr>
            </w:pPr>
            <w:r>
              <w:rPr>
                <w:rFonts w:hint="eastAsia" w:ascii="宋体" w:hAnsi="宋体" w:cs="宋体"/>
                <w:bCs/>
                <w:spacing w:val="10"/>
                <w:sz w:val="24"/>
                <w:highlight w:val="none"/>
              </w:rPr>
              <w:t>步骤</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800" w:lineRule="exact"/>
              <w:jc w:val="center"/>
              <w:rPr>
                <w:rFonts w:ascii="宋体" w:cs="宋体"/>
                <w:bCs/>
                <w:spacing w:val="10"/>
                <w:sz w:val="24"/>
                <w:highlight w:val="none"/>
              </w:rPr>
            </w:pPr>
            <w:r>
              <w:rPr>
                <w:rFonts w:hint="eastAsia" w:ascii="宋体" w:hAnsi="宋体" w:cs="宋体"/>
                <w:bCs/>
                <w:spacing w:val="10"/>
                <w:sz w:val="24"/>
                <w:highlight w:val="none"/>
              </w:rPr>
              <w:t>分配条件</w:t>
            </w:r>
          </w:p>
        </w:tc>
        <w:tc>
          <w:tcPr>
            <w:tcW w:w="767"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800" w:lineRule="exact"/>
              <w:jc w:val="center"/>
              <w:rPr>
                <w:rFonts w:ascii="宋体" w:cs="宋体"/>
                <w:bCs/>
                <w:spacing w:val="10"/>
                <w:sz w:val="24"/>
                <w:highlight w:val="none"/>
              </w:rPr>
            </w:pPr>
            <w:r>
              <w:rPr>
                <w:rFonts w:hint="eastAsia" w:ascii="宋体" w:hAnsi="宋体" w:cs="宋体"/>
                <w:bCs/>
                <w:spacing w:val="10"/>
                <w:sz w:val="24"/>
                <w:highlight w:val="none"/>
              </w:rPr>
              <w:t>分配数</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800" w:lineRule="exact"/>
              <w:jc w:val="center"/>
              <w:rPr>
                <w:rFonts w:ascii="宋体" w:cs="宋体"/>
                <w:bCs/>
                <w:spacing w:val="10"/>
                <w:sz w:val="24"/>
                <w:highlight w:val="none"/>
              </w:rPr>
            </w:pPr>
            <w:r>
              <w:rPr>
                <w:rFonts w:hint="eastAsia" w:ascii="宋体" w:hAnsi="宋体" w:cs="宋体"/>
                <w:bCs/>
                <w:spacing w:val="10"/>
                <w:sz w:val="24"/>
                <w:highlight w:val="none"/>
              </w:rPr>
              <w:t>分配比例</w:t>
            </w:r>
          </w:p>
        </w:tc>
        <w:tc>
          <w:tcPr>
            <w:tcW w:w="680"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800" w:lineRule="exact"/>
              <w:jc w:val="center"/>
              <w:rPr>
                <w:rFonts w:ascii="宋体" w:cs="宋体"/>
                <w:bCs/>
                <w:spacing w:val="10"/>
                <w:sz w:val="24"/>
                <w:highlight w:val="none"/>
              </w:rPr>
            </w:pPr>
            <w:r>
              <w:rPr>
                <w:rFonts w:hint="eastAsia" w:ascii="宋体" w:hAnsi="宋体" w:cs="宋体"/>
                <w:bCs/>
                <w:spacing w:val="10"/>
                <w:sz w:val="24"/>
                <w:highlight w:val="none"/>
              </w:rPr>
              <w:t>分配对象</w:t>
            </w:r>
          </w:p>
        </w:tc>
        <w:tc>
          <w:tcPr>
            <w:tcW w:w="651"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800" w:lineRule="exact"/>
              <w:jc w:val="center"/>
              <w:rPr>
                <w:rFonts w:ascii="宋体" w:cs="宋体"/>
                <w:bCs/>
                <w:spacing w:val="10"/>
                <w:sz w:val="24"/>
                <w:highlight w:val="none"/>
              </w:rPr>
            </w:pPr>
            <w:r>
              <w:rPr>
                <w:rFonts w:hint="eastAsia" w:ascii="宋体" w:hAnsi="宋体" w:cs="宋体"/>
                <w:bCs/>
                <w:spacing w:val="10"/>
                <w:sz w:val="24"/>
                <w:highlight w:val="no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center"/>
              <w:rPr>
                <w:rFonts w:ascii="宋体" w:hAnsi="宋体" w:cs="宋体"/>
                <w:spacing w:val="10"/>
                <w:sz w:val="24"/>
                <w:highlight w:val="none"/>
              </w:rPr>
            </w:pPr>
            <w:r>
              <w:rPr>
                <w:rFonts w:hint="eastAsia" w:ascii="宋体" w:hAnsi="宋体" w:cs="宋体"/>
                <w:spacing w:val="10"/>
                <w:sz w:val="24"/>
                <w:highlight w:val="none"/>
              </w:rPr>
              <w:t>1</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盈利2倍的投机持仓数量≥申报平仓数量</w:t>
            </w:r>
          </w:p>
        </w:tc>
        <w:tc>
          <w:tcPr>
            <w:tcW w:w="767"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申报平仓数量</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申报平仓数量÷盈利2倍的投机持仓数量</w:t>
            </w:r>
          </w:p>
        </w:tc>
        <w:tc>
          <w:tcPr>
            <w:tcW w:w="680"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盈利2倍的投机客户</w:t>
            </w:r>
          </w:p>
        </w:tc>
        <w:tc>
          <w:tcPr>
            <w:tcW w:w="651"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分配完毕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center"/>
              <w:rPr>
                <w:rFonts w:ascii="宋体" w:hAnsi="宋体" w:cs="宋体"/>
                <w:spacing w:val="10"/>
                <w:sz w:val="24"/>
                <w:highlight w:val="none"/>
              </w:rPr>
            </w:pPr>
            <w:r>
              <w:rPr>
                <w:rFonts w:hint="eastAsia" w:ascii="宋体" w:hAnsi="宋体" w:cs="宋体"/>
                <w:spacing w:val="10"/>
                <w:sz w:val="24"/>
                <w:highlight w:val="none"/>
              </w:rPr>
              <w:t>2</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盈利2倍的投机持仓数量&lt;申报平仓数量</w:t>
            </w:r>
          </w:p>
        </w:tc>
        <w:tc>
          <w:tcPr>
            <w:tcW w:w="767"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盈利2倍的投机持仓数量</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盈利2倍的投机持仓数量÷申报平仓数量</w:t>
            </w:r>
          </w:p>
        </w:tc>
        <w:tc>
          <w:tcPr>
            <w:tcW w:w="680"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申报平仓客户</w:t>
            </w:r>
          </w:p>
        </w:tc>
        <w:tc>
          <w:tcPr>
            <w:tcW w:w="651"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有剩余再按步骤3，4分配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center"/>
              <w:rPr>
                <w:rFonts w:ascii="宋体" w:hAnsi="宋体" w:cs="宋体"/>
                <w:spacing w:val="10"/>
                <w:sz w:val="24"/>
                <w:highlight w:val="none"/>
              </w:rPr>
            </w:pPr>
            <w:r>
              <w:rPr>
                <w:rFonts w:hint="eastAsia" w:ascii="宋体" w:hAnsi="宋体" w:cs="宋体"/>
                <w:spacing w:val="10"/>
                <w:sz w:val="24"/>
                <w:highlight w:val="none"/>
              </w:rPr>
              <w:t>3</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盈利1倍的投机持仓数量≥剩余申报平仓数量1</w:t>
            </w:r>
          </w:p>
        </w:tc>
        <w:tc>
          <w:tcPr>
            <w:tcW w:w="767"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剩余申报平仓数量1</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剩余申报平仓数量1÷盈利1倍的投机持仓数量</w:t>
            </w:r>
          </w:p>
        </w:tc>
        <w:tc>
          <w:tcPr>
            <w:tcW w:w="680"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盈利1倍的投机客户</w:t>
            </w:r>
          </w:p>
        </w:tc>
        <w:tc>
          <w:tcPr>
            <w:tcW w:w="651"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分配完毕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center"/>
              <w:rPr>
                <w:rFonts w:ascii="宋体" w:hAnsi="宋体" w:cs="宋体"/>
                <w:spacing w:val="10"/>
                <w:sz w:val="24"/>
                <w:highlight w:val="none"/>
              </w:rPr>
            </w:pPr>
            <w:r>
              <w:rPr>
                <w:rFonts w:hint="eastAsia" w:ascii="宋体" w:hAnsi="宋体" w:cs="宋体"/>
                <w:spacing w:val="10"/>
                <w:sz w:val="24"/>
                <w:highlight w:val="none"/>
              </w:rPr>
              <w:t>4</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盈利1倍的投机持仓数量&lt;剩余申报平仓数量1</w:t>
            </w:r>
          </w:p>
        </w:tc>
        <w:tc>
          <w:tcPr>
            <w:tcW w:w="767"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盈利1倍的投机持仓数量</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盈利1倍的投机持仓数量÷剩余申报平仓数量1</w:t>
            </w:r>
          </w:p>
        </w:tc>
        <w:tc>
          <w:tcPr>
            <w:tcW w:w="680"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剩余申报平仓客户</w:t>
            </w:r>
          </w:p>
        </w:tc>
        <w:tc>
          <w:tcPr>
            <w:tcW w:w="651"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有剩余再按步骤5，6分配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center"/>
              <w:rPr>
                <w:rFonts w:ascii="宋体" w:hAnsi="宋体" w:cs="宋体"/>
                <w:spacing w:val="10"/>
                <w:sz w:val="24"/>
                <w:highlight w:val="none"/>
              </w:rPr>
            </w:pPr>
            <w:r>
              <w:rPr>
                <w:rFonts w:hint="eastAsia" w:ascii="宋体" w:hAnsi="宋体" w:cs="宋体"/>
                <w:spacing w:val="10"/>
                <w:sz w:val="24"/>
                <w:highlight w:val="none"/>
              </w:rPr>
              <w:t>5</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盈利1倍以下的投机持仓数量≥剩余申报平仓数量2</w:t>
            </w:r>
          </w:p>
        </w:tc>
        <w:tc>
          <w:tcPr>
            <w:tcW w:w="767"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剩余申报平仓数量2</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剩余申报平仓数量2÷盈利1倍以下的投机持仓数量</w:t>
            </w:r>
          </w:p>
        </w:tc>
        <w:tc>
          <w:tcPr>
            <w:tcW w:w="680"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盈利1倍以下的投机客户</w:t>
            </w:r>
          </w:p>
        </w:tc>
        <w:tc>
          <w:tcPr>
            <w:tcW w:w="651"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分配完毕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center"/>
              <w:rPr>
                <w:rFonts w:ascii="宋体" w:hAnsi="宋体" w:cs="宋体"/>
                <w:spacing w:val="10"/>
                <w:sz w:val="24"/>
                <w:highlight w:val="none"/>
              </w:rPr>
            </w:pPr>
            <w:r>
              <w:rPr>
                <w:rFonts w:hint="eastAsia" w:ascii="宋体" w:hAnsi="宋体" w:cs="宋体"/>
                <w:spacing w:val="10"/>
                <w:sz w:val="24"/>
                <w:highlight w:val="none"/>
              </w:rPr>
              <w:t>6</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盈利1倍以下的投机持仓数量&lt;剩余申报平仓数量2</w:t>
            </w:r>
          </w:p>
        </w:tc>
        <w:tc>
          <w:tcPr>
            <w:tcW w:w="767"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盈利1倍以下的投机持仓数量</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盈利1倍以下的投机持仓数量÷剩余申报平仓数量2</w:t>
            </w:r>
          </w:p>
        </w:tc>
        <w:tc>
          <w:tcPr>
            <w:tcW w:w="680"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剩余申报平仓客户</w:t>
            </w:r>
          </w:p>
        </w:tc>
        <w:tc>
          <w:tcPr>
            <w:tcW w:w="651"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有剩余再按步骤7，8分配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center"/>
              <w:rPr>
                <w:rFonts w:ascii="宋体" w:hAnsi="宋体" w:cs="宋体"/>
                <w:spacing w:val="10"/>
                <w:sz w:val="24"/>
                <w:highlight w:val="none"/>
              </w:rPr>
            </w:pPr>
            <w:r>
              <w:rPr>
                <w:rFonts w:hint="eastAsia" w:ascii="宋体" w:hAnsi="宋体" w:cs="宋体"/>
                <w:spacing w:val="10"/>
                <w:sz w:val="24"/>
                <w:highlight w:val="none"/>
              </w:rPr>
              <w:t>7</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盈利2倍的保值持仓数量≥剩余申报平仓数量3</w:t>
            </w:r>
          </w:p>
        </w:tc>
        <w:tc>
          <w:tcPr>
            <w:tcW w:w="767"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剩余申报平仓数量3</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剩余申报平仓数量3÷盈利2倍的保值持仓数量</w:t>
            </w:r>
          </w:p>
        </w:tc>
        <w:tc>
          <w:tcPr>
            <w:tcW w:w="680"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盈利2倍的保值客户</w:t>
            </w:r>
          </w:p>
        </w:tc>
        <w:tc>
          <w:tcPr>
            <w:tcW w:w="651"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分配完毕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atLeast"/>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center"/>
              <w:rPr>
                <w:rFonts w:ascii="宋体" w:hAnsi="宋体" w:cs="宋体"/>
                <w:spacing w:val="10"/>
                <w:sz w:val="24"/>
                <w:highlight w:val="none"/>
              </w:rPr>
            </w:pPr>
            <w:r>
              <w:rPr>
                <w:rFonts w:hint="eastAsia" w:ascii="宋体" w:hAnsi="宋体" w:cs="宋体"/>
                <w:spacing w:val="10"/>
                <w:sz w:val="24"/>
                <w:highlight w:val="none"/>
              </w:rPr>
              <w:t>8</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盈利2倍的保值持仓数量&lt;剩余申报平仓数量3</w:t>
            </w:r>
          </w:p>
        </w:tc>
        <w:tc>
          <w:tcPr>
            <w:tcW w:w="767"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盈利2倍的保值持仓数量</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hAnsi="宋体" w:cs="宋体"/>
                <w:spacing w:val="10"/>
                <w:sz w:val="24"/>
                <w:highlight w:val="none"/>
              </w:rPr>
            </w:pPr>
            <w:r>
              <w:rPr>
                <w:rFonts w:hint="eastAsia" w:ascii="宋体" w:hAnsi="宋体" w:cs="宋体"/>
                <w:spacing w:val="10"/>
                <w:sz w:val="24"/>
                <w:highlight w:val="none"/>
              </w:rPr>
              <w:t>盈利2倍的保值持仓数量÷剩余申报平仓数量3</w:t>
            </w:r>
          </w:p>
        </w:tc>
        <w:tc>
          <w:tcPr>
            <w:tcW w:w="680"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剩余申报平仓客户</w:t>
            </w:r>
          </w:p>
        </w:tc>
        <w:tc>
          <w:tcPr>
            <w:tcW w:w="651" w:type="pct"/>
            <w:tcBorders>
              <w:top w:val="single" w:color="auto" w:sz="4" w:space="0"/>
              <w:left w:val="single" w:color="auto" w:sz="4" w:space="0"/>
              <w:bottom w:val="single" w:color="auto" w:sz="4" w:space="0"/>
              <w:right w:val="single" w:color="auto" w:sz="4" w:space="0"/>
            </w:tcBorders>
            <w:noWrap w:val="0"/>
            <w:vAlign w:val="center"/>
          </w:tcPr>
          <w:p>
            <w:pPr>
              <w:tabs>
                <w:tab w:val="left" w:pos="1854"/>
                <w:tab w:val="left" w:pos="2100"/>
              </w:tabs>
              <w:adjustRightInd w:val="0"/>
              <w:snapToGrid w:val="0"/>
              <w:spacing w:line="240" w:lineRule="exact"/>
              <w:jc w:val="left"/>
              <w:rPr>
                <w:rFonts w:ascii="宋体" w:cs="宋体"/>
                <w:spacing w:val="10"/>
                <w:sz w:val="24"/>
                <w:highlight w:val="none"/>
              </w:rPr>
            </w:pPr>
            <w:r>
              <w:rPr>
                <w:rFonts w:hint="eastAsia" w:ascii="宋体" w:hAnsi="宋体" w:cs="宋体"/>
                <w:spacing w:val="10"/>
                <w:sz w:val="24"/>
                <w:highlight w:val="none"/>
              </w:rPr>
              <w:t>有剩余不再分配</w:t>
            </w:r>
          </w:p>
        </w:tc>
      </w:tr>
    </w:tbl>
    <w:p>
      <w:pPr>
        <w:widowControl/>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注：1.剩余申报平仓数量1=申报平仓数量-盈利2倍的投机持仓数量；</w:t>
      </w:r>
    </w:p>
    <w:p>
      <w:pPr>
        <w:widowControl/>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2.剩余申报平仓数量2=剩余申报平仓数量1-盈利1倍的投机持仓数量；</w:t>
      </w:r>
    </w:p>
    <w:p>
      <w:pPr>
        <w:widowControl/>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3.剩余申报平仓数量3=剩余申报平仓数量2-盈利1倍以下的投机持仓数量；</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4.投机持仓数量和保值持仓数量是指在平仓范围内盈利客户的持仓数量。</w:t>
      </w:r>
    </w:p>
    <w:p>
      <w:pPr>
        <w:rPr>
          <w:rFonts w:hint="default" w:eastAsia="宋体"/>
          <w:highlight w:val="none"/>
          <w:lang w:val="en-US" w:eastAsia="zh-CN"/>
        </w:rPr>
      </w:pPr>
      <w:r>
        <w:rPr>
          <w:rFonts w:hint="eastAsia" w:ascii="宋体" w:hAnsi="宋体" w:cs="宋体"/>
          <w:kern w:val="0"/>
          <w:sz w:val="28"/>
          <w:szCs w:val="28"/>
          <w:highlight w:val="none"/>
        </w:rPr>
        <w:br w:type="page"/>
      </w:r>
      <w:r>
        <w:rPr>
          <w:rFonts w:hint="eastAsia" w:ascii="黑体" w:hAnsi="黑体" w:eastAsia="黑体" w:cs="黑体"/>
          <w:kern w:val="0"/>
          <w:sz w:val="32"/>
          <w:szCs w:val="32"/>
          <w:highlight w:val="none"/>
          <w:lang w:eastAsia="zh-CN"/>
        </w:rPr>
        <w:t>附件</w:t>
      </w:r>
      <w:r>
        <w:rPr>
          <w:rFonts w:hint="eastAsia" w:ascii="黑体" w:hAnsi="黑体" w:eastAsia="黑体" w:cs="黑体"/>
          <w:kern w:val="0"/>
          <w:sz w:val="32"/>
          <w:szCs w:val="32"/>
          <w:highlight w:val="none"/>
          <w:lang w:val="en-US" w:eastAsia="zh-CN"/>
        </w:rPr>
        <w:t>11</w:t>
      </w:r>
    </w:p>
    <w:bookmarkEnd w:id="37"/>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郑州商品交易所实际控制关系账户管理办法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对《郑州商品交易所实际控制关系账户管理办法》作如下修订：</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二条修订为：“期货公司会员、境外特殊经纪参与者、境外中介机构应当告知客户具有报备实际控制关系账户的义务，切实履行对客户实际控制关系账户的管理职责，对实际控制关系账户的报备、管理等相关材料登记存档、妥善保存，并对客户报备内容保密。”</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三条修订为：“非期货公司会员、境外特殊非经纪参与者、客户参与期货交易应当遵守法律、法规、规章和交易所业务规则，接受交易所对其实际控制关系账户的管理。客户还应当接受期货公司会员、境外特殊经纪参与者、境外中介机构对其实际控制关系账户的管理。”</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六条修订为：“客户应当按照中国期货市场监控中心（以下简称监控中心）相关规定通过各自开户的期货公司会员、境外特殊经纪参与者或者境外中介机构履行实际控制关系账户的报备、变更和解除程序。交易所与监控中心建立实际控制关系账户信息共享机制，按照规定使用实际控制关系账户信息。”</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七条修订为：“符合实际控制关系账户认定标准的非期货公司会员、境外特殊非经纪参与者应当在成为交易所会员或者境外特殊非经纪参与者后10个交易日内直接向交易所进行报备，由交易所将相关报备信息发至监控中心。”</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将第三章第八条修订为：“非期货公司会员、境外特殊非经纪参与者实际控制关系发生变更的,应当在发生变更之日起10个交易日内主动向交易所报备变更情况，由交易所将相关报备信息发至监控中心。”</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九条修订为：“申请解除实际控制关系的客户应当通过其开户的期货公司会员、境外特殊经纪参与者或者境外中介机构向监控中心提出申请，由监控中心将解除申请转交易所审核，客户应当按照交易所要求通过其开户的期货公司会员、境外特殊经纪参与者或者境外中介机构提交相关说明材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“申请解除实际控制关系的非期货公司会员、境外特殊非经纪参与者可以直接向交易所提出申请，并应当按照交易所要求提交相关说明材料。”</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条修订为：“交易所在日常自律监管中发现具有疑似实际控制关系但尚未报备的账户，开户人为委托期货公司会员从事期货交易的客户的，交易所可以直接或通过期货公司会员进行询问，期货公司会员应当及时将交易所询问向客户进行转达；开户人为委托境外特殊经纪参与者从事期货交易的客户的，交易所可以直接或通过境外特殊经纪参与者进行询问，境外特殊经纪参与者应当及时将交易所询问向客户进行转达；开户人为非期货公司会员、境外特殊非经纪参与者的，交易所可以直接询问。客户委托境外中介机构从事期货交易的，期货公司会员或者境外特殊经纪参与者应及时将交易所询问向境外中介机构进行转达，境外中介机构应及时将相关询问向客户进行转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于交易所的询问，非期货公司会员、境外特殊非经纪参与者、客户应当以书面形式及时回复，并提供相关材料；相关期货公司会员、境外特殊经纪参与者、境外中介机构应及时将客户的回复及相关说明材料报送交易所。”</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一条修订为：“经交易所询问，非期货公司会员、境外特殊非经纪参与者、客户承认存在实际控制关系的，应当按照规定的报备流程进行报备；非期货公司会员、境外特殊非经纪参与者、客户否认存在实际控制关系的，应当签署《合规声明及承诺书》，交易所将对相关说明材料进行审核，分别作出以下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非期货公司会员、境外特殊非经纪参与者、客户提交的说明材料事实理由不充分，经交易所调查认为符合实际控制关系认定标准的，交易所要求其报备，非期货公司会员、境外特殊非经纪参与者、客户未在规定时间内完成报备的，交易所可以依据规则认定为具有实际控制关系；若经调查暂无法认定是否符合实际控制关系认定标准的，交易所可将其列入重点监控名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“（二）非期货公司会员、境外特殊非经纪参与者、客户提交的说明材料事实理由充分，确不属于实际控制关系的，交易所不认定为具有实际控制关系。”</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二条修订为：“在交易所询问、调查及认定过程中对于存在以下情形的非期货公司会员、境外特殊非经纪参与者、客户，根据情况分别作出以下自律监管措施；情节严重的，交易所将依据《郑州商品交易所违规处理办法》有关规定进行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“（一）不回复或不如实回复交易所询问、隐瞒事实真相、或者故意回避的，交易所可以采取约见谈话、书面警示、限制出金、限制开仓等措施；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“（二）不如实报备实际控制关系，经交易所询问后报备的非期货公司会员、境外特殊非经纪参与者、客户，交易所可以采取口头警示、要求提交书面说明等措施；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不如实报备实际控制关系、不回复或不如实回复交易所询问，经交易所调查认定为具有实际控制关系的非期货公司会员、境外特殊非经纪参与者、客户，交易所可以采取约见谈话、书面警示、限制出金、限制开仓等措施。”</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三条修订为：“期货公司会员、境外特殊经纪参与者、境外中介机构具有下列情形之一的，交易所责令改正，并采取电话提示、约见谈话、发出监管警示函、发出监管意见函等自律监管措施；情节严重的，交易所将依据《郑州商品交易所违规处理办法》有关规定进行处理：……”。</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将第四章第十五条修订为：“一组实际控制关系账户内均为客户的，其合并计算的持仓量不得超过单个客户的持仓限额。</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“一组实际控制关系账户内包含非期货公司会员或境外特殊非经纪参与者的，其合并计算的持仓量不得超过单个非期货公司会员或境外特殊非经纪参与者的持仓限额。”</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十七条修订为：“一组实际控制关系账户自成交、频繁报撤单和大额报撤单等合并计算后达到《郑州商品交易所异常交易行为管理办法》异常交易行为处理标准的，交易所对该组实际控制关系账户按照异常交易行为采取自律监管措施。”</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将第四章第十八条修订为：“除本办法另有规定外，非期货公司会员、境外特殊非经纪参与者按照客户的有关规定执行。”</w:t>
      </w:r>
    </w:p>
    <w:p>
      <w:pPr>
        <w:widowControl/>
        <w:jc w:val="center"/>
        <w:rPr>
          <w:rFonts w:hint="eastAsia" w:ascii="方正小标宋简体" w:hAnsi="方正小标宋简体" w:eastAsia="方正小标宋简体" w:cs="方正小标宋简体"/>
          <w:b w:val="0"/>
          <w:bCs/>
          <w:sz w:val="40"/>
          <w:szCs w:val="40"/>
          <w:highlight w:val="none"/>
          <w:lang w:eastAsia="zh-CN"/>
        </w:rPr>
      </w:pPr>
      <w:r>
        <w:rPr>
          <w:rFonts w:hint="eastAsia" w:ascii="方正小标宋简体" w:hAnsi="方正小标宋简体" w:eastAsia="方正小标宋简体" w:cs="方正小标宋简体"/>
          <w:b w:val="0"/>
          <w:bCs/>
          <w:sz w:val="40"/>
          <w:szCs w:val="40"/>
          <w:highlight w:val="none"/>
        </w:rPr>
        <w:br w:type="page"/>
      </w:r>
      <w:r>
        <w:rPr>
          <w:rFonts w:hint="eastAsia" w:ascii="方正小标宋简体" w:hAnsi="方正小标宋简体" w:eastAsia="方正小标宋简体" w:cs="方正小标宋简体"/>
          <w:b w:val="0"/>
          <w:bCs/>
          <w:sz w:val="40"/>
          <w:szCs w:val="40"/>
          <w:highlight w:val="none"/>
        </w:rPr>
        <w:t>《郑州商品交易所实际控制关系账户管理办法》修订对照表</w:t>
      </w:r>
    </w:p>
    <w:p>
      <w:pPr>
        <w:widowControl/>
        <w:spacing w:line="360" w:lineRule="auto"/>
        <w:jc w:val="center"/>
        <w:outlineLvl w:val="0"/>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noWrap w:val="0"/>
            <w:vAlign w:val="center"/>
          </w:tcPr>
          <w:p>
            <w:pPr>
              <w:ind w:firstLine="422"/>
              <w:jc w:val="center"/>
              <w:rPr>
                <w:rFonts w:ascii="仿宋" w:hAnsi="仿宋" w:eastAsia="仿宋"/>
                <w:b/>
                <w:sz w:val="24"/>
                <w:highlight w:val="none"/>
              </w:rPr>
            </w:pPr>
            <w:r>
              <w:rPr>
                <w:rFonts w:hint="eastAsia" w:ascii="仿宋" w:hAnsi="仿宋" w:eastAsia="仿宋"/>
                <w:b/>
                <w:sz w:val="24"/>
                <w:highlight w:val="none"/>
                <w:lang w:eastAsia="zh-CN"/>
              </w:rPr>
              <w:t>修订前</w:t>
            </w:r>
            <w:r>
              <w:rPr>
                <w:rFonts w:ascii="仿宋" w:hAnsi="仿宋" w:eastAsia="仿宋"/>
                <w:b/>
                <w:sz w:val="24"/>
                <w:highlight w:val="none"/>
              </w:rPr>
              <w:t>条文</w:t>
            </w:r>
          </w:p>
        </w:tc>
        <w:tc>
          <w:tcPr>
            <w:tcW w:w="4261" w:type="dxa"/>
            <w:noWrap w:val="0"/>
            <w:vAlign w:val="center"/>
          </w:tcPr>
          <w:p>
            <w:pPr>
              <w:ind w:firstLine="422"/>
              <w:jc w:val="center"/>
              <w:rPr>
                <w:rFonts w:ascii="仿宋" w:hAnsi="仿宋" w:eastAsia="仿宋"/>
                <w:b/>
                <w:sz w:val="24"/>
                <w:highlight w:val="none"/>
              </w:rPr>
            </w:pPr>
            <w:r>
              <w:rPr>
                <w:rFonts w:ascii="仿宋" w:hAnsi="仿宋" w:eastAsia="仿宋"/>
                <w:b/>
                <w:sz w:val="24"/>
                <w:highlight w:val="none"/>
              </w:rPr>
              <w:t>修订</w:t>
            </w:r>
            <w:r>
              <w:rPr>
                <w:rFonts w:hint="eastAsia" w:ascii="仿宋" w:hAnsi="仿宋" w:eastAsia="仿宋"/>
                <w:b/>
                <w:sz w:val="24"/>
                <w:highlight w:val="none"/>
                <w:lang w:eastAsia="zh-CN"/>
              </w:rPr>
              <w:t>后</w:t>
            </w:r>
            <w:r>
              <w:rPr>
                <w:rFonts w:ascii="仿宋" w:hAnsi="仿宋" w:eastAsia="仿宋"/>
                <w:b/>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widowControl/>
              <w:ind w:firstLine="420"/>
              <w:rPr>
                <w:rFonts w:ascii="仿宋" w:hAnsi="仿宋" w:eastAsia="仿宋"/>
                <w:sz w:val="24"/>
                <w:highlight w:val="none"/>
              </w:rPr>
            </w:pPr>
            <w:r>
              <w:rPr>
                <w:rFonts w:hint="eastAsia" w:ascii="仿宋" w:hAnsi="仿宋" w:eastAsia="仿宋"/>
                <w:b/>
                <w:sz w:val="24"/>
                <w:highlight w:val="none"/>
              </w:rPr>
              <w:t>第二条</w:t>
            </w:r>
            <w:r>
              <w:rPr>
                <w:rFonts w:hint="eastAsia" w:ascii="仿宋" w:hAnsi="仿宋" w:eastAsia="仿宋"/>
                <w:sz w:val="24"/>
                <w:highlight w:val="none"/>
              </w:rPr>
              <w:t xml:space="preserve"> 期货公司会员、境外经纪机构应当告知客户具有报备实际控制关系账户的义务，切实履行对客户实际控制关系账户的管理职责，对实际控制关系账户的报备、管理等相关材料登记存档、妥善保存，并对客户报备内容保密。</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第二条</w:t>
            </w:r>
            <w:r>
              <w:rPr>
                <w:rFonts w:hint="eastAsia" w:ascii="仿宋" w:hAnsi="仿宋" w:eastAsia="仿宋"/>
                <w:sz w:val="24"/>
                <w:highlight w:val="none"/>
              </w:rPr>
              <w:t xml:space="preserve"> 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机构应当告知客户具有报备实际控制关系账户的义务，切实履行对客户实际控制关系账户的管理职责，对实际控制关系账户的报备、管理等相关材料登记存档、妥善保存，并对客户报备内容保密。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第三条</w:t>
            </w:r>
            <w:r>
              <w:rPr>
                <w:rFonts w:hint="eastAsia" w:ascii="仿宋" w:hAnsi="仿宋" w:eastAsia="仿宋"/>
                <w:sz w:val="24"/>
                <w:highlight w:val="none"/>
              </w:rPr>
              <w:t xml:space="preserve"> 非期货公司会员、客户参与期货交易应当遵守法律、法规、规章和交易所业务规则，接受交易所对其实际控制关系账户的管理。客户还应当接受期货公司会员、境外经纪机构对其实际控制关系账户的管理。</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第三条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客户参与期货交易应当遵守法律、法规、规章和交易所业务规则，接受交易所对其实际控制关系账户的管理。客户还应当接受期货公司会员、</w:t>
            </w:r>
            <w:r>
              <w:rPr>
                <w:rFonts w:hint="eastAsia" w:ascii="仿宋" w:hAnsi="仿宋" w:eastAsia="仿宋"/>
                <w:b/>
                <w:sz w:val="24"/>
                <w:szCs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机构对其实际控制关系账户的管理。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第六条</w:t>
            </w:r>
            <w:r>
              <w:rPr>
                <w:rFonts w:hint="eastAsia" w:ascii="仿宋" w:hAnsi="仿宋" w:eastAsia="仿宋"/>
                <w:sz w:val="24"/>
                <w:highlight w:val="none"/>
              </w:rPr>
              <w:t xml:space="preserve"> 客户应当按照中国期货市场监控中心（以下简称监控中心）相关规定履行实际控制关系账户的报备、变更和解除程序。交易所与监控中心建立实际控制关系账户信息共享机制，按照规定使用实际控制关系账户信息。</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第六条</w:t>
            </w:r>
            <w:r>
              <w:rPr>
                <w:rFonts w:hint="eastAsia" w:ascii="仿宋" w:hAnsi="仿宋" w:eastAsia="仿宋"/>
                <w:sz w:val="24"/>
                <w:highlight w:val="none"/>
              </w:rPr>
              <w:t xml:space="preserve"> 客户应当按照中国期货市场监控中心（以下简称监控中心）相关规定</w:t>
            </w:r>
            <w:r>
              <w:rPr>
                <w:rFonts w:hint="eastAsia" w:ascii="仿宋" w:hAnsi="仿宋" w:eastAsia="仿宋"/>
                <w:b/>
                <w:sz w:val="24"/>
                <w:highlight w:val="none"/>
                <w:u w:val="single"/>
              </w:rPr>
              <w:t>通过各自开户的期货公司会员、境外特殊经纪参与者或者境外中介机构</w:t>
            </w:r>
            <w:r>
              <w:rPr>
                <w:rFonts w:hint="eastAsia" w:ascii="仿宋" w:hAnsi="仿宋" w:eastAsia="仿宋"/>
                <w:sz w:val="24"/>
                <w:highlight w:val="none"/>
              </w:rPr>
              <w:t>履行实际控制关系账户的报备、变更和解除程序。交易所与监控中心建立实际控制关系账户信息共享机制，按照规定使用实际控制关系账户信息。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第七条</w:t>
            </w:r>
            <w:r>
              <w:rPr>
                <w:rFonts w:hint="eastAsia" w:ascii="仿宋" w:hAnsi="仿宋" w:eastAsia="仿宋"/>
                <w:sz w:val="24"/>
                <w:highlight w:val="none"/>
              </w:rPr>
              <w:t xml:space="preserve"> 符合实际控制关系账户认定标准的非期货公司会员应当在成为交易所会员后10个交易日内直接向交易所进行报备。</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第七条</w:t>
            </w:r>
            <w:r>
              <w:rPr>
                <w:rFonts w:hint="eastAsia" w:ascii="仿宋" w:hAnsi="仿宋" w:eastAsia="仿宋"/>
                <w:sz w:val="24"/>
                <w:highlight w:val="none"/>
              </w:rPr>
              <w:t xml:space="preserve"> 符合实际控制关系账户认定标准的非期货公司会员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应当在成为交易所会员</w:t>
            </w:r>
            <w:r>
              <w:rPr>
                <w:rFonts w:hint="eastAsia" w:ascii="仿宋" w:hAnsi="仿宋" w:eastAsia="仿宋"/>
                <w:b/>
                <w:sz w:val="24"/>
                <w:highlight w:val="none"/>
                <w:u w:val="single"/>
              </w:rPr>
              <w:t>或者境外特殊非经纪参与者</w:t>
            </w:r>
            <w:r>
              <w:rPr>
                <w:rFonts w:hint="eastAsia" w:ascii="仿宋" w:hAnsi="仿宋" w:eastAsia="仿宋"/>
                <w:sz w:val="24"/>
                <w:highlight w:val="none"/>
              </w:rPr>
              <w:t>后10个交易日内直接向交易所进行报备</w:t>
            </w:r>
            <w:r>
              <w:rPr>
                <w:rFonts w:hint="eastAsia" w:ascii="仿宋" w:hAnsi="仿宋" w:eastAsia="仿宋"/>
                <w:b/>
                <w:sz w:val="24"/>
                <w:highlight w:val="none"/>
                <w:u w:val="single"/>
              </w:rPr>
              <w:t>，由交易所将相关报备信息发至监控中心</w:t>
            </w:r>
            <w:r>
              <w:rPr>
                <w:rFonts w:hint="eastAsia"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 xml:space="preserve">第八条 </w:t>
            </w:r>
            <w:r>
              <w:rPr>
                <w:rFonts w:hint="eastAsia" w:ascii="仿宋" w:hAnsi="仿宋" w:eastAsia="仿宋"/>
                <w:sz w:val="24"/>
                <w:highlight w:val="none"/>
              </w:rPr>
              <w:t>非期货公司会员实际控制关系发生变更的,应当在发生变更之日起10个交易日内主动向交易所报备变更情况。</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第八条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实际控制关系发生变更的,应当在发生变更之日起10个交易日内主动向交易所报备变更情况</w:t>
            </w:r>
            <w:r>
              <w:rPr>
                <w:rFonts w:hint="eastAsia" w:ascii="仿宋" w:hAnsi="仿宋" w:eastAsia="仿宋"/>
                <w:b/>
                <w:sz w:val="24"/>
                <w:highlight w:val="none"/>
                <w:u w:val="single"/>
              </w:rPr>
              <w:t>，由交易所将相关报备信息发至监控中心</w:t>
            </w:r>
            <w:r>
              <w:rPr>
                <w:rFonts w:hint="eastAsia"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申请解除实际控制关系的客户应当按照规定向监控中心提出申请，由监控中心将解除申请转交易所审核，客户应当按照交易所要求提交相关说明材料。</w:t>
            </w:r>
          </w:p>
          <w:p>
            <w:pPr>
              <w:ind w:firstLine="420"/>
              <w:rPr>
                <w:rFonts w:ascii="仿宋" w:hAnsi="仿宋" w:eastAsia="仿宋"/>
                <w:sz w:val="24"/>
                <w:highlight w:val="none"/>
              </w:rPr>
            </w:pPr>
            <w:r>
              <w:rPr>
                <w:rFonts w:hint="eastAsia" w:ascii="仿宋" w:hAnsi="仿宋" w:eastAsia="仿宋"/>
                <w:sz w:val="24"/>
                <w:highlight w:val="none"/>
              </w:rPr>
              <w:t>申请解除实际控制关系的非期货公司会员可以直接向交易所提出申请，并应当按照交易所要求提交相关说明材料。</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申请解除实际控制关系的客户应当</w:t>
            </w:r>
            <w:r>
              <w:rPr>
                <w:rFonts w:hint="eastAsia" w:ascii="仿宋" w:hAnsi="仿宋" w:eastAsia="仿宋"/>
                <w:dstrike/>
                <w:sz w:val="24"/>
                <w:highlight w:val="none"/>
              </w:rPr>
              <w:t>按照规定</w:t>
            </w:r>
            <w:r>
              <w:rPr>
                <w:rFonts w:hint="eastAsia" w:ascii="仿宋" w:hAnsi="仿宋" w:eastAsia="仿宋"/>
                <w:b/>
                <w:sz w:val="24"/>
                <w:highlight w:val="none"/>
                <w:u w:val="single"/>
              </w:rPr>
              <w:t>通过其开户的期货公司会员、境外特殊经纪参与者或者境外中介机构</w:t>
            </w:r>
            <w:r>
              <w:rPr>
                <w:rFonts w:hint="eastAsia" w:ascii="仿宋" w:hAnsi="仿宋" w:eastAsia="仿宋"/>
                <w:sz w:val="24"/>
                <w:highlight w:val="none"/>
              </w:rPr>
              <w:t>向监控中心提出申请，由监控中心将解除申请转交易所审核，客户应当按照交易所要求</w:t>
            </w:r>
            <w:r>
              <w:rPr>
                <w:rFonts w:hint="eastAsia" w:ascii="仿宋" w:hAnsi="仿宋" w:eastAsia="仿宋"/>
                <w:b/>
                <w:sz w:val="24"/>
                <w:highlight w:val="none"/>
                <w:u w:val="single"/>
              </w:rPr>
              <w:t>通过其开户的期货公司会员、境外特殊经纪参与者或者境外中介机构</w:t>
            </w:r>
            <w:r>
              <w:rPr>
                <w:rFonts w:hint="eastAsia" w:ascii="仿宋" w:hAnsi="仿宋" w:eastAsia="仿宋"/>
                <w:sz w:val="24"/>
                <w:highlight w:val="none"/>
              </w:rPr>
              <w:t>提交相关说明材料。</w:t>
            </w:r>
          </w:p>
          <w:p>
            <w:pPr>
              <w:ind w:firstLine="420"/>
              <w:rPr>
                <w:rFonts w:ascii="仿宋" w:hAnsi="仿宋" w:eastAsia="仿宋"/>
                <w:sz w:val="24"/>
                <w:highlight w:val="none"/>
              </w:rPr>
            </w:pPr>
            <w:r>
              <w:rPr>
                <w:rFonts w:hint="eastAsia" w:ascii="仿宋" w:hAnsi="仿宋" w:eastAsia="仿宋"/>
                <w:sz w:val="24"/>
                <w:highlight w:val="none"/>
              </w:rPr>
              <w:t>申请解除实际控制关系的非期货公司会员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可以直接向交易所提出申请，并应当按照交易所要求提交相关说明材料。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交易所在日常自律监管中发现具有疑似实际控制关系但尚未报备的账户，开户人为客户的，交易所可以通过期货公司会员进行询问，期货公司会员应当及时将交易所询问向客户进行转达；开户人为非期货公司会员的，交易所可以直接询问。客户委托境外经纪机构从事期货交易的，期货公司会员应及时将交易所询问向境外经纪机构进行转达，境外经纪机构应及时将相关询问向客户进行转达。</w:t>
            </w:r>
          </w:p>
          <w:p>
            <w:pPr>
              <w:ind w:firstLine="420"/>
              <w:rPr>
                <w:rFonts w:ascii="仿宋" w:hAnsi="仿宋" w:eastAsia="仿宋"/>
                <w:sz w:val="24"/>
                <w:highlight w:val="none"/>
              </w:rPr>
            </w:pPr>
            <w:r>
              <w:rPr>
                <w:rFonts w:hint="eastAsia" w:ascii="仿宋" w:hAnsi="仿宋" w:eastAsia="仿宋"/>
                <w:sz w:val="24"/>
                <w:highlight w:val="none"/>
              </w:rPr>
              <w:t>对于交易所的询问，非期货公司会员、客户应当以书面形式及时回复，并提供相关材料；相关期货公司会员、境外经纪机构应及时将客户的回复及相关说明材料报送交易所。</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交易所在日常自律监管中发现具有疑似实际控制关系但尚未报备的账户，开户人为</w:t>
            </w:r>
            <w:r>
              <w:rPr>
                <w:rFonts w:hint="eastAsia" w:ascii="仿宋" w:hAnsi="仿宋" w:eastAsia="仿宋"/>
                <w:b/>
                <w:sz w:val="24"/>
                <w:highlight w:val="none"/>
                <w:u w:val="single"/>
              </w:rPr>
              <w:t>委托期货公司会员从事期货交易的</w:t>
            </w:r>
            <w:r>
              <w:rPr>
                <w:rFonts w:hint="eastAsia" w:ascii="仿宋" w:hAnsi="仿宋" w:eastAsia="仿宋"/>
                <w:sz w:val="24"/>
                <w:highlight w:val="none"/>
              </w:rPr>
              <w:t>客户的，交易所可以</w:t>
            </w:r>
            <w:r>
              <w:rPr>
                <w:rFonts w:hint="eastAsia" w:ascii="仿宋" w:hAnsi="仿宋" w:eastAsia="仿宋"/>
                <w:b/>
                <w:sz w:val="24"/>
                <w:highlight w:val="none"/>
                <w:u w:val="single"/>
              </w:rPr>
              <w:t>直接或</w:t>
            </w:r>
            <w:r>
              <w:rPr>
                <w:rFonts w:hint="eastAsia" w:ascii="仿宋" w:hAnsi="仿宋" w:eastAsia="仿宋"/>
                <w:sz w:val="24"/>
                <w:highlight w:val="none"/>
              </w:rPr>
              <w:t>通过期货公司会员进行询问，期货公司会员应当及时将交易所询问向客户进行转达；</w:t>
            </w:r>
            <w:r>
              <w:rPr>
                <w:rFonts w:hint="eastAsia" w:ascii="仿宋" w:hAnsi="仿宋" w:eastAsia="仿宋"/>
                <w:b/>
                <w:sz w:val="24"/>
                <w:highlight w:val="none"/>
                <w:u w:val="single"/>
              </w:rPr>
              <w:t>开户人为委托境外特殊经纪参与者从事期货交易的客户的，交易所可以直接或通过境外特殊经纪参与者进行询问，境外特殊经纪参与者应当及时将交易所询问向客户进行转达；</w:t>
            </w:r>
            <w:r>
              <w:rPr>
                <w:rFonts w:hint="eastAsia" w:ascii="仿宋" w:hAnsi="仿宋" w:eastAsia="仿宋"/>
                <w:sz w:val="24"/>
                <w:highlight w:val="none"/>
              </w:rPr>
              <w:t>开户人为非期货公司会员</w:t>
            </w:r>
            <w:r>
              <w:rPr>
                <w:rFonts w:hint="eastAsia" w:ascii="仿宋" w:hAnsi="仿宋" w:eastAsia="仿宋"/>
                <w:b/>
                <w:bCs/>
                <w:sz w:val="24"/>
                <w:highlight w:val="none"/>
                <w:u w:val="single"/>
                <w:lang w:eastAsia="zh-CN"/>
              </w:rPr>
              <w:t>、</w:t>
            </w:r>
            <w:r>
              <w:rPr>
                <w:rFonts w:hint="eastAsia" w:ascii="仿宋" w:hAnsi="仿宋" w:eastAsia="仿宋"/>
                <w:b/>
                <w:sz w:val="24"/>
                <w:highlight w:val="none"/>
                <w:u w:val="single"/>
              </w:rPr>
              <w:t>境外特殊非经纪参与者</w:t>
            </w:r>
            <w:r>
              <w:rPr>
                <w:rFonts w:hint="eastAsia" w:ascii="仿宋" w:hAnsi="仿宋" w:eastAsia="仿宋"/>
                <w:sz w:val="24"/>
                <w:highlight w:val="none"/>
              </w:rPr>
              <w:t>的，交易所可以直接询问。客户委托境外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机构从事期货交易的，期货公司会员</w:t>
            </w:r>
            <w:r>
              <w:rPr>
                <w:rFonts w:hint="eastAsia" w:ascii="仿宋" w:hAnsi="仿宋" w:eastAsia="仿宋"/>
                <w:b/>
                <w:sz w:val="24"/>
                <w:highlight w:val="none"/>
                <w:u w:val="single"/>
              </w:rPr>
              <w:t>或者境外特殊经纪参与者</w:t>
            </w:r>
            <w:r>
              <w:rPr>
                <w:rFonts w:hint="eastAsia" w:ascii="仿宋" w:hAnsi="仿宋" w:eastAsia="仿宋"/>
                <w:sz w:val="24"/>
                <w:highlight w:val="none"/>
              </w:rPr>
              <w:t>应及时将交易所询问向境外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机构进行转达，境外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机构应及时将相关询问向客户进行转达。</w:t>
            </w:r>
          </w:p>
          <w:p>
            <w:pPr>
              <w:ind w:firstLine="420"/>
              <w:rPr>
                <w:rFonts w:ascii="仿宋" w:hAnsi="仿宋" w:eastAsia="仿宋"/>
                <w:sz w:val="24"/>
                <w:highlight w:val="none"/>
              </w:rPr>
            </w:pPr>
            <w:r>
              <w:rPr>
                <w:rFonts w:hint="eastAsia" w:ascii="仿宋" w:hAnsi="仿宋" w:eastAsia="仿宋"/>
                <w:sz w:val="24"/>
                <w:highlight w:val="none"/>
              </w:rPr>
              <w:t>对于交易所的询问，非期货公司会员、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客户应当以书面形式及时回复，并提供相关材料；相关期货公司会员、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机构应及时将客户的回复及相关说明材料报送交易所。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 xml:space="preserve">第十一条 </w:t>
            </w:r>
            <w:r>
              <w:rPr>
                <w:rFonts w:hint="eastAsia" w:ascii="仿宋" w:hAnsi="仿宋" w:eastAsia="仿宋"/>
                <w:sz w:val="24"/>
                <w:highlight w:val="none"/>
              </w:rPr>
              <w:t>经交易所询问，非期货公司会员、客户承认存在实际控制关系的，应当按照规定的报备流程进行报备；非期货公司会员、客户否认存在实际控制关系的，应当签署《合规声明及承诺书》，交易所将对相关说明材料进行审核，分别作出以下处理：</w:t>
            </w:r>
          </w:p>
          <w:p>
            <w:pPr>
              <w:snapToGrid/>
              <w:ind w:firstLine="480" w:firstLineChars="200"/>
              <w:rPr>
                <w:rFonts w:ascii="仿宋" w:hAnsi="仿宋" w:eastAsia="仿宋" w:cs="Times New Roman"/>
                <w:sz w:val="24"/>
                <w:szCs w:val="24"/>
                <w:highlight w:val="none"/>
              </w:rPr>
            </w:pPr>
            <w:r>
              <w:rPr>
                <w:rFonts w:hint="eastAsia" w:ascii="仿宋" w:hAnsi="仿宋" w:eastAsia="仿宋" w:cs="Times New Roman"/>
                <w:sz w:val="24"/>
                <w:szCs w:val="24"/>
                <w:highlight w:val="none"/>
              </w:rPr>
              <w:t>（一）非期货公司会员、客户提交的说明材料事实理由不充分，经交易所调查认为符合实际控制关系认定标准的，交易所要求其报备，非期货公司会员、客户未在规定时间内完成报备的，交易所可以依据规则认定为具有实际控制关系；若经调查暂无法认定是否符合实际控制关系认定标准的，交易所可将其列入重点监控名单；</w:t>
            </w:r>
            <w:r>
              <w:rPr>
                <w:rFonts w:ascii="仿宋" w:hAnsi="仿宋" w:eastAsia="仿宋" w:cs="Times New Roman"/>
                <w:sz w:val="24"/>
                <w:szCs w:val="24"/>
                <w:highlight w:val="none"/>
              </w:rPr>
              <w:t xml:space="preserve"> </w:t>
            </w:r>
          </w:p>
          <w:p>
            <w:pPr>
              <w:ind w:firstLine="420"/>
              <w:rPr>
                <w:rFonts w:ascii="仿宋" w:hAnsi="仿宋" w:eastAsia="仿宋"/>
                <w:sz w:val="24"/>
                <w:highlight w:val="none"/>
              </w:rPr>
            </w:pPr>
            <w:r>
              <w:rPr>
                <w:rFonts w:hint="eastAsia" w:ascii="仿宋" w:hAnsi="仿宋" w:eastAsia="仿宋" w:cs="Times New Roman"/>
                <w:sz w:val="24"/>
                <w:szCs w:val="24"/>
                <w:highlight w:val="none"/>
              </w:rPr>
              <w:t>（二）非期货公司会员、客户提交的说明材料事实理由充分，确不属于实际控制关系的，交易所不认定为具有实际控制关系。</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 xml:space="preserve">第十一条 </w:t>
            </w:r>
            <w:r>
              <w:rPr>
                <w:rFonts w:hint="eastAsia" w:ascii="仿宋" w:hAnsi="仿宋" w:eastAsia="仿宋"/>
                <w:sz w:val="24"/>
                <w:highlight w:val="none"/>
              </w:rPr>
              <w:t>经交易所询问，非期货公司会员、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客户承认存在实际控制关系的，应当按照规定的报备流程进行报备；非期货公司会员、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客户否认存在实际控制关系的，应当签署《合规声明及承诺书》，交易所将对相关说明材料进行审核，分别作出以下处理：</w:t>
            </w:r>
          </w:p>
          <w:p>
            <w:pPr>
              <w:tabs>
                <w:tab w:val="center" w:pos="4153"/>
                <w:tab w:val="right" w:pos="8306"/>
              </w:tabs>
              <w:snapToGrid w:val="0"/>
              <w:ind w:firstLine="420"/>
              <w:rPr>
                <w:rFonts w:ascii="仿宋" w:hAnsi="仿宋" w:eastAsia="仿宋"/>
                <w:sz w:val="24"/>
                <w:szCs w:val="24"/>
                <w:highlight w:val="none"/>
              </w:rPr>
            </w:pPr>
            <w:r>
              <w:rPr>
                <w:rFonts w:hint="eastAsia" w:ascii="仿宋" w:hAnsi="仿宋" w:eastAsia="仿宋"/>
                <w:sz w:val="24"/>
                <w:szCs w:val="24"/>
                <w:highlight w:val="none"/>
              </w:rPr>
              <w:t>（一）非期货公司会员、</w:t>
            </w:r>
            <w:r>
              <w:rPr>
                <w:rFonts w:hint="eastAsia" w:ascii="仿宋" w:hAnsi="仿宋" w:eastAsia="仿宋"/>
                <w:b/>
                <w:sz w:val="24"/>
                <w:szCs w:val="24"/>
                <w:highlight w:val="none"/>
                <w:u w:val="single"/>
              </w:rPr>
              <w:t>境外特殊非经纪参与者、</w:t>
            </w:r>
            <w:r>
              <w:rPr>
                <w:rFonts w:hint="eastAsia" w:ascii="仿宋" w:hAnsi="仿宋" w:eastAsia="仿宋"/>
                <w:sz w:val="24"/>
                <w:szCs w:val="24"/>
                <w:highlight w:val="none"/>
              </w:rPr>
              <w:t>客户提交的说明材料事实理由不充分，经交易所调查认为符合实际控制关系认定标准的，交易所要求其报备，非期货公司会员、</w:t>
            </w:r>
            <w:r>
              <w:rPr>
                <w:rFonts w:hint="eastAsia" w:ascii="仿宋" w:hAnsi="仿宋" w:eastAsia="仿宋"/>
                <w:b/>
                <w:sz w:val="24"/>
                <w:szCs w:val="24"/>
                <w:highlight w:val="none"/>
                <w:u w:val="single"/>
              </w:rPr>
              <w:t>境外特殊非经纪参与者、</w:t>
            </w:r>
            <w:r>
              <w:rPr>
                <w:rFonts w:hint="eastAsia" w:ascii="仿宋" w:hAnsi="仿宋" w:eastAsia="仿宋"/>
                <w:sz w:val="24"/>
                <w:szCs w:val="24"/>
                <w:highlight w:val="none"/>
              </w:rPr>
              <w:t>客户未在规定时间内完成报备的，交易所可以依据规则认定为具有实际控制关系；若经调查暂无法认定是否符合实际控制关系认定标准的，交易所可将其列入重点监控名单；</w:t>
            </w:r>
            <w:r>
              <w:rPr>
                <w:rFonts w:ascii="仿宋" w:hAnsi="仿宋" w:eastAsia="仿宋"/>
                <w:sz w:val="24"/>
                <w:szCs w:val="24"/>
                <w:highlight w:val="none"/>
              </w:rPr>
              <w:t xml:space="preserve"> </w:t>
            </w:r>
          </w:p>
          <w:p>
            <w:pPr>
              <w:ind w:firstLine="420"/>
              <w:rPr>
                <w:rFonts w:ascii="仿宋" w:hAnsi="仿宋" w:eastAsia="仿宋"/>
                <w:sz w:val="24"/>
                <w:highlight w:val="none"/>
              </w:rPr>
            </w:pPr>
            <w:r>
              <w:rPr>
                <w:rFonts w:hint="eastAsia" w:ascii="仿宋" w:hAnsi="仿宋" w:eastAsia="仿宋"/>
                <w:sz w:val="24"/>
                <w:szCs w:val="24"/>
                <w:highlight w:val="none"/>
              </w:rPr>
              <w:t>（二）非期货公司会员、</w:t>
            </w:r>
            <w:r>
              <w:rPr>
                <w:rFonts w:hint="eastAsia" w:ascii="仿宋" w:hAnsi="仿宋" w:eastAsia="仿宋"/>
                <w:b/>
                <w:sz w:val="24"/>
                <w:szCs w:val="24"/>
                <w:highlight w:val="none"/>
                <w:u w:val="single"/>
              </w:rPr>
              <w:t>境外特殊非经纪参与者、</w:t>
            </w:r>
            <w:r>
              <w:rPr>
                <w:rFonts w:hint="eastAsia" w:ascii="仿宋" w:hAnsi="仿宋" w:eastAsia="仿宋"/>
                <w:sz w:val="24"/>
                <w:szCs w:val="24"/>
                <w:highlight w:val="none"/>
              </w:rPr>
              <w:t>客户提交的说明材料事实理由充分，确不属于实际控制关系的，交易所不认定为具有实际控制关系。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第十二条</w:t>
            </w:r>
            <w:r>
              <w:rPr>
                <w:rFonts w:hint="eastAsia" w:ascii="仿宋" w:hAnsi="仿宋" w:eastAsia="仿宋"/>
                <w:sz w:val="24"/>
                <w:highlight w:val="none"/>
              </w:rPr>
              <w:t xml:space="preserve"> 在交易所询问、调查及认定过程中对于存在以下情形的非期货公司会员、客户，根据情况分别作出以下自律监管措施；情节严重的，交易所将依据《郑州商品交易所违规处理办法》有关规定进行处理：</w:t>
            </w:r>
          </w:p>
          <w:p>
            <w:pPr>
              <w:tabs>
                <w:tab w:val="center" w:pos="4153"/>
                <w:tab w:val="right" w:pos="8306"/>
              </w:tabs>
              <w:snapToGrid w:val="0"/>
              <w:ind w:firstLine="420"/>
              <w:rPr>
                <w:rFonts w:ascii="仿宋" w:hAnsi="仿宋" w:eastAsia="仿宋"/>
                <w:sz w:val="24"/>
                <w:szCs w:val="24"/>
                <w:highlight w:val="none"/>
              </w:rPr>
            </w:pPr>
            <w:r>
              <w:rPr>
                <w:rFonts w:hint="eastAsia" w:ascii="仿宋" w:hAnsi="仿宋" w:eastAsia="仿宋"/>
                <w:sz w:val="24"/>
                <w:szCs w:val="24"/>
                <w:highlight w:val="none"/>
              </w:rPr>
              <w:t>（一）不回复或不如实回复交易所询问、隐瞒事实真相、或者故意回避的，交易所可以采取约见谈话、书面警示、限制出金、限制开仓等措施；</w:t>
            </w:r>
            <w:r>
              <w:rPr>
                <w:rFonts w:ascii="仿宋" w:hAnsi="仿宋" w:eastAsia="仿宋"/>
                <w:sz w:val="24"/>
                <w:szCs w:val="24"/>
                <w:highlight w:val="none"/>
              </w:rPr>
              <w:t xml:space="preserve"> </w:t>
            </w:r>
          </w:p>
          <w:p>
            <w:pPr>
              <w:tabs>
                <w:tab w:val="center" w:pos="4153"/>
                <w:tab w:val="right" w:pos="8306"/>
              </w:tabs>
              <w:snapToGrid w:val="0"/>
              <w:ind w:firstLine="420"/>
              <w:rPr>
                <w:rFonts w:ascii="仿宋" w:hAnsi="仿宋" w:eastAsia="仿宋"/>
                <w:sz w:val="24"/>
                <w:szCs w:val="24"/>
                <w:highlight w:val="none"/>
              </w:rPr>
            </w:pPr>
            <w:r>
              <w:rPr>
                <w:rFonts w:hint="eastAsia" w:ascii="仿宋" w:hAnsi="仿宋" w:eastAsia="仿宋"/>
                <w:sz w:val="24"/>
                <w:szCs w:val="24"/>
                <w:highlight w:val="none"/>
              </w:rPr>
              <w:t>（二）不如实报备实际控制关系，经交易所询问后报备的非期货公司会员、客户，交易所可以采取口头警示、要求提交书面说明等措施；</w:t>
            </w:r>
            <w:r>
              <w:rPr>
                <w:rFonts w:ascii="仿宋" w:hAnsi="仿宋" w:eastAsia="仿宋"/>
                <w:sz w:val="24"/>
                <w:szCs w:val="24"/>
                <w:highlight w:val="none"/>
              </w:rPr>
              <w:t xml:space="preserve"> </w:t>
            </w:r>
          </w:p>
          <w:p>
            <w:pPr>
              <w:ind w:firstLine="420"/>
              <w:rPr>
                <w:rFonts w:ascii="仿宋" w:hAnsi="仿宋" w:eastAsia="仿宋"/>
                <w:sz w:val="24"/>
                <w:highlight w:val="none"/>
              </w:rPr>
            </w:pPr>
            <w:r>
              <w:rPr>
                <w:rFonts w:hint="eastAsia" w:ascii="仿宋" w:hAnsi="仿宋" w:eastAsia="仿宋"/>
                <w:sz w:val="24"/>
                <w:szCs w:val="24"/>
                <w:highlight w:val="none"/>
              </w:rPr>
              <w:t>（三）不如实报备实际控制关系、不回复或不如实回复交易所询问，经交易所调查认定为具有实际控制关系的非期货公司会员、客户，交易所可以采取约见谈话、书面警示、限制出金、限制开仓等措施。</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 xml:space="preserve">第十二条 </w:t>
            </w:r>
            <w:r>
              <w:rPr>
                <w:rFonts w:hint="eastAsia" w:ascii="仿宋" w:hAnsi="仿宋" w:eastAsia="仿宋"/>
                <w:sz w:val="24"/>
                <w:highlight w:val="none"/>
              </w:rPr>
              <w:t>在交易所询问、调查及认定过程中对于存在以下情形的非期货公司会员、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客户，根据情况分别作出以下自律监管措施；情节严重的，交易所将依据《郑州商品交易所违规处理办法》有关规定进行处理：</w:t>
            </w:r>
          </w:p>
          <w:p>
            <w:pPr>
              <w:tabs>
                <w:tab w:val="center" w:pos="4153"/>
                <w:tab w:val="right" w:pos="8306"/>
              </w:tabs>
              <w:snapToGrid w:val="0"/>
              <w:ind w:firstLine="420"/>
              <w:rPr>
                <w:rFonts w:ascii="仿宋" w:hAnsi="仿宋" w:eastAsia="仿宋"/>
                <w:sz w:val="24"/>
                <w:szCs w:val="24"/>
                <w:highlight w:val="none"/>
              </w:rPr>
            </w:pPr>
            <w:r>
              <w:rPr>
                <w:rFonts w:hint="eastAsia" w:ascii="仿宋" w:hAnsi="仿宋" w:eastAsia="仿宋"/>
                <w:sz w:val="24"/>
                <w:szCs w:val="24"/>
                <w:highlight w:val="none"/>
              </w:rPr>
              <w:t>（一）不回复或不如实回复交易所询问、隐瞒事实真相、或者故意回避的，交易所可以采取约见谈话、书面警示、限制出金、限制开仓等措施；</w:t>
            </w:r>
            <w:r>
              <w:rPr>
                <w:rFonts w:ascii="仿宋" w:hAnsi="仿宋" w:eastAsia="仿宋"/>
                <w:sz w:val="24"/>
                <w:szCs w:val="24"/>
                <w:highlight w:val="none"/>
              </w:rPr>
              <w:t xml:space="preserve"> </w:t>
            </w:r>
          </w:p>
          <w:p>
            <w:pPr>
              <w:tabs>
                <w:tab w:val="center" w:pos="4153"/>
                <w:tab w:val="right" w:pos="8306"/>
              </w:tabs>
              <w:snapToGrid w:val="0"/>
              <w:ind w:firstLine="420"/>
              <w:rPr>
                <w:rFonts w:ascii="仿宋" w:hAnsi="仿宋" w:eastAsia="仿宋"/>
                <w:sz w:val="24"/>
                <w:szCs w:val="24"/>
                <w:highlight w:val="none"/>
              </w:rPr>
            </w:pPr>
            <w:r>
              <w:rPr>
                <w:rFonts w:hint="eastAsia" w:ascii="仿宋" w:hAnsi="仿宋" w:eastAsia="仿宋"/>
                <w:sz w:val="24"/>
                <w:szCs w:val="24"/>
                <w:highlight w:val="none"/>
              </w:rPr>
              <w:t>（二）不如实报备实际控制关系，经交易所询问后报备的非期货公司会员、</w:t>
            </w:r>
            <w:r>
              <w:rPr>
                <w:rFonts w:hint="eastAsia" w:ascii="仿宋" w:hAnsi="仿宋" w:eastAsia="仿宋"/>
                <w:b/>
                <w:sz w:val="24"/>
                <w:szCs w:val="24"/>
                <w:highlight w:val="none"/>
                <w:u w:val="single"/>
              </w:rPr>
              <w:t>境外特殊非经纪参与者、</w:t>
            </w:r>
            <w:r>
              <w:rPr>
                <w:rFonts w:hint="eastAsia" w:ascii="仿宋" w:hAnsi="仿宋" w:eastAsia="仿宋"/>
                <w:sz w:val="24"/>
                <w:szCs w:val="24"/>
                <w:highlight w:val="none"/>
              </w:rPr>
              <w:t>客户，交易所可以采取口头警示、要求提交书面说明等措施；</w:t>
            </w:r>
            <w:r>
              <w:rPr>
                <w:rFonts w:ascii="仿宋" w:hAnsi="仿宋" w:eastAsia="仿宋"/>
                <w:sz w:val="24"/>
                <w:szCs w:val="24"/>
                <w:highlight w:val="none"/>
              </w:rPr>
              <w:t xml:space="preserve"> </w:t>
            </w:r>
          </w:p>
          <w:p>
            <w:pPr>
              <w:ind w:firstLine="420"/>
              <w:rPr>
                <w:rFonts w:ascii="仿宋" w:hAnsi="仿宋" w:eastAsia="仿宋"/>
                <w:sz w:val="24"/>
                <w:highlight w:val="none"/>
              </w:rPr>
            </w:pPr>
            <w:r>
              <w:rPr>
                <w:rFonts w:hint="eastAsia" w:ascii="仿宋" w:hAnsi="仿宋" w:eastAsia="仿宋"/>
                <w:sz w:val="24"/>
                <w:szCs w:val="24"/>
                <w:highlight w:val="none"/>
              </w:rPr>
              <w:t>（三）不如实报备实际控制关系、不回复或不如实回复交易所询问，经交易所调查认定为具有实际控制关系的非期货公司会员、</w:t>
            </w:r>
            <w:r>
              <w:rPr>
                <w:rFonts w:hint="eastAsia" w:ascii="仿宋" w:hAnsi="仿宋" w:eastAsia="仿宋"/>
                <w:b/>
                <w:sz w:val="24"/>
                <w:szCs w:val="24"/>
                <w:highlight w:val="none"/>
                <w:u w:val="single"/>
              </w:rPr>
              <w:t>境外特殊非经纪参与者、</w:t>
            </w:r>
            <w:r>
              <w:rPr>
                <w:rFonts w:hint="eastAsia" w:ascii="仿宋" w:hAnsi="仿宋" w:eastAsia="仿宋"/>
                <w:sz w:val="24"/>
                <w:szCs w:val="24"/>
                <w:highlight w:val="none"/>
              </w:rPr>
              <w:t>客户，交易所可以采取约见谈话、书面警示、限制出金、限制开仓等措施。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期货公司会员、境外经纪机构具有下列情形之一的，交易所责令改正，并采取电话提示、约见谈话、发出监管警示函、发出监管意见函等自律监管措施；情节严重的，交易所将依据《郑州商品交易所违规处理办法》有关规定进行处理：</w:t>
            </w:r>
          </w:p>
          <w:p>
            <w:pPr>
              <w:ind w:firstLine="420"/>
              <w:rPr>
                <w:rFonts w:ascii="仿宋" w:hAnsi="仿宋" w:eastAsia="仿宋"/>
                <w:sz w:val="24"/>
                <w:highlight w:val="none"/>
              </w:rPr>
            </w:pPr>
            <w:r>
              <w:rPr>
                <w:rFonts w:ascii="仿宋" w:hAnsi="仿宋" w:eastAsia="仿宋"/>
                <w:sz w:val="24"/>
                <w:highlight w:val="none"/>
              </w:rPr>
              <w:t>……</w:t>
            </w:r>
          </w:p>
        </w:tc>
        <w:tc>
          <w:tcPr>
            <w:tcW w:w="4261" w:type="dxa"/>
            <w:noWrap w:val="0"/>
            <w:vAlign w:val="top"/>
          </w:tcPr>
          <w:p>
            <w:pPr>
              <w:ind w:firstLine="420"/>
              <w:rPr>
                <w:rFonts w:hint="eastAsia"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机构具有下列情形之一的，交易所责令改正，并采取电话提示、约见谈话、发出监管警示函、发出监管意见函等自律监管措施；情节严重的，交易所将依据《郑州商品交易所违规处理办法》有关规定进行处理：</w:t>
            </w:r>
          </w:p>
          <w:p>
            <w:pPr>
              <w:ind w:firstLine="420"/>
              <w:rPr>
                <w:rFonts w:hint="eastAsia" w:ascii="仿宋" w:hAnsi="仿宋" w:eastAsia="仿宋"/>
                <w:sz w:val="24"/>
                <w:highlight w:val="none"/>
              </w:rPr>
            </w:pP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第十五条</w:t>
            </w:r>
            <w:r>
              <w:rPr>
                <w:rFonts w:ascii="仿宋" w:hAnsi="仿宋" w:eastAsia="仿宋"/>
                <w:sz w:val="24"/>
                <w:highlight w:val="none"/>
              </w:rPr>
              <w:t xml:space="preserve"> </w:t>
            </w:r>
            <w:r>
              <w:rPr>
                <w:rFonts w:hint="eastAsia" w:ascii="仿宋" w:hAnsi="仿宋" w:eastAsia="仿宋"/>
                <w:sz w:val="24"/>
                <w:highlight w:val="none"/>
              </w:rPr>
              <w:t>一组实际控制关系账户内均为客户的，其合并计算的持仓量不得超过单个客户的持仓限额。</w:t>
            </w:r>
          </w:p>
          <w:p>
            <w:pPr>
              <w:ind w:firstLine="420"/>
              <w:rPr>
                <w:rFonts w:ascii="仿宋" w:hAnsi="仿宋" w:eastAsia="仿宋"/>
                <w:sz w:val="24"/>
                <w:highlight w:val="none"/>
              </w:rPr>
            </w:pPr>
            <w:r>
              <w:rPr>
                <w:rFonts w:hint="eastAsia" w:ascii="仿宋" w:hAnsi="仿宋" w:eastAsia="仿宋"/>
                <w:sz w:val="24"/>
                <w:highlight w:val="none"/>
              </w:rPr>
              <w:t>一组实际控制关系账户内包含非期货公司会员的，其合并计算的持仓量不得超过单个非期货公司会员的持仓限额。</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第十五条</w:t>
            </w:r>
            <w:r>
              <w:rPr>
                <w:rFonts w:ascii="仿宋" w:hAnsi="仿宋" w:eastAsia="仿宋"/>
                <w:sz w:val="24"/>
                <w:highlight w:val="none"/>
              </w:rPr>
              <w:t xml:space="preserve"> </w:t>
            </w:r>
            <w:r>
              <w:rPr>
                <w:rFonts w:hint="eastAsia" w:ascii="仿宋" w:hAnsi="仿宋" w:eastAsia="仿宋"/>
                <w:sz w:val="24"/>
                <w:highlight w:val="none"/>
              </w:rPr>
              <w:t>一组实际控制关系账户内均为客户的，其合并计算的持仓量不得超过单个客户的持仓限额。</w:t>
            </w:r>
          </w:p>
          <w:p>
            <w:pPr>
              <w:ind w:firstLine="420"/>
              <w:rPr>
                <w:rFonts w:ascii="仿宋" w:hAnsi="仿宋" w:eastAsia="仿宋"/>
                <w:sz w:val="24"/>
                <w:highlight w:val="none"/>
              </w:rPr>
            </w:pPr>
            <w:r>
              <w:rPr>
                <w:rFonts w:hint="eastAsia" w:ascii="仿宋" w:hAnsi="仿宋" w:eastAsia="仿宋"/>
                <w:sz w:val="24"/>
                <w:highlight w:val="none"/>
              </w:rPr>
              <w:t>一组实际控制关系账户内包含非期货公司会员</w:t>
            </w:r>
            <w:r>
              <w:rPr>
                <w:rFonts w:hint="eastAsia" w:ascii="仿宋" w:hAnsi="仿宋" w:eastAsia="仿宋"/>
                <w:b/>
                <w:sz w:val="24"/>
                <w:highlight w:val="none"/>
                <w:u w:val="single"/>
              </w:rPr>
              <w:t>或境外特殊非经纪参与者</w:t>
            </w:r>
            <w:r>
              <w:rPr>
                <w:rFonts w:hint="eastAsia" w:ascii="仿宋" w:hAnsi="仿宋" w:eastAsia="仿宋"/>
                <w:sz w:val="24"/>
                <w:highlight w:val="none"/>
              </w:rPr>
              <w:t>的，其合并计算的持仓量不得超过单个非期货公司会员</w:t>
            </w:r>
            <w:r>
              <w:rPr>
                <w:rFonts w:hint="eastAsia" w:ascii="仿宋" w:hAnsi="仿宋" w:eastAsia="仿宋"/>
                <w:b/>
                <w:sz w:val="24"/>
                <w:highlight w:val="none"/>
                <w:u w:val="single"/>
              </w:rPr>
              <w:t>或境外特殊非经纪参与者</w:t>
            </w:r>
            <w:r>
              <w:rPr>
                <w:rFonts w:hint="eastAsia" w:ascii="仿宋" w:hAnsi="仿宋" w:eastAsia="仿宋"/>
                <w:sz w:val="24"/>
                <w:highlight w:val="none"/>
              </w:rPr>
              <w:t>的持仓限额。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b/>
                <w:sz w:val="24"/>
                <w:highlight w:val="none"/>
              </w:rPr>
            </w:pPr>
            <w:r>
              <w:rPr>
                <w:rFonts w:hint="eastAsia" w:ascii="仿宋" w:hAnsi="仿宋" w:eastAsia="仿宋"/>
                <w:b/>
                <w:bCs/>
                <w:sz w:val="24"/>
                <w:szCs w:val="24"/>
                <w:highlight w:val="none"/>
              </w:rPr>
              <w:t>第十七条</w:t>
            </w:r>
            <w:r>
              <w:rPr>
                <w:rFonts w:ascii="仿宋" w:hAnsi="仿宋" w:eastAsia="仿宋"/>
                <w:sz w:val="24"/>
                <w:szCs w:val="24"/>
                <w:highlight w:val="none"/>
              </w:rPr>
              <w:t xml:space="preserve"> </w:t>
            </w:r>
            <w:r>
              <w:rPr>
                <w:rFonts w:hint="eastAsia" w:ascii="仿宋" w:hAnsi="仿宋" w:eastAsia="仿宋"/>
                <w:sz w:val="24"/>
                <w:szCs w:val="24"/>
                <w:highlight w:val="none"/>
              </w:rPr>
              <w:t>一组实际控制关系账户自成交、频繁报撤单、大额报撤单和持仓合并计算后达到《郑州商品交易所异常交易行为管理办法》异常交易行为处理标准的，交易所对该组实际控制关系账户按照异常交易行为采取自律监管措施。</w:t>
            </w:r>
          </w:p>
        </w:tc>
        <w:tc>
          <w:tcPr>
            <w:tcW w:w="4261" w:type="dxa"/>
            <w:noWrap w:val="0"/>
            <w:vAlign w:val="top"/>
          </w:tcPr>
          <w:p>
            <w:pPr>
              <w:ind w:firstLine="420"/>
              <w:rPr>
                <w:rFonts w:ascii="仿宋" w:hAnsi="仿宋" w:eastAsia="仿宋"/>
                <w:b/>
                <w:sz w:val="24"/>
                <w:highlight w:val="none"/>
              </w:rPr>
            </w:pPr>
            <w:r>
              <w:rPr>
                <w:rFonts w:hint="eastAsia" w:ascii="仿宋" w:hAnsi="仿宋" w:eastAsia="仿宋"/>
                <w:b/>
                <w:bCs/>
                <w:sz w:val="24"/>
                <w:szCs w:val="24"/>
                <w:highlight w:val="none"/>
              </w:rPr>
              <w:t>第十七条</w:t>
            </w:r>
            <w:r>
              <w:rPr>
                <w:rFonts w:ascii="仿宋" w:hAnsi="仿宋" w:eastAsia="仿宋"/>
                <w:sz w:val="24"/>
                <w:szCs w:val="24"/>
                <w:highlight w:val="none"/>
              </w:rPr>
              <w:t xml:space="preserve"> </w:t>
            </w:r>
            <w:r>
              <w:rPr>
                <w:rFonts w:hint="eastAsia" w:ascii="仿宋" w:hAnsi="仿宋" w:eastAsia="仿宋"/>
                <w:sz w:val="24"/>
                <w:szCs w:val="24"/>
                <w:highlight w:val="none"/>
              </w:rPr>
              <w:t>一组实际控制关系账户自成交、频繁报撤单</w:t>
            </w:r>
            <w:r>
              <w:rPr>
                <w:rFonts w:hint="eastAsia" w:ascii="仿宋" w:hAnsi="仿宋" w:eastAsia="仿宋"/>
                <w:dstrike/>
                <w:sz w:val="24"/>
                <w:szCs w:val="24"/>
                <w:highlight w:val="none"/>
              </w:rPr>
              <w:t>、</w:t>
            </w:r>
            <w:r>
              <w:rPr>
                <w:rFonts w:hint="eastAsia" w:ascii="仿宋" w:hAnsi="仿宋" w:eastAsia="仿宋"/>
                <w:b/>
                <w:sz w:val="24"/>
                <w:szCs w:val="24"/>
                <w:highlight w:val="none"/>
                <w:u w:val="single"/>
              </w:rPr>
              <w:t>和</w:t>
            </w:r>
            <w:r>
              <w:rPr>
                <w:rFonts w:hint="eastAsia" w:ascii="仿宋" w:hAnsi="仿宋" w:eastAsia="仿宋"/>
                <w:sz w:val="24"/>
                <w:szCs w:val="24"/>
                <w:highlight w:val="none"/>
              </w:rPr>
              <w:t>大额报撤单</w:t>
            </w:r>
            <w:r>
              <w:rPr>
                <w:rFonts w:hint="eastAsia" w:ascii="仿宋" w:hAnsi="仿宋" w:eastAsia="仿宋"/>
                <w:b/>
                <w:bCs/>
                <w:sz w:val="24"/>
                <w:szCs w:val="24"/>
                <w:highlight w:val="none"/>
                <w:u w:val="single"/>
              </w:rPr>
              <w:t>等合并计算后</w:t>
            </w:r>
            <w:r>
              <w:rPr>
                <w:rFonts w:hint="eastAsia" w:ascii="仿宋" w:hAnsi="仿宋" w:eastAsia="仿宋"/>
                <w:dstrike/>
                <w:sz w:val="24"/>
                <w:szCs w:val="24"/>
                <w:highlight w:val="none"/>
              </w:rPr>
              <w:t>和持仓合并计算后</w:t>
            </w:r>
            <w:r>
              <w:rPr>
                <w:rFonts w:hint="eastAsia" w:ascii="仿宋" w:hAnsi="仿宋" w:eastAsia="仿宋"/>
                <w:sz w:val="24"/>
                <w:szCs w:val="24"/>
                <w:highlight w:val="none"/>
              </w:rPr>
              <w:t>达到《郑州商品交易所异常交易行为管理办法》异常交易行为处理标准的，交易所对该组实际控制关系账户按照异常交易行为采取自律监管措施。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ascii="仿宋" w:hAnsi="仿宋" w:eastAsia="仿宋"/>
                <w:b/>
                <w:sz w:val="24"/>
                <w:highlight w:val="none"/>
              </w:rPr>
              <w:t>第十八条</w:t>
            </w:r>
            <w:r>
              <w:rPr>
                <w:rFonts w:hint="eastAsia" w:ascii="仿宋" w:hAnsi="仿宋" w:eastAsia="仿宋"/>
                <w:sz w:val="24"/>
                <w:highlight w:val="none"/>
              </w:rPr>
              <w:t xml:space="preserve"> 除本办法另有规定外，非期货公司会员按照客户的有关规定执行。</w:t>
            </w:r>
          </w:p>
        </w:tc>
        <w:tc>
          <w:tcPr>
            <w:tcW w:w="4261" w:type="dxa"/>
            <w:noWrap w:val="0"/>
            <w:vAlign w:val="top"/>
          </w:tcPr>
          <w:p>
            <w:pPr>
              <w:ind w:firstLine="420"/>
              <w:rPr>
                <w:rFonts w:ascii="仿宋" w:hAnsi="仿宋" w:eastAsia="仿宋"/>
                <w:sz w:val="24"/>
                <w:highlight w:val="none"/>
              </w:rPr>
            </w:pPr>
            <w:r>
              <w:rPr>
                <w:rFonts w:ascii="仿宋" w:hAnsi="仿宋" w:eastAsia="仿宋"/>
                <w:b/>
                <w:sz w:val="24"/>
                <w:highlight w:val="none"/>
              </w:rPr>
              <w:t>第十八条</w:t>
            </w:r>
            <w:r>
              <w:rPr>
                <w:rFonts w:hint="eastAsia" w:ascii="仿宋" w:hAnsi="仿宋" w:eastAsia="仿宋"/>
                <w:b/>
                <w:sz w:val="24"/>
                <w:highlight w:val="none"/>
              </w:rPr>
              <w:t xml:space="preserve"> </w:t>
            </w:r>
            <w:r>
              <w:rPr>
                <w:rFonts w:hint="eastAsia" w:ascii="仿宋" w:hAnsi="仿宋" w:eastAsia="仿宋"/>
                <w:sz w:val="24"/>
                <w:highlight w:val="none"/>
              </w:rPr>
              <w:t>除本办法另有规定外，非期货公司会员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按照客户的有关规定执行。</w:t>
            </w:r>
          </w:p>
        </w:tc>
      </w:tr>
    </w:tbl>
    <w:p>
      <w:pPr>
        <w:jc w:val="center"/>
        <w:rPr>
          <w:rFonts w:hint="eastAsia" w:ascii="黑体" w:hAnsi="黑体" w:eastAsia="黑体" w:cs="黑体"/>
          <w:sz w:val="40"/>
          <w:szCs w:val="40"/>
          <w:highlight w:val="none"/>
        </w:rPr>
      </w:pPr>
      <w:r>
        <w:rPr>
          <w:rFonts w:hint="default" w:ascii="黑体" w:hAnsi="黑体" w:eastAsia="黑体" w:cs="黑体"/>
          <w:sz w:val="32"/>
          <w:szCs w:val="32"/>
          <w:highlight w:val="none"/>
          <w:lang w:val="en-US" w:eastAsia="zh-CN"/>
        </w:rPr>
        <w:br w:type="page"/>
      </w:r>
      <w:r>
        <w:rPr>
          <w:rFonts w:hint="eastAsia" w:ascii="黑体" w:hAnsi="黑体" w:eastAsia="黑体" w:cs="黑体"/>
          <w:sz w:val="40"/>
          <w:szCs w:val="40"/>
          <w:highlight w:val="none"/>
        </w:rPr>
        <w:t>郑州商品交易所实际控制关系账户管理办法</w:t>
      </w:r>
    </w:p>
    <w:p>
      <w:pPr>
        <w:keepNext w:val="0"/>
        <w:keepLines w:val="0"/>
        <w:pageBreakBefore w:val="0"/>
        <w:widowControl w:val="0"/>
        <w:kinsoku/>
        <w:wordWrap/>
        <w:overflowPunct/>
        <w:topLinePunct w:val="0"/>
        <w:autoSpaceDE/>
        <w:autoSpaceDN/>
        <w:bidi w:val="0"/>
        <w:adjustRightInd/>
        <w:snapToGrid/>
        <w:spacing w:before="313" w:beforeLines="100"/>
        <w:textAlignment w:val="auto"/>
        <w:rPr>
          <w:highlight w:val="none"/>
        </w:rPr>
      </w:pPr>
      <w:r>
        <w:rPr>
          <w:rFonts w:hint="eastAsia" w:ascii="宋体" w:hAnsi="宋体" w:cs="Arial"/>
          <w:bCs/>
          <w:color w:val="000000"/>
          <w:sz w:val="24"/>
          <w:highlight w:val="none"/>
        </w:rPr>
        <w:t>（2026年4月7日郑州商品交易所第八届理事会第三十四次会议审议通过，2026年</w:t>
      </w:r>
      <w:r>
        <w:rPr>
          <w:rFonts w:hint="default" w:ascii="宋体" w:hAnsi="宋体" w:cs="Arial"/>
          <w:bCs/>
          <w:color w:val="000000"/>
          <w:sz w:val="24"/>
          <w:highlight w:val="none"/>
          <w:lang w:val="en-US"/>
        </w:rPr>
        <w:t>5</w:t>
      </w:r>
      <w:r>
        <w:rPr>
          <w:rFonts w:hint="eastAsia" w:ascii="宋体" w:hAnsi="宋体" w:cs="Arial"/>
          <w:bCs/>
          <w:color w:val="000000"/>
          <w:sz w:val="24"/>
          <w:highlight w:val="none"/>
        </w:rPr>
        <w:t>月</w:t>
      </w:r>
      <w:r>
        <w:rPr>
          <w:rFonts w:hint="default" w:ascii="宋体" w:hAnsi="宋体" w:cs="Arial"/>
          <w:bCs/>
          <w:color w:val="000000"/>
          <w:sz w:val="24"/>
          <w:highlight w:val="none"/>
          <w:lang w:val="en-US"/>
        </w:rPr>
        <w:t>7</w:t>
      </w:r>
      <w:r>
        <w:rPr>
          <w:rFonts w:hint="eastAsia" w:ascii="宋体" w:hAnsi="宋体" w:cs="Arial"/>
          <w:bCs/>
          <w:color w:val="000000"/>
          <w:sz w:val="24"/>
          <w:highlight w:val="none"/>
        </w:rPr>
        <w:t>日〔2026〕</w:t>
      </w:r>
      <w:r>
        <w:rPr>
          <w:rFonts w:hint="eastAsia" w:ascii="宋体" w:hAnsi="宋体" w:cs="Arial"/>
          <w:bCs/>
          <w:color w:val="000000"/>
          <w:sz w:val="24"/>
          <w:highlight w:val="none"/>
          <w:lang w:eastAsia="zh-CN"/>
        </w:rPr>
        <w:t>68号</w:t>
      </w:r>
      <w:r>
        <w:rPr>
          <w:rFonts w:hint="eastAsia" w:ascii="宋体" w:hAnsi="宋体" w:cs="Arial"/>
          <w:bCs/>
          <w:color w:val="000000"/>
          <w:sz w:val="24"/>
          <w:highlight w:val="none"/>
        </w:rPr>
        <w:t>公告发布，自发布之日起实施）</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黑体" w:hAnsi="黑体" w:eastAsia="黑体"/>
          <w:sz w:val="32"/>
          <w:szCs w:val="32"/>
          <w:highlight w:val="none"/>
        </w:rPr>
      </w:pPr>
      <w:r>
        <w:rPr>
          <w:rFonts w:ascii="黑体" w:hAnsi="黑体" w:eastAsia="黑体"/>
          <w:sz w:val="32"/>
          <w:szCs w:val="32"/>
          <w:highlight w:val="none"/>
        </w:rPr>
        <w:t>第一章</w:t>
      </w:r>
      <w:r>
        <w:rPr>
          <w:rFonts w:hint="eastAsia" w:ascii="黑体" w:hAnsi="黑体" w:eastAsia="黑体"/>
          <w:sz w:val="32"/>
          <w:szCs w:val="32"/>
          <w:highlight w:val="none"/>
        </w:rPr>
        <w:t xml:space="preserve"> </w:t>
      </w:r>
      <w:r>
        <w:rPr>
          <w:rFonts w:ascii="黑体" w:hAnsi="黑体" w:eastAsia="黑体"/>
          <w:sz w:val="32"/>
          <w:szCs w:val="32"/>
          <w:highlight w:val="none"/>
        </w:rPr>
        <w:t>总</w:t>
      </w:r>
      <w:r>
        <w:rPr>
          <w:rFonts w:hint="eastAsia" w:ascii="黑体" w:hAnsi="黑体" w:eastAsia="黑体"/>
          <w:sz w:val="32"/>
          <w:szCs w:val="32"/>
          <w:highlight w:val="none"/>
        </w:rPr>
        <w:t xml:space="preserve"> </w:t>
      </w:r>
      <w:r>
        <w:rPr>
          <w:rFonts w:ascii="黑体" w:hAnsi="黑体" w:eastAsia="黑体"/>
          <w:sz w:val="32"/>
          <w:szCs w:val="32"/>
          <w:highlight w:val="none"/>
        </w:rPr>
        <w:t>则</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第一条</w:t>
      </w:r>
      <w:r>
        <w:rPr>
          <w:rFonts w:hint="eastAsia" w:ascii="宋体" w:hAnsi="宋体"/>
          <w:sz w:val="28"/>
          <w:szCs w:val="28"/>
          <w:highlight w:val="none"/>
        </w:rPr>
        <w:t xml:space="preserve"> </w:t>
      </w:r>
      <w:r>
        <w:rPr>
          <w:rFonts w:ascii="宋体" w:hAnsi="宋体"/>
          <w:sz w:val="28"/>
          <w:szCs w:val="28"/>
          <w:highlight w:val="none"/>
        </w:rPr>
        <w:t>为</w:t>
      </w:r>
      <w:r>
        <w:rPr>
          <w:rFonts w:hint="eastAsia" w:ascii="宋体" w:hAnsi="宋体"/>
          <w:sz w:val="28"/>
          <w:szCs w:val="28"/>
          <w:highlight w:val="none"/>
        </w:rPr>
        <w:t>加强郑州商品交易所（以下简称交易所）</w:t>
      </w:r>
      <w:r>
        <w:rPr>
          <w:rFonts w:ascii="宋体" w:hAnsi="宋体"/>
          <w:sz w:val="28"/>
          <w:szCs w:val="28"/>
          <w:highlight w:val="none"/>
        </w:rPr>
        <w:t>实际控制关系账户</w:t>
      </w:r>
      <w:r>
        <w:rPr>
          <w:rFonts w:hint="eastAsia" w:ascii="宋体" w:hAnsi="宋体"/>
          <w:sz w:val="28"/>
          <w:szCs w:val="28"/>
          <w:highlight w:val="none"/>
        </w:rPr>
        <w:t>管理</w:t>
      </w:r>
      <w:r>
        <w:rPr>
          <w:rFonts w:ascii="宋体" w:hAnsi="宋体"/>
          <w:sz w:val="28"/>
          <w:szCs w:val="28"/>
          <w:highlight w:val="none"/>
        </w:rPr>
        <w:t>，维护市场秩序，促进</w:t>
      </w:r>
      <w:r>
        <w:rPr>
          <w:rFonts w:hint="eastAsia" w:ascii="宋体" w:hAnsi="宋体"/>
          <w:sz w:val="28"/>
          <w:szCs w:val="28"/>
          <w:highlight w:val="none"/>
        </w:rPr>
        <w:t>期货</w:t>
      </w:r>
      <w:r>
        <w:rPr>
          <w:rFonts w:ascii="宋体" w:hAnsi="宋体"/>
          <w:sz w:val="28"/>
          <w:szCs w:val="28"/>
          <w:highlight w:val="none"/>
        </w:rPr>
        <w:t>市场健康发展，</w:t>
      </w:r>
      <w:r>
        <w:rPr>
          <w:rFonts w:hint="eastAsia" w:ascii="宋体" w:hAnsi="宋体"/>
          <w:sz w:val="28"/>
          <w:szCs w:val="28"/>
          <w:highlight w:val="none"/>
        </w:rPr>
        <w:t>依</w:t>
      </w:r>
      <w:r>
        <w:rPr>
          <w:rFonts w:ascii="宋体" w:hAnsi="宋体"/>
          <w:sz w:val="28"/>
          <w:szCs w:val="28"/>
          <w:highlight w:val="none"/>
        </w:rPr>
        <w:t>据《郑州商品交易所交易</w:t>
      </w:r>
      <w:r>
        <w:rPr>
          <w:rFonts w:hint="eastAsia" w:ascii="宋体" w:hAnsi="宋体"/>
          <w:sz w:val="28"/>
          <w:szCs w:val="28"/>
          <w:highlight w:val="none"/>
        </w:rPr>
        <w:t>规则</w:t>
      </w:r>
      <w:r>
        <w:rPr>
          <w:rFonts w:ascii="宋体" w:hAnsi="宋体"/>
          <w:sz w:val="28"/>
          <w:szCs w:val="28"/>
          <w:highlight w:val="none"/>
        </w:rPr>
        <w:t>》</w:t>
      </w:r>
      <w:r>
        <w:rPr>
          <w:rFonts w:hint="eastAsia" w:ascii="宋体" w:hAnsi="宋体"/>
          <w:sz w:val="28"/>
          <w:szCs w:val="28"/>
          <w:highlight w:val="none"/>
        </w:rPr>
        <w:t>，</w:t>
      </w:r>
      <w:r>
        <w:rPr>
          <w:rFonts w:ascii="宋体" w:hAnsi="宋体"/>
          <w:sz w:val="28"/>
          <w:szCs w:val="28"/>
          <w:highlight w:val="none"/>
        </w:rPr>
        <w:t>制定本办法。</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第二条</w:t>
      </w:r>
      <w:r>
        <w:rPr>
          <w:rFonts w:hint="eastAsia" w:ascii="宋体" w:hAnsi="宋体"/>
          <w:sz w:val="28"/>
          <w:szCs w:val="28"/>
          <w:highlight w:val="none"/>
        </w:rPr>
        <w:t xml:space="preserve"> </w:t>
      </w:r>
      <w:r>
        <w:rPr>
          <w:rFonts w:ascii="宋体" w:hAnsi="宋体"/>
          <w:sz w:val="28"/>
          <w:szCs w:val="28"/>
          <w:highlight w:val="none"/>
        </w:rPr>
        <w:t>期货公司会员</w:t>
      </w:r>
      <w:r>
        <w:rPr>
          <w:rFonts w:hint="eastAsia" w:ascii="宋体" w:hAnsi="宋体"/>
          <w:sz w:val="28"/>
          <w:szCs w:val="28"/>
          <w:highlight w:val="none"/>
        </w:rPr>
        <w:t>、境外特殊经纪参与者、境外</w:t>
      </w:r>
      <w:r>
        <w:rPr>
          <w:rFonts w:hint="eastAsia" w:ascii="宋体" w:hAnsi="宋体"/>
          <w:sz w:val="28"/>
          <w:szCs w:val="28"/>
          <w:highlight w:val="none"/>
          <w:lang w:eastAsia="zh-CN"/>
        </w:rPr>
        <w:t>中介</w:t>
      </w:r>
      <w:r>
        <w:rPr>
          <w:rFonts w:hint="eastAsia" w:ascii="宋体" w:hAnsi="宋体"/>
          <w:sz w:val="28"/>
          <w:szCs w:val="28"/>
          <w:highlight w:val="none"/>
        </w:rPr>
        <w:t>机构</w:t>
      </w:r>
      <w:r>
        <w:rPr>
          <w:rFonts w:ascii="宋体" w:hAnsi="宋体"/>
          <w:sz w:val="28"/>
          <w:szCs w:val="28"/>
          <w:highlight w:val="none"/>
        </w:rPr>
        <w:t>应当告知客户具有报备实际控制关系账户的义务，切实履行对客户实际控制关系账户的管理职责，对实际控制关系账户的报备、管理等相关材料登记存档、妥善保存，并对客户报备内容保密。</w:t>
      </w:r>
    </w:p>
    <w:p>
      <w:pPr>
        <w:tabs>
          <w:tab w:val="left" w:pos="876"/>
        </w:tabs>
        <w:rPr>
          <w:rFonts w:ascii="宋体" w:hAnsi="宋体"/>
          <w:sz w:val="28"/>
          <w:szCs w:val="28"/>
          <w:highlight w:val="none"/>
        </w:rPr>
      </w:pPr>
      <w:r>
        <w:rPr>
          <w:rFonts w:hint="eastAsia" w:ascii="宋体" w:hAnsi="宋体"/>
          <w:sz w:val="28"/>
          <w:szCs w:val="28"/>
          <w:highlight w:val="none"/>
        </w:rPr>
        <w:t xml:space="preserve">    </w:t>
      </w:r>
      <w:r>
        <w:rPr>
          <w:rFonts w:hint="eastAsia" w:ascii="宋体" w:hAnsi="宋体"/>
          <w:b/>
          <w:sz w:val="28"/>
          <w:szCs w:val="28"/>
          <w:highlight w:val="none"/>
        </w:rPr>
        <w:t>第三条</w:t>
      </w:r>
      <w:r>
        <w:rPr>
          <w:rFonts w:hint="eastAsia" w:ascii="宋体" w:hAnsi="宋体"/>
          <w:sz w:val="28"/>
          <w:szCs w:val="28"/>
          <w:highlight w:val="none"/>
        </w:rPr>
        <w:t xml:space="preserve"> </w:t>
      </w:r>
      <w:r>
        <w:rPr>
          <w:rFonts w:ascii="宋体" w:hAnsi="宋体"/>
          <w:sz w:val="28"/>
          <w:szCs w:val="28"/>
          <w:highlight w:val="none"/>
        </w:rPr>
        <w:t>非期货公司会员、</w:t>
      </w:r>
      <w:r>
        <w:rPr>
          <w:rFonts w:hint="eastAsia" w:ascii="宋体" w:hAnsi="宋体"/>
          <w:sz w:val="28"/>
          <w:szCs w:val="28"/>
          <w:highlight w:val="none"/>
        </w:rPr>
        <w:t>境外特殊</w:t>
      </w:r>
      <w:r>
        <w:rPr>
          <w:rFonts w:hint="eastAsia" w:ascii="宋体" w:hAnsi="宋体"/>
          <w:sz w:val="28"/>
          <w:szCs w:val="28"/>
          <w:highlight w:val="none"/>
          <w:lang w:eastAsia="zh-CN"/>
        </w:rPr>
        <w:t>非</w:t>
      </w:r>
      <w:r>
        <w:rPr>
          <w:rFonts w:hint="eastAsia" w:ascii="宋体" w:hAnsi="宋体"/>
          <w:sz w:val="28"/>
          <w:szCs w:val="28"/>
          <w:highlight w:val="none"/>
        </w:rPr>
        <w:t>经纪参与者、</w:t>
      </w:r>
      <w:r>
        <w:rPr>
          <w:rFonts w:ascii="宋体" w:hAnsi="宋体"/>
          <w:sz w:val="28"/>
          <w:szCs w:val="28"/>
          <w:highlight w:val="none"/>
        </w:rPr>
        <w:t>客户参与期货交易应当遵守法律、法规</w:t>
      </w:r>
      <w:r>
        <w:rPr>
          <w:rFonts w:hint="eastAsia" w:ascii="宋体" w:hAnsi="宋体"/>
          <w:sz w:val="28"/>
          <w:szCs w:val="28"/>
          <w:highlight w:val="none"/>
        </w:rPr>
        <w:t>、规章</w:t>
      </w:r>
      <w:r>
        <w:rPr>
          <w:rFonts w:ascii="宋体" w:hAnsi="宋体"/>
          <w:sz w:val="28"/>
          <w:szCs w:val="28"/>
          <w:highlight w:val="none"/>
        </w:rPr>
        <w:t>和交易所业务规则，接受交易所对其实际控制关系账户的管理。客户还应当接受期货公司会员</w:t>
      </w:r>
      <w:r>
        <w:rPr>
          <w:rFonts w:hint="eastAsia" w:ascii="宋体" w:hAnsi="宋体"/>
          <w:sz w:val="28"/>
          <w:szCs w:val="28"/>
          <w:highlight w:val="none"/>
        </w:rPr>
        <w:t>、境外特殊经纪参与者、境外</w:t>
      </w:r>
      <w:r>
        <w:rPr>
          <w:rFonts w:hint="eastAsia" w:ascii="宋体" w:hAnsi="宋体"/>
          <w:sz w:val="28"/>
          <w:szCs w:val="28"/>
          <w:highlight w:val="none"/>
          <w:lang w:eastAsia="zh-CN"/>
        </w:rPr>
        <w:t>中介</w:t>
      </w:r>
      <w:r>
        <w:rPr>
          <w:rFonts w:hint="eastAsia" w:ascii="宋体" w:hAnsi="宋体"/>
          <w:sz w:val="28"/>
          <w:szCs w:val="28"/>
          <w:highlight w:val="none"/>
        </w:rPr>
        <w:t>机构</w:t>
      </w:r>
      <w:r>
        <w:rPr>
          <w:rFonts w:ascii="宋体" w:hAnsi="宋体"/>
          <w:sz w:val="28"/>
          <w:szCs w:val="28"/>
          <w:highlight w:val="none"/>
        </w:rPr>
        <w:t>对其实际控制关系账户的管理。</w:t>
      </w:r>
    </w:p>
    <w:p>
      <w:pPr>
        <w:tabs>
          <w:tab w:val="left" w:pos="876"/>
        </w:tabs>
        <w:jc w:val="center"/>
        <w:rPr>
          <w:rFonts w:ascii="黑体" w:hAnsi="黑体" w:eastAsia="黑体"/>
          <w:sz w:val="32"/>
          <w:szCs w:val="32"/>
          <w:highlight w:val="none"/>
        </w:rPr>
      </w:pPr>
      <w:r>
        <w:rPr>
          <w:rFonts w:ascii="黑体" w:hAnsi="黑体" w:eastAsia="黑体"/>
          <w:sz w:val="32"/>
          <w:szCs w:val="32"/>
          <w:highlight w:val="none"/>
        </w:rPr>
        <w:t>第二章</w:t>
      </w:r>
      <w:r>
        <w:rPr>
          <w:rFonts w:hint="eastAsia" w:ascii="黑体" w:hAnsi="黑体" w:eastAsia="黑体"/>
          <w:sz w:val="32"/>
          <w:szCs w:val="32"/>
          <w:highlight w:val="none"/>
        </w:rPr>
        <w:t xml:space="preserve"> </w:t>
      </w:r>
      <w:r>
        <w:rPr>
          <w:rFonts w:ascii="黑体" w:hAnsi="黑体" w:eastAsia="黑体"/>
          <w:sz w:val="32"/>
          <w:szCs w:val="32"/>
          <w:highlight w:val="none"/>
        </w:rPr>
        <w:t>实际控制关系账户</w:t>
      </w:r>
      <w:r>
        <w:rPr>
          <w:rFonts w:hint="eastAsia" w:ascii="黑体" w:hAnsi="黑体" w:eastAsia="黑体"/>
          <w:sz w:val="32"/>
          <w:szCs w:val="32"/>
          <w:highlight w:val="none"/>
        </w:rPr>
        <w:t>的</w:t>
      </w:r>
      <w:r>
        <w:rPr>
          <w:rFonts w:ascii="黑体" w:hAnsi="黑体" w:eastAsia="黑体"/>
          <w:sz w:val="32"/>
          <w:szCs w:val="32"/>
          <w:highlight w:val="none"/>
        </w:rPr>
        <w:t>认定</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第四条</w:t>
      </w:r>
      <w:r>
        <w:rPr>
          <w:rFonts w:hint="eastAsia" w:ascii="宋体" w:hAnsi="宋体"/>
          <w:sz w:val="28"/>
          <w:szCs w:val="28"/>
          <w:highlight w:val="none"/>
        </w:rPr>
        <w:t xml:space="preserve"> </w:t>
      </w:r>
      <w:r>
        <w:rPr>
          <w:rFonts w:ascii="宋体" w:hAnsi="宋体"/>
          <w:sz w:val="28"/>
          <w:szCs w:val="28"/>
          <w:highlight w:val="none"/>
        </w:rPr>
        <w:t>实际控制是指行为人（包括个人、单位）对他人（包括个人、单位）期货账户具有管理、使用、收益或者处分等权限，从而对他人交易决策拥有决定权</w:t>
      </w:r>
      <w:r>
        <w:rPr>
          <w:rFonts w:hint="eastAsia" w:ascii="宋体" w:hAnsi="宋体"/>
          <w:sz w:val="28"/>
          <w:szCs w:val="28"/>
          <w:highlight w:val="none"/>
        </w:rPr>
        <w:t>或者重大影响</w:t>
      </w:r>
      <w:r>
        <w:rPr>
          <w:rFonts w:ascii="宋体" w:hAnsi="宋体"/>
          <w:sz w:val="28"/>
          <w:szCs w:val="28"/>
          <w:highlight w:val="none"/>
        </w:rPr>
        <w:t>的行为或者事实。</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第五条</w:t>
      </w:r>
      <w:r>
        <w:rPr>
          <w:rFonts w:hint="eastAsia" w:ascii="宋体" w:hAnsi="宋体"/>
          <w:sz w:val="28"/>
          <w:szCs w:val="28"/>
          <w:highlight w:val="none"/>
        </w:rPr>
        <w:t xml:space="preserve"> 根据实质重于形式的原则，</w:t>
      </w:r>
      <w:r>
        <w:rPr>
          <w:rFonts w:ascii="宋体" w:hAnsi="宋体"/>
          <w:sz w:val="28"/>
          <w:szCs w:val="28"/>
          <w:highlight w:val="none"/>
        </w:rPr>
        <w:t>具有下列情形之一的</w:t>
      </w:r>
      <w:r>
        <w:rPr>
          <w:rFonts w:hint="eastAsia" w:ascii="宋体" w:hAnsi="宋体"/>
          <w:sz w:val="28"/>
          <w:szCs w:val="28"/>
          <w:highlight w:val="none"/>
        </w:rPr>
        <w:t>，</w:t>
      </w:r>
      <w:r>
        <w:rPr>
          <w:rFonts w:ascii="宋体" w:hAnsi="宋体"/>
          <w:sz w:val="28"/>
          <w:szCs w:val="28"/>
          <w:highlight w:val="none"/>
        </w:rPr>
        <w:t>应当认定为行为人对他人期货账户的交易具有实际控制关系：</w:t>
      </w:r>
    </w:p>
    <w:p>
      <w:pPr>
        <w:tabs>
          <w:tab w:val="left" w:pos="876"/>
        </w:tabs>
        <w:ind w:firstLine="560" w:firstLineChars="200"/>
        <w:rPr>
          <w:rFonts w:ascii="宋体" w:hAnsi="宋体"/>
          <w:sz w:val="28"/>
          <w:szCs w:val="28"/>
          <w:highlight w:val="none"/>
        </w:rPr>
      </w:pPr>
      <w:r>
        <w:rPr>
          <w:rFonts w:ascii="宋体" w:hAnsi="宋体"/>
          <w:sz w:val="28"/>
          <w:szCs w:val="28"/>
          <w:highlight w:val="none"/>
        </w:rPr>
        <w:t>（一）行为人作为他人的控股股东，即行为人的出资额占他人资本总额50%以上或者其持有的股份占他人股本总额50%以上的股东，出资额或者持有股份的比例虽然不足50%，但依其出资额或者持有的股份所享有的表决权已足以对股东会、股东大会的决议产生重大影响的股东；</w:t>
      </w:r>
    </w:p>
    <w:p>
      <w:pPr>
        <w:tabs>
          <w:tab w:val="left" w:pos="876"/>
        </w:tabs>
        <w:ind w:firstLine="560" w:firstLineChars="200"/>
        <w:rPr>
          <w:rFonts w:ascii="宋体" w:hAnsi="宋体"/>
          <w:sz w:val="28"/>
          <w:szCs w:val="28"/>
          <w:highlight w:val="none"/>
        </w:rPr>
      </w:pPr>
      <w:r>
        <w:rPr>
          <w:rFonts w:ascii="宋体" w:hAnsi="宋体"/>
          <w:sz w:val="28"/>
          <w:szCs w:val="28"/>
          <w:highlight w:val="none"/>
        </w:rPr>
        <w:t>（二）行为人作为他人的开户授权人、指定下单人、资金调拨人、结算单确认人或者其他形式的委托代理人；</w:t>
      </w:r>
    </w:p>
    <w:p>
      <w:pPr>
        <w:tabs>
          <w:tab w:val="left" w:pos="876"/>
        </w:tabs>
        <w:ind w:firstLine="560" w:firstLineChars="200"/>
        <w:rPr>
          <w:rFonts w:ascii="宋体" w:hAnsi="宋体"/>
          <w:sz w:val="28"/>
          <w:szCs w:val="28"/>
          <w:highlight w:val="none"/>
        </w:rPr>
      </w:pPr>
      <w:r>
        <w:rPr>
          <w:rFonts w:ascii="宋体" w:hAnsi="宋体"/>
          <w:sz w:val="28"/>
          <w:szCs w:val="28"/>
          <w:highlight w:val="none"/>
        </w:rPr>
        <w:t>（三）行为人作为他人的法定代表人、主要合伙人、董事、监事、高级管理人员等，或者行为人与他人的法定代表人、主要合伙人、董事、监事、高级管理人员等一致的；</w:t>
      </w:r>
    </w:p>
    <w:p>
      <w:pPr>
        <w:tabs>
          <w:tab w:val="left" w:pos="876"/>
        </w:tabs>
        <w:ind w:firstLine="560" w:firstLineChars="200"/>
        <w:rPr>
          <w:rFonts w:ascii="宋体" w:hAnsi="宋体"/>
          <w:sz w:val="28"/>
          <w:szCs w:val="28"/>
          <w:highlight w:val="none"/>
        </w:rPr>
      </w:pPr>
      <w:r>
        <w:rPr>
          <w:rFonts w:ascii="宋体" w:hAnsi="宋体"/>
          <w:sz w:val="28"/>
          <w:szCs w:val="28"/>
          <w:highlight w:val="none"/>
        </w:rPr>
        <w:t>（四）行为人与他人之间存在配偶关系；</w:t>
      </w:r>
    </w:p>
    <w:p>
      <w:pPr>
        <w:tabs>
          <w:tab w:val="left" w:pos="876"/>
        </w:tabs>
        <w:ind w:firstLine="560" w:firstLineChars="200"/>
        <w:rPr>
          <w:rFonts w:ascii="宋体" w:hAnsi="宋体"/>
          <w:sz w:val="28"/>
          <w:szCs w:val="28"/>
          <w:highlight w:val="none"/>
        </w:rPr>
      </w:pPr>
      <w:r>
        <w:rPr>
          <w:rFonts w:ascii="宋体" w:hAnsi="宋体"/>
          <w:sz w:val="28"/>
          <w:szCs w:val="28"/>
          <w:highlight w:val="none"/>
        </w:rPr>
        <w:t>（五）行为人与他人之间存在父母、子女、兄弟姐妹等关系，且对他人期货账户的日常交易决策具有决定权或者重大影响；</w:t>
      </w:r>
    </w:p>
    <w:p>
      <w:pPr>
        <w:tabs>
          <w:tab w:val="left" w:pos="876"/>
        </w:tabs>
        <w:ind w:firstLine="560" w:firstLineChars="200"/>
        <w:rPr>
          <w:rFonts w:ascii="宋体" w:hAnsi="宋体"/>
          <w:sz w:val="28"/>
          <w:szCs w:val="28"/>
          <w:highlight w:val="none"/>
        </w:rPr>
      </w:pPr>
      <w:r>
        <w:rPr>
          <w:rFonts w:ascii="宋体" w:hAnsi="宋体"/>
          <w:sz w:val="28"/>
          <w:szCs w:val="28"/>
          <w:highlight w:val="none"/>
        </w:rPr>
        <w:t>（六）行为人通过投资关系、协议、融资安排或者其他安排，能够对他人期货账户的日常交易决策具有决定权或者重大影响；</w:t>
      </w:r>
    </w:p>
    <w:p>
      <w:pPr>
        <w:tabs>
          <w:tab w:val="left" w:pos="876"/>
        </w:tabs>
        <w:ind w:firstLine="560" w:firstLineChars="200"/>
        <w:rPr>
          <w:rFonts w:ascii="宋体" w:hAnsi="宋体"/>
          <w:sz w:val="28"/>
          <w:szCs w:val="28"/>
          <w:highlight w:val="none"/>
        </w:rPr>
      </w:pPr>
      <w:r>
        <w:rPr>
          <w:rFonts w:ascii="宋体" w:hAnsi="宋体"/>
          <w:sz w:val="28"/>
          <w:szCs w:val="28"/>
          <w:highlight w:val="none"/>
        </w:rPr>
        <w:t>（七）</w:t>
      </w:r>
      <w:r>
        <w:rPr>
          <w:rFonts w:hint="eastAsia" w:ascii="宋体" w:hAnsi="宋体"/>
          <w:sz w:val="28"/>
          <w:szCs w:val="28"/>
          <w:highlight w:val="none"/>
        </w:rPr>
        <w:t>行为人与他人交易行为具有一致性且存在一方向另一方提供期货交易资金的，或者行为人与他人交易行为具有一致性且双方交易终端信息一致的；</w:t>
      </w:r>
    </w:p>
    <w:p>
      <w:pPr>
        <w:tabs>
          <w:tab w:val="left" w:pos="876"/>
        </w:tabs>
        <w:ind w:firstLine="560" w:firstLineChars="200"/>
        <w:rPr>
          <w:rFonts w:ascii="宋体" w:hAnsi="宋体"/>
          <w:sz w:val="28"/>
          <w:szCs w:val="28"/>
          <w:highlight w:val="none"/>
        </w:rPr>
      </w:pPr>
      <w:r>
        <w:rPr>
          <w:rFonts w:hint="eastAsia" w:ascii="宋体" w:hAnsi="宋体"/>
          <w:sz w:val="28"/>
          <w:szCs w:val="28"/>
          <w:highlight w:val="none"/>
        </w:rPr>
        <w:t>（八）</w:t>
      </w:r>
      <w:r>
        <w:rPr>
          <w:rFonts w:ascii="宋体" w:hAnsi="宋体"/>
          <w:sz w:val="28"/>
          <w:szCs w:val="28"/>
          <w:highlight w:val="none"/>
        </w:rPr>
        <w:t>行为人对两个或者多个他人期货账户的日常交易决策具有决定权或者重大影响；</w:t>
      </w:r>
    </w:p>
    <w:p>
      <w:pPr>
        <w:tabs>
          <w:tab w:val="left" w:pos="876"/>
        </w:tabs>
        <w:ind w:firstLine="560" w:firstLineChars="200"/>
        <w:rPr>
          <w:rFonts w:ascii="宋体" w:hAnsi="宋体"/>
          <w:sz w:val="28"/>
          <w:szCs w:val="28"/>
          <w:highlight w:val="none"/>
        </w:rPr>
      </w:pPr>
      <w:r>
        <w:rPr>
          <w:rFonts w:ascii="宋体" w:hAnsi="宋体"/>
          <w:sz w:val="28"/>
          <w:szCs w:val="28"/>
          <w:highlight w:val="none"/>
        </w:rPr>
        <w:t>（</w:t>
      </w:r>
      <w:r>
        <w:rPr>
          <w:rFonts w:hint="eastAsia" w:ascii="宋体" w:hAnsi="宋体"/>
          <w:sz w:val="28"/>
          <w:szCs w:val="28"/>
          <w:highlight w:val="none"/>
        </w:rPr>
        <w:t>九</w:t>
      </w:r>
      <w:r>
        <w:rPr>
          <w:rFonts w:ascii="宋体" w:hAnsi="宋体"/>
          <w:sz w:val="28"/>
          <w:szCs w:val="28"/>
          <w:highlight w:val="none"/>
        </w:rPr>
        <w:t>）</w:t>
      </w:r>
      <w:r>
        <w:rPr>
          <w:rFonts w:hint="eastAsia" w:ascii="宋体" w:hAnsi="宋体"/>
          <w:sz w:val="28"/>
          <w:szCs w:val="28"/>
          <w:highlight w:val="none"/>
        </w:rPr>
        <w:t>中国证监会规定或者交易所认定的其他情形。</w:t>
      </w:r>
    </w:p>
    <w:p>
      <w:pPr>
        <w:jc w:val="center"/>
        <w:rPr>
          <w:rFonts w:ascii="黑体" w:hAnsi="黑体" w:eastAsia="黑体"/>
          <w:color w:val="000000"/>
          <w:sz w:val="32"/>
          <w:szCs w:val="32"/>
          <w:highlight w:val="none"/>
        </w:rPr>
      </w:pPr>
      <w:r>
        <w:rPr>
          <w:rFonts w:ascii="黑体" w:hAnsi="黑体" w:eastAsia="黑体"/>
          <w:sz w:val="32"/>
          <w:szCs w:val="32"/>
          <w:highlight w:val="none"/>
        </w:rPr>
        <w:t>第三章</w:t>
      </w:r>
      <w:r>
        <w:rPr>
          <w:rFonts w:hint="eastAsia" w:ascii="黑体" w:hAnsi="黑体" w:eastAsia="黑体"/>
          <w:sz w:val="32"/>
          <w:szCs w:val="32"/>
          <w:highlight w:val="none"/>
        </w:rPr>
        <w:t xml:space="preserve"> </w:t>
      </w:r>
      <w:r>
        <w:rPr>
          <w:rFonts w:ascii="黑体" w:hAnsi="黑体" w:eastAsia="黑体"/>
          <w:sz w:val="32"/>
          <w:szCs w:val="32"/>
          <w:highlight w:val="none"/>
        </w:rPr>
        <w:t>实际控制关系账户的报备</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第六条</w:t>
      </w:r>
      <w:r>
        <w:rPr>
          <w:rFonts w:hint="eastAsia" w:ascii="宋体" w:hAnsi="宋体"/>
          <w:sz w:val="28"/>
          <w:szCs w:val="28"/>
          <w:highlight w:val="none"/>
        </w:rPr>
        <w:t xml:space="preserve"> 客户应当按照</w:t>
      </w:r>
      <w:r>
        <w:rPr>
          <w:rFonts w:ascii="宋体" w:hAnsi="宋体"/>
          <w:sz w:val="28"/>
          <w:szCs w:val="28"/>
          <w:highlight w:val="none"/>
        </w:rPr>
        <w:t>中国期货市场监控中心（以下简称监控中心）</w:t>
      </w:r>
      <w:r>
        <w:rPr>
          <w:rFonts w:hint="eastAsia" w:ascii="宋体" w:hAnsi="宋体"/>
          <w:sz w:val="28"/>
          <w:szCs w:val="28"/>
          <w:highlight w:val="none"/>
        </w:rPr>
        <w:t>相关规定通过各自开户的期货公司会员、境外特殊经纪参与者或者境外中介机构履行实际控制关系账户的报备、变更和解除程序。交易所与监控中心建立实际控制关系账户信息共享机制，按照规定使用实际控制关系账户信息。</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第七条</w:t>
      </w:r>
      <w:r>
        <w:rPr>
          <w:rFonts w:hint="eastAsia" w:ascii="宋体" w:hAnsi="宋体"/>
          <w:sz w:val="28"/>
          <w:szCs w:val="28"/>
          <w:highlight w:val="none"/>
        </w:rPr>
        <w:t xml:space="preserve"> </w:t>
      </w:r>
      <w:r>
        <w:rPr>
          <w:rFonts w:ascii="宋体" w:hAnsi="宋体"/>
          <w:sz w:val="28"/>
          <w:szCs w:val="28"/>
          <w:highlight w:val="none"/>
        </w:rPr>
        <w:t>符合实际控制关系账户认定标准的非期货公司会员</w:t>
      </w:r>
      <w:r>
        <w:rPr>
          <w:rFonts w:hint="eastAsia" w:ascii="宋体" w:hAnsi="宋体"/>
          <w:sz w:val="28"/>
          <w:szCs w:val="28"/>
          <w:highlight w:val="none"/>
        </w:rPr>
        <w:t>、境外特殊非经纪参与者</w:t>
      </w:r>
      <w:r>
        <w:rPr>
          <w:rFonts w:ascii="宋体" w:hAnsi="宋体"/>
          <w:sz w:val="28"/>
          <w:szCs w:val="28"/>
          <w:highlight w:val="none"/>
        </w:rPr>
        <w:t>应当在成为交易所会员</w:t>
      </w:r>
      <w:r>
        <w:rPr>
          <w:rFonts w:hint="eastAsia" w:ascii="宋体" w:hAnsi="宋体"/>
          <w:sz w:val="28"/>
          <w:szCs w:val="28"/>
          <w:highlight w:val="none"/>
        </w:rPr>
        <w:t>或者境外特殊非经纪参与者</w:t>
      </w:r>
      <w:r>
        <w:rPr>
          <w:rFonts w:ascii="宋体" w:hAnsi="宋体"/>
          <w:sz w:val="28"/>
          <w:szCs w:val="28"/>
          <w:highlight w:val="none"/>
        </w:rPr>
        <w:t>后10个</w:t>
      </w:r>
      <w:r>
        <w:rPr>
          <w:rFonts w:hint="eastAsia" w:ascii="宋体" w:hAnsi="宋体"/>
          <w:sz w:val="28"/>
          <w:szCs w:val="28"/>
          <w:highlight w:val="none"/>
        </w:rPr>
        <w:t>交易</w:t>
      </w:r>
      <w:r>
        <w:rPr>
          <w:rFonts w:ascii="宋体" w:hAnsi="宋体"/>
          <w:sz w:val="28"/>
          <w:szCs w:val="28"/>
          <w:highlight w:val="none"/>
        </w:rPr>
        <w:t>日内</w:t>
      </w:r>
      <w:r>
        <w:rPr>
          <w:rFonts w:hint="eastAsia" w:ascii="宋体" w:hAnsi="宋体"/>
          <w:sz w:val="28"/>
          <w:szCs w:val="28"/>
          <w:highlight w:val="none"/>
        </w:rPr>
        <w:t>直接向交易所进行</w:t>
      </w:r>
      <w:r>
        <w:rPr>
          <w:rFonts w:ascii="宋体" w:hAnsi="宋体"/>
          <w:sz w:val="28"/>
          <w:szCs w:val="28"/>
          <w:highlight w:val="none"/>
        </w:rPr>
        <w:t>报备</w:t>
      </w:r>
      <w:r>
        <w:rPr>
          <w:rFonts w:hint="eastAsia" w:ascii="宋体" w:hAnsi="宋体"/>
          <w:sz w:val="28"/>
          <w:szCs w:val="28"/>
          <w:highlight w:val="none"/>
          <w:lang w:eastAsia="zh-CN"/>
        </w:rPr>
        <w:t>，由交易所将相关报备信息发至监控中心</w:t>
      </w:r>
      <w:r>
        <w:rPr>
          <w:rFonts w:ascii="宋体" w:hAnsi="宋体"/>
          <w:sz w:val="28"/>
          <w:szCs w:val="28"/>
          <w:highlight w:val="none"/>
        </w:rPr>
        <w:t>。</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第八条</w:t>
      </w:r>
      <w:r>
        <w:rPr>
          <w:rFonts w:hint="eastAsia" w:ascii="宋体" w:hAnsi="宋体"/>
          <w:sz w:val="28"/>
          <w:szCs w:val="28"/>
          <w:highlight w:val="none"/>
        </w:rPr>
        <w:t xml:space="preserve"> </w:t>
      </w:r>
      <w:r>
        <w:rPr>
          <w:rFonts w:ascii="宋体" w:hAnsi="宋体"/>
          <w:sz w:val="28"/>
          <w:szCs w:val="28"/>
          <w:highlight w:val="none"/>
        </w:rPr>
        <w:t>非期货公司会员</w:t>
      </w:r>
      <w:r>
        <w:rPr>
          <w:rFonts w:hint="eastAsia" w:ascii="宋体" w:hAnsi="宋体"/>
          <w:sz w:val="28"/>
          <w:szCs w:val="28"/>
          <w:highlight w:val="none"/>
        </w:rPr>
        <w:t>、境外特殊非经纪参与者</w:t>
      </w:r>
      <w:r>
        <w:rPr>
          <w:rFonts w:ascii="宋体" w:hAnsi="宋体"/>
          <w:sz w:val="28"/>
          <w:szCs w:val="28"/>
          <w:highlight w:val="none"/>
        </w:rPr>
        <w:t>实际控制关系发生变更</w:t>
      </w:r>
      <w:r>
        <w:rPr>
          <w:rFonts w:hint="eastAsia" w:ascii="宋体" w:hAnsi="宋体"/>
          <w:sz w:val="28"/>
          <w:szCs w:val="28"/>
          <w:highlight w:val="none"/>
        </w:rPr>
        <w:t>的,</w:t>
      </w:r>
      <w:r>
        <w:rPr>
          <w:rFonts w:ascii="宋体" w:hAnsi="宋体"/>
          <w:sz w:val="28"/>
          <w:szCs w:val="28"/>
          <w:highlight w:val="none"/>
        </w:rPr>
        <w:t>应当在</w:t>
      </w:r>
      <w:r>
        <w:rPr>
          <w:rFonts w:hint="eastAsia" w:ascii="宋体" w:hAnsi="宋体"/>
          <w:sz w:val="28"/>
          <w:szCs w:val="28"/>
          <w:highlight w:val="none"/>
        </w:rPr>
        <w:t>发生变更之日起</w:t>
      </w:r>
      <w:r>
        <w:rPr>
          <w:rFonts w:ascii="宋体" w:hAnsi="宋体"/>
          <w:sz w:val="28"/>
          <w:szCs w:val="28"/>
          <w:highlight w:val="none"/>
        </w:rPr>
        <w:t>10个</w:t>
      </w:r>
      <w:r>
        <w:rPr>
          <w:rFonts w:hint="eastAsia" w:ascii="宋体" w:hAnsi="宋体"/>
          <w:sz w:val="28"/>
          <w:szCs w:val="28"/>
          <w:highlight w:val="none"/>
        </w:rPr>
        <w:t>交易</w:t>
      </w:r>
      <w:r>
        <w:rPr>
          <w:rFonts w:ascii="宋体" w:hAnsi="宋体"/>
          <w:sz w:val="28"/>
          <w:szCs w:val="28"/>
          <w:highlight w:val="none"/>
        </w:rPr>
        <w:t>日内主动</w:t>
      </w:r>
      <w:r>
        <w:rPr>
          <w:rFonts w:hint="eastAsia" w:ascii="宋体" w:hAnsi="宋体"/>
          <w:sz w:val="28"/>
          <w:szCs w:val="28"/>
          <w:highlight w:val="none"/>
        </w:rPr>
        <w:t>向交易所</w:t>
      </w:r>
      <w:r>
        <w:rPr>
          <w:rFonts w:ascii="宋体" w:hAnsi="宋体"/>
          <w:sz w:val="28"/>
          <w:szCs w:val="28"/>
          <w:highlight w:val="none"/>
        </w:rPr>
        <w:t>报备变更</w:t>
      </w:r>
      <w:r>
        <w:rPr>
          <w:rFonts w:hint="eastAsia" w:ascii="宋体" w:hAnsi="宋体"/>
          <w:sz w:val="28"/>
          <w:szCs w:val="28"/>
          <w:highlight w:val="none"/>
        </w:rPr>
        <w:t>情况，由交易所将相关报备信息发至监控中心</w:t>
      </w:r>
      <w:r>
        <w:rPr>
          <w:rFonts w:ascii="宋体" w:hAnsi="宋体"/>
          <w:sz w:val="28"/>
          <w:szCs w:val="28"/>
          <w:highlight w:val="none"/>
        </w:rPr>
        <w:t>。</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第九条</w:t>
      </w:r>
      <w:r>
        <w:rPr>
          <w:rFonts w:hint="eastAsia" w:ascii="宋体" w:hAnsi="宋体"/>
          <w:sz w:val="28"/>
          <w:szCs w:val="28"/>
          <w:highlight w:val="none"/>
        </w:rPr>
        <w:t xml:space="preserve"> </w:t>
      </w:r>
      <w:r>
        <w:rPr>
          <w:rFonts w:ascii="宋体" w:hAnsi="宋体"/>
          <w:sz w:val="28"/>
          <w:szCs w:val="28"/>
          <w:highlight w:val="none"/>
        </w:rPr>
        <w:t>申请解除实际控制关系的</w:t>
      </w:r>
      <w:r>
        <w:rPr>
          <w:rFonts w:hint="eastAsia" w:ascii="宋体" w:hAnsi="宋体"/>
          <w:sz w:val="28"/>
          <w:szCs w:val="28"/>
          <w:highlight w:val="none"/>
        </w:rPr>
        <w:t>客户应当通过其开户的期货公司会员、境外特殊经纪参与者或者境外中介机构向监控中心提出申请，由监控中心将解除申请转交易所审核，客户</w:t>
      </w:r>
      <w:r>
        <w:rPr>
          <w:rFonts w:ascii="宋体" w:hAnsi="宋体"/>
          <w:sz w:val="28"/>
          <w:szCs w:val="28"/>
          <w:highlight w:val="none"/>
        </w:rPr>
        <w:t>应当按照交易所要求</w:t>
      </w:r>
      <w:r>
        <w:rPr>
          <w:rFonts w:hint="eastAsia" w:ascii="宋体" w:hAnsi="宋体"/>
          <w:sz w:val="28"/>
          <w:szCs w:val="28"/>
          <w:highlight w:val="none"/>
        </w:rPr>
        <w:t>通过其开户的期货公司会员、境外特殊经纪参与者或者境外中介机构</w:t>
      </w:r>
      <w:r>
        <w:rPr>
          <w:rFonts w:ascii="宋体" w:hAnsi="宋体"/>
          <w:sz w:val="28"/>
          <w:szCs w:val="28"/>
          <w:highlight w:val="none"/>
        </w:rPr>
        <w:t>提交相关说明材料。</w:t>
      </w:r>
    </w:p>
    <w:p>
      <w:pPr>
        <w:tabs>
          <w:tab w:val="left" w:pos="876"/>
        </w:tabs>
        <w:ind w:firstLine="560" w:firstLineChars="200"/>
        <w:rPr>
          <w:rFonts w:ascii="宋体" w:hAnsi="宋体"/>
          <w:sz w:val="28"/>
          <w:szCs w:val="28"/>
          <w:highlight w:val="none"/>
        </w:rPr>
      </w:pPr>
      <w:r>
        <w:rPr>
          <w:rFonts w:ascii="宋体" w:hAnsi="宋体"/>
          <w:sz w:val="28"/>
          <w:szCs w:val="28"/>
          <w:highlight w:val="none"/>
        </w:rPr>
        <w:t>申请解除实际控制关系的非期货公司会员</w:t>
      </w:r>
      <w:r>
        <w:rPr>
          <w:rFonts w:hint="eastAsia" w:ascii="宋体" w:hAnsi="宋体"/>
          <w:sz w:val="28"/>
          <w:szCs w:val="28"/>
          <w:highlight w:val="none"/>
        </w:rPr>
        <w:t>、境外特殊非经纪参与者可以</w:t>
      </w:r>
      <w:r>
        <w:rPr>
          <w:rFonts w:ascii="宋体" w:hAnsi="宋体"/>
          <w:sz w:val="28"/>
          <w:szCs w:val="28"/>
          <w:highlight w:val="none"/>
        </w:rPr>
        <w:t>直接向交易所提出申请，</w:t>
      </w:r>
      <w:r>
        <w:rPr>
          <w:rFonts w:hint="eastAsia" w:ascii="宋体" w:hAnsi="宋体"/>
          <w:sz w:val="28"/>
          <w:szCs w:val="28"/>
          <w:highlight w:val="none"/>
        </w:rPr>
        <w:t>并</w:t>
      </w:r>
      <w:r>
        <w:rPr>
          <w:rFonts w:ascii="宋体" w:hAnsi="宋体"/>
          <w:sz w:val="28"/>
          <w:szCs w:val="28"/>
          <w:highlight w:val="none"/>
        </w:rPr>
        <w:t>应当按照交易所要求提交相关说明材料。</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第十条</w:t>
      </w:r>
      <w:r>
        <w:rPr>
          <w:rFonts w:hint="eastAsia" w:ascii="宋体" w:hAnsi="宋体"/>
          <w:sz w:val="28"/>
          <w:szCs w:val="28"/>
          <w:highlight w:val="none"/>
        </w:rPr>
        <w:t xml:space="preserve"> </w:t>
      </w:r>
      <w:r>
        <w:rPr>
          <w:rFonts w:ascii="宋体" w:hAnsi="宋体"/>
          <w:sz w:val="28"/>
          <w:szCs w:val="28"/>
          <w:highlight w:val="none"/>
        </w:rPr>
        <w:t>交易所</w:t>
      </w:r>
      <w:r>
        <w:rPr>
          <w:rFonts w:hint="eastAsia" w:ascii="宋体" w:hAnsi="宋体"/>
          <w:sz w:val="28"/>
          <w:szCs w:val="28"/>
          <w:highlight w:val="none"/>
        </w:rPr>
        <w:t>在日常自律监管</w:t>
      </w:r>
      <w:r>
        <w:rPr>
          <w:rFonts w:ascii="宋体" w:hAnsi="宋体"/>
          <w:sz w:val="28"/>
          <w:szCs w:val="28"/>
          <w:highlight w:val="none"/>
        </w:rPr>
        <w:t>中发现具有疑似实际控制关系</w:t>
      </w:r>
      <w:r>
        <w:rPr>
          <w:rFonts w:hint="eastAsia" w:ascii="宋体" w:hAnsi="宋体"/>
          <w:sz w:val="28"/>
          <w:szCs w:val="28"/>
          <w:highlight w:val="none"/>
        </w:rPr>
        <w:t>但</w:t>
      </w:r>
      <w:r>
        <w:rPr>
          <w:rFonts w:ascii="宋体" w:hAnsi="宋体"/>
          <w:sz w:val="28"/>
          <w:szCs w:val="28"/>
          <w:highlight w:val="none"/>
        </w:rPr>
        <w:t>尚未报备的</w:t>
      </w:r>
      <w:r>
        <w:rPr>
          <w:rFonts w:hint="eastAsia" w:ascii="宋体" w:hAnsi="宋体"/>
          <w:sz w:val="28"/>
          <w:szCs w:val="28"/>
          <w:highlight w:val="none"/>
        </w:rPr>
        <w:t>账户</w:t>
      </w:r>
      <w:r>
        <w:rPr>
          <w:rFonts w:ascii="宋体" w:hAnsi="宋体"/>
          <w:sz w:val="28"/>
          <w:szCs w:val="28"/>
          <w:highlight w:val="none"/>
        </w:rPr>
        <w:t>，</w:t>
      </w:r>
      <w:r>
        <w:rPr>
          <w:rFonts w:hint="eastAsia" w:ascii="宋体" w:hAnsi="宋体"/>
          <w:sz w:val="28"/>
          <w:szCs w:val="28"/>
          <w:highlight w:val="none"/>
        </w:rPr>
        <w:t>开户人为委托期货公司会员从事期货交易的客户的，交易所</w:t>
      </w:r>
      <w:r>
        <w:rPr>
          <w:rFonts w:ascii="宋体" w:hAnsi="宋体"/>
          <w:sz w:val="28"/>
          <w:szCs w:val="28"/>
          <w:highlight w:val="none"/>
        </w:rPr>
        <w:t>可以</w:t>
      </w:r>
      <w:r>
        <w:rPr>
          <w:rFonts w:hint="eastAsia" w:ascii="宋体" w:hAnsi="宋体"/>
          <w:sz w:val="28"/>
          <w:szCs w:val="28"/>
          <w:highlight w:val="none"/>
          <w:lang w:eastAsia="zh-CN"/>
        </w:rPr>
        <w:t>直接或</w:t>
      </w:r>
      <w:r>
        <w:rPr>
          <w:rFonts w:ascii="宋体" w:hAnsi="宋体"/>
          <w:sz w:val="28"/>
          <w:szCs w:val="28"/>
          <w:highlight w:val="none"/>
        </w:rPr>
        <w:t>通过期货公司会员进行询问</w:t>
      </w:r>
      <w:r>
        <w:rPr>
          <w:rFonts w:hint="eastAsia" w:ascii="宋体" w:hAnsi="宋体"/>
          <w:sz w:val="28"/>
          <w:szCs w:val="28"/>
          <w:highlight w:val="none"/>
        </w:rPr>
        <w:t>，期货公司会员应当及时将交易所询问向客户进行转达；开户人为委托境外特殊经纪参与者从事期货交易的客户的，交易所可以直接或通过境外特殊经纪参与者进行询问，境外特殊经纪参与者应当及时将交易所询问向客户进行转达；开户人为非期货公司会员、境外特殊非经纪参与者的，交易所可以直接询问。客户委托境外</w:t>
      </w:r>
      <w:r>
        <w:rPr>
          <w:rFonts w:hint="eastAsia" w:ascii="宋体" w:hAnsi="宋体"/>
          <w:sz w:val="28"/>
          <w:szCs w:val="28"/>
          <w:highlight w:val="none"/>
          <w:lang w:eastAsia="zh-CN"/>
        </w:rPr>
        <w:t>中介</w:t>
      </w:r>
      <w:r>
        <w:rPr>
          <w:rFonts w:hint="eastAsia" w:ascii="宋体" w:hAnsi="宋体"/>
          <w:sz w:val="28"/>
          <w:szCs w:val="28"/>
          <w:highlight w:val="none"/>
        </w:rPr>
        <w:t>机构从事期货交易的，期货公司会员</w:t>
      </w:r>
      <w:r>
        <w:rPr>
          <w:rFonts w:hint="eastAsia" w:ascii="宋体" w:hAnsi="宋体"/>
          <w:sz w:val="28"/>
          <w:szCs w:val="28"/>
          <w:highlight w:val="none"/>
          <w:lang w:eastAsia="zh-CN"/>
        </w:rPr>
        <w:t>或者境外特殊经纪参与者</w:t>
      </w:r>
      <w:r>
        <w:rPr>
          <w:rFonts w:hint="eastAsia" w:ascii="宋体" w:hAnsi="宋体"/>
          <w:sz w:val="28"/>
          <w:szCs w:val="28"/>
          <w:highlight w:val="none"/>
        </w:rPr>
        <w:t>应及时将交易所询问向境外</w:t>
      </w:r>
      <w:r>
        <w:rPr>
          <w:rFonts w:hint="eastAsia" w:ascii="宋体" w:hAnsi="宋体"/>
          <w:sz w:val="28"/>
          <w:szCs w:val="28"/>
          <w:highlight w:val="none"/>
          <w:lang w:eastAsia="zh-CN"/>
        </w:rPr>
        <w:t>中介</w:t>
      </w:r>
      <w:r>
        <w:rPr>
          <w:rFonts w:hint="eastAsia" w:ascii="宋体" w:hAnsi="宋体"/>
          <w:sz w:val="28"/>
          <w:szCs w:val="28"/>
          <w:highlight w:val="none"/>
        </w:rPr>
        <w:t>机构进行转达，境外</w:t>
      </w:r>
      <w:r>
        <w:rPr>
          <w:rFonts w:hint="eastAsia" w:ascii="宋体" w:hAnsi="宋体"/>
          <w:sz w:val="28"/>
          <w:szCs w:val="28"/>
          <w:highlight w:val="none"/>
          <w:lang w:eastAsia="zh-CN"/>
        </w:rPr>
        <w:t>中介</w:t>
      </w:r>
      <w:r>
        <w:rPr>
          <w:rFonts w:hint="eastAsia" w:ascii="宋体" w:hAnsi="宋体"/>
          <w:sz w:val="28"/>
          <w:szCs w:val="28"/>
          <w:highlight w:val="none"/>
        </w:rPr>
        <w:t>机构应及时将相关询问向客户进行转达。</w:t>
      </w:r>
    </w:p>
    <w:p>
      <w:pPr>
        <w:tabs>
          <w:tab w:val="left" w:pos="876"/>
        </w:tabs>
        <w:ind w:firstLine="560" w:firstLineChars="200"/>
        <w:rPr>
          <w:rFonts w:ascii="宋体" w:hAnsi="宋体"/>
          <w:sz w:val="28"/>
          <w:szCs w:val="28"/>
          <w:highlight w:val="none"/>
        </w:rPr>
      </w:pPr>
      <w:r>
        <w:rPr>
          <w:rFonts w:hint="eastAsia" w:ascii="宋体" w:hAnsi="宋体"/>
          <w:sz w:val="28"/>
          <w:szCs w:val="28"/>
          <w:highlight w:val="none"/>
        </w:rPr>
        <w:t>对于交易所的询问，非期货公司会员、境外特殊非经纪参与者、客户应当以书面形式及时回复，并提供相关材料；相关期货公司会员、境外特殊经纪参与者、境外</w:t>
      </w:r>
      <w:r>
        <w:rPr>
          <w:rFonts w:hint="eastAsia" w:ascii="宋体" w:hAnsi="宋体"/>
          <w:sz w:val="28"/>
          <w:szCs w:val="28"/>
          <w:highlight w:val="none"/>
          <w:lang w:eastAsia="zh-CN"/>
        </w:rPr>
        <w:t>中介</w:t>
      </w:r>
      <w:r>
        <w:rPr>
          <w:rFonts w:hint="eastAsia" w:ascii="宋体" w:hAnsi="宋体"/>
          <w:sz w:val="28"/>
          <w:szCs w:val="28"/>
          <w:highlight w:val="none"/>
        </w:rPr>
        <w:t>机构应及时将客户的回复及相关说明材料报送交易所。</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第十一条</w:t>
      </w:r>
      <w:r>
        <w:rPr>
          <w:rFonts w:hint="eastAsia" w:ascii="宋体" w:hAnsi="宋体"/>
          <w:sz w:val="28"/>
          <w:szCs w:val="28"/>
          <w:highlight w:val="none"/>
        </w:rPr>
        <w:t xml:space="preserve"> </w:t>
      </w:r>
      <w:r>
        <w:rPr>
          <w:rFonts w:ascii="宋体" w:hAnsi="宋体"/>
          <w:sz w:val="28"/>
          <w:szCs w:val="28"/>
          <w:highlight w:val="none"/>
        </w:rPr>
        <w:t>经交易所询问，非期货公司会员、</w:t>
      </w:r>
      <w:r>
        <w:rPr>
          <w:rFonts w:hint="eastAsia" w:ascii="宋体" w:hAnsi="宋体"/>
          <w:sz w:val="28"/>
          <w:szCs w:val="28"/>
          <w:highlight w:val="none"/>
        </w:rPr>
        <w:t>境外特殊非经纪参与者、</w:t>
      </w:r>
      <w:r>
        <w:rPr>
          <w:rFonts w:ascii="宋体" w:hAnsi="宋体"/>
          <w:sz w:val="28"/>
          <w:szCs w:val="28"/>
          <w:highlight w:val="none"/>
        </w:rPr>
        <w:t>客户承认存在实际控制关系的，</w:t>
      </w:r>
      <w:r>
        <w:rPr>
          <w:rFonts w:hint="eastAsia" w:ascii="宋体" w:hAnsi="宋体"/>
          <w:sz w:val="28"/>
          <w:szCs w:val="28"/>
          <w:highlight w:val="none"/>
        </w:rPr>
        <w:t>应当</w:t>
      </w:r>
      <w:r>
        <w:rPr>
          <w:rFonts w:ascii="宋体" w:hAnsi="宋体"/>
          <w:sz w:val="28"/>
          <w:szCs w:val="28"/>
          <w:highlight w:val="none"/>
        </w:rPr>
        <w:t>按照</w:t>
      </w:r>
      <w:r>
        <w:rPr>
          <w:rFonts w:hint="eastAsia" w:ascii="宋体" w:hAnsi="宋体"/>
          <w:sz w:val="28"/>
          <w:szCs w:val="28"/>
          <w:highlight w:val="none"/>
        </w:rPr>
        <w:t>规定的报备</w:t>
      </w:r>
      <w:r>
        <w:rPr>
          <w:rFonts w:ascii="宋体" w:hAnsi="宋体"/>
          <w:sz w:val="28"/>
          <w:szCs w:val="28"/>
          <w:highlight w:val="none"/>
        </w:rPr>
        <w:t>流程进行报备</w:t>
      </w:r>
      <w:r>
        <w:rPr>
          <w:rFonts w:hint="eastAsia" w:ascii="宋体" w:hAnsi="宋体"/>
          <w:sz w:val="28"/>
          <w:szCs w:val="28"/>
          <w:highlight w:val="none"/>
        </w:rPr>
        <w:t>；</w:t>
      </w:r>
      <w:r>
        <w:rPr>
          <w:rFonts w:ascii="宋体" w:hAnsi="宋体"/>
          <w:sz w:val="28"/>
          <w:szCs w:val="28"/>
          <w:highlight w:val="none"/>
        </w:rPr>
        <w:t>非期货公司会员、</w:t>
      </w:r>
      <w:r>
        <w:rPr>
          <w:rFonts w:hint="eastAsia" w:ascii="宋体" w:hAnsi="宋体"/>
          <w:sz w:val="28"/>
          <w:szCs w:val="28"/>
          <w:highlight w:val="none"/>
        </w:rPr>
        <w:t>境外特殊非经纪参与者、</w:t>
      </w:r>
      <w:r>
        <w:rPr>
          <w:rFonts w:ascii="宋体" w:hAnsi="宋体"/>
          <w:sz w:val="28"/>
          <w:szCs w:val="28"/>
          <w:highlight w:val="none"/>
        </w:rPr>
        <w:t>客户否认存在实际控制关系的，应</w:t>
      </w:r>
      <w:r>
        <w:rPr>
          <w:rFonts w:hint="eastAsia" w:ascii="宋体" w:hAnsi="宋体"/>
          <w:sz w:val="28"/>
          <w:szCs w:val="28"/>
          <w:highlight w:val="none"/>
        </w:rPr>
        <w:t>当</w:t>
      </w:r>
      <w:r>
        <w:rPr>
          <w:rFonts w:ascii="宋体" w:hAnsi="宋体"/>
          <w:sz w:val="28"/>
          <w:szCs w:val="28"/>
          <w:highlight w:val="none"/>
        </w:rPr>
        <w:t>签署《合规声明及承诺书》</w:t>
      </w:r>
      <w:r>
        <w:rPr>
          <w:rFonts w:hint="eastAsia" w:ascii="宋体" w:hAnsi="宋体"/>
          <w:sz w:val="28"/>
          <w:szCs w:val="28"/>
          <w:highlight w:val="none"/>
        </w:rPr>
        <w:t>，</w:t>
      </w:r>
      <w:r>
        <w:rPr>
          <w:rFonts w:ascii="宋体" w:hAnsi="宋体"/>
          <w:sz w:val="28"/>
          <w:szCs w:val="28"/>
          <w:highlight w:val="none"/>
        </w:rPr>
        <w:t>交易所将对相关说明材料进行审核，</w:t>
      </w:r>
      <w:r>
        <w:rPr>
          <w:rFonts w:hint="eastAsia" w:ascii="宋体" w:hAnsi="宋体"/>
          <w:sz w:val="28"/>
          <w:szCs w:val="28"/>
          <w:highlight w:val="none"/>
        </w:rPr>
        <w:t>分别作出以下处理：</w:t>
      </w:r>
    </w:p>
    <w:p>
      <w:pPr>
        <w:tabs>
          <w:tab w:val="left" w:pos="876"/>
        </w:tabs>
        <w:ind w:firstLine="560" w:firstLineChars="200"/>
        <w:rPr>
          <w:rFonts w:ascii="宋体" w:hAnsi="宋体"/>
          <w:sz w:val="28"/>
          <w:szCs w:val="28"/>
          <w:highlight w:val="none"/>
        </w:rPr>
      </w:pPr>
      <w:r>
        <w:rPr>
          <w:rFonts w:hint="eastAsia" w:ascii="宋体" w:hAnsi="宋体"/>
          <w:sz w:val="28"/>
          <w:szCs w:val="28"/>
          <w:highlight w:val="none"/>
        </w:rPr>
        <w:t>（一）</w:t>
      </w:r>
      <w:r>
        <w:rPr>
          <w:rFonts w:ascii="宋体" w:hAnsi="宋体"/>
          <w:sz w:val="28"/>
          <w:szCs w:val="28"/>
          <w:highlight w:val="none"/>
        </w:rPr>
        <w:t>非期货公司会员、</w:t>
      </w:r>
      <w:r>
        <w:rPr>
          <w:rFonts w:hint="eastAsia" w:ascii="宋体" w:hAnsi="宋体"/>
          <w:sz w:val="28"/>
          <w:szCs w:val="28"/>
          <w:highlight w:val="none"/>
        </w:rPr>
        <w:t>境外特殊非经纪参与者、</w:t>
      </w:r>
      <w:r>
        <w:rPr>
          <w:rFonts w:ascii="宋体" w:hAnsi="宋体"/>
          <w:sz w:val="28"/>
          <w:szCs w:val="28"/>
          <w:highlight w:val="none"/>
        </w:rPr>
        <w:t>客户</w:t>
      </w:r>
      <w:r>
        <w:rPr>
          <w:rFonts w:hint="eastAsia" w:ascii="宋体" w:hAnsi="宋体"/>
          <w:sz w:val="28"/>
          <w:szCs w:val="28"/>
          <w:highlight w:val="none"/>
        </w:rPr>
        <w:t>提交的说明材料事实理由不充分，经交易所调查认为符合实</w:t>
      </w:r>
      <w:r>
        <w:rPr>
          <w:rFonts w:ascii="宋体" w:hAnsi="宋体"/>
          <w:sz w:val="28"/>
          <w:szCs w:val="28"/>
          <w:highlight w:val="none"/>
        </w:rPr>
        <w:t>际控制关系</w:t>
      </w:r>
      <w:r>
        <w:rPr>
          <w:rFonts w:hint="eastAsia" w:ascii="宋体" w:hAnsi="宋体"/>
          <w:sz w:val="28"/>
          <w:szCs w:val="28"/>
          <w:highlight w:val="none"/>
        </w:rPr>
        <w:t>认定标准</w:t>
      </w:r>
      <w:r>
        <w:rPr>
          <w:rFonts w:ascii="宋体" w:hAnsi="宋体"/>
          <w:sz w:val="28"/>
          <w:szCs w:val="28"/>
          <w:highlight w:val="none"/>
        </w:rPr>
        <w:t>的</w:t>
      </w:r>
      <w:r>
        <w:rPr>
          <w:rFonts w:hint="eastAsia" w:ascii="宋体" w:hAnsi="宋体"/>
          <w:sz w:val="28"/>
          <w:szCs w:val="28"/>
          <w:highlight w:val="none"/>
        </w:rPr>
        <w:t>，交易所要求其报备，非期货公司会员、境外特殊非经纪参与者、客户未在规定时间内完成报备的，交易所可以依据规则认定为具有实际控制关系；若经调查暂无法认定是否符合实际控制关系认定标准的，交易所可将其列入重点监控名单；</w:t>
      </w:r>
    </w:p>
    <w:p>
      <w:pPr>
        <w:tabs>
          <w:tab w:val="left" w:pos="876"/>
        </w:tabs>
        <w:ind w:firstLine="560" w:firstLineChars="200"/>
        <w:rPr>
          <w:rFonts w:ascii="宋体" w:hAnsi="宋体"/>
          <w:sz w:val="28"/>
          <w:szCs w:val="28"/>
          <w:highlight w:val="none"/>
        </w:rPr>
      </w:pPr>
      <w:r>
        <w:rPr>
          <w:rFonts w:hint="eastAsia" w:ascii="宋体" w:hAnsi="宋体"/>
          <w:sz w:val="28"/>
          <w:szCs w:val="28"/>
          <w:highlight w:val="none"/>
        </w:rPr>
        <w:t>（二）</w:t>
      </w:r>
      <w:r>
        <w:rPr>
          <w:rFonts w:ascii="宋体" w:hAnsi="宋体"/>
          <w:sz w:val="28"/>
          <w:szCs w:val="28"/>
          <w:highlight w:val="none"/>
        </w:rPr>
        <w:t>非期货公司会员、</w:t>
      </w:r>
      <w:r>
        <w:rPr>
          <w:rFonts w:hint="eastAsia" w:ascii="宋体" w:hAnsi="宋体"/>
          <w:sz w:val="28"/>
          <w:szCs w:val="28"/>
          <w:highlight w:val="none"/>
        </w:rPr>
        <w:t>境外特殊非经纪参与者、</w:t>
      </w:r>
      <w:r>
        <w:rPr>
          <w:rFonts w:ascii="宋体" w:hAnsi="宋体"/>
          <w:sz w:val="28"/>
          <w:szCs w:val="28"/>
          <w:highlight w:val="none"/>
        </w:rPr>
        <w:t>客户</w:t>
      </w:r>
      <w:r>
        <w:rPr>
          <w:rFonts w:hint="eastAsia" w:ascii="宋体" w:hAnsi="宋体"/>
          <w:sz w:val="28"/>
          <w:szCs w:val="28"/>
          <w:highlight w:val="none"/>
        </w:rPr>
        <w:t>提交的说明材料</w:t>
      </w:r>
      <w:r>
        <w:rPr>
          <w:rFonts w:ascii="宋体" w:hAnsi="宋体"/>
          <w:sz w:val="28"/>
          <w:szCs w:val="28"/>
          <w:highlight w:val="none"/>
        </w:rPr>
        <w:t>事实理由充分，确不属于实际控制关系的，交易所</w:t>
      </w:r>
      <w:r>
        <w:rPr>
          <w:rFonts w:hint="eastAsia" w:ascii="宋体" w:hAnsi="宋体"/>
          <w:sz w:val="28"/>
          <w:szCs w:val="28"/>
          <w:highlight w:val="none"/>
        </w:rPr>
        <w:t>不认定为具有实际控制关系。</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第十二条</w:t>
      </w:r>
      <w:r>
        <w:rPr>
          <w:rFonts w:hint="eastAsia" w:ascii="宋体" w:hAnsi="宋体"/>
          <w:sz w:val="28"/>
          <w:szCs w:val="28"/>
          <w:highlight w:val="none"/>
        </w:rPr>
        <w:t xml:space="preserve"> 在交易所询问、调查及认定过程中</w:t>
      </w:r>
      <w:r>
        <w:rPr>
          <w:rFonts w:ascii="宋体" w:hAnsi="宋体"/>
          <w:sz w:val="28"/>
          <w:szCs w:val="28"/>
          <w:highlight w:val="none"/>
        </w:rPr>
        <w:t>对于</w:t>
      </w:r>
      <w:r>
        <w:rPr>
          <w:rFonts w:hint="eastAsia" w:ascii="宋体" w:hAnsi="宋体"/>
          <w:sz w:val="28"/>
          <w:szCs w:val="28"/>
          <w:highlight w:val="none"/>
        </w:rPr>
        <w:t>存在以下情形的</w:t>
      </w:r>
      <w:r>
        <w:rPr>
          <w:rFonts w:ascii="宋体" w:hAnsi="宋体"/>
          <w:sz w:val="28"/>
          <w:szCs w:val="28"/>
          <w:highlight w:val="none"/>
        </w:rPr>
        <w:t>非期货公司会员、</w:t>
      </w:r>
      <w:r>
        <w:rPr>
          <w:rFonts w:hint="eastAsia" w:ascii="宋体" w:hAnsi="宋体"/>
          <w:sz w:val="28"/>
          <w:szCs w:val="28"/>
          <w:highlight w:val="none"/>
        </w:rPr>
        <w:t>境外特殊非经纪参与者、</w:t>
      </w:r>
      <w:r>
        <w:rPr>
          <w:rFonts w:ascii="宋体" w:hAnsi="宋体"/>
          <w:sz w:val="28"/>
          <w:szCs w:val="28"/>
          <w:highlight w:val="none"/>
        </w:rPr>
        <w:t>客户</w:t>
      </w:r>
      <w:r>
        <w:rPr>
          <w:rFonts w:hint="eastAsia" w:ascii="宋体" w:hAnsi="宋体"/>
          <w:sz w:val="28"/>
          <w:szCs w:val="28"/>
          <w:highlight w:val="none"/>
        </w:rPr>
        <w:t>，根据情况分别作出以下自律监管措施；</w:t>
      </w:r>
      <w:r>
        <w:rPr>
          <w:rFonts w:ascii="宋体" w:hAnsi="宋体"/>
          <w:sz w:val="28"/>
          <w:szCs w:val="28"/>
          <w:highlight w:val="none"/>
        </w:rPr>
        <w:t>情节严重的，交易所</w:t>
      </w:r>
      <w:r>
        <w:rPr>
          <w:rFonts w:hint="eastAsia" w:ascii="宋体" w:hAnsi="宋体"/>
          <w:sz w:val="28"/>
          <w:szCs w:val="28"/>
          <w:highlight w:val="none"/>
        </w:rPr>
        <w:t>将</w:t>
      </w:r>
      <w:r>
        <w:rPr>
          <w:rFonts w:ascii="宋体" w:hAnsi="宋体"/>
          <w:sz w:val="28"/>
          <w:szCs w:val="28"/>
          <w:highlight w:val="none"/>
        </w:rPr>
        <w:t>依据《郑州商品交易所违规处理办法》</w:t>
      </w:r>
      <w:r>
        <w:rPr>
          <w:rFonts w:hint="eastAsia" w:ascii="宋体" w:hAnsi="宋体"/>
          <w:sz w:val="28"/>
          <w:szCs w:val="28"/>
          <w:highlight w:val="none"/>
        </w:rPr>
        <w:t>有关规定</w:t>
      </w:r>
      <w:r>
        <w:rPr>
          <w:rFonts w:ascii="宋体" w:hAnsi="宋体"/>
          <w:sz w:val="28"/>
          <w:szCs w:val="28"/>
          <w:highlight w:val="none"/>
        </w:rPr>
        <w:t>进行处理</w:t>
      </w:r>
      <w:r>
        <w:rPr>
          <w:rFonts w:hint="eastAsia" w:ascii="宋体" w:hAnsi="宋体"/>
          <w:sz w:val="28"/>
          <w:szCs w:val="28"/>
          <w:highlight w:val="none"/>
        </w:rPr>
        <w:t>：</w:t>
      </w:r>
    </w:p>
    <w:p>
      <w:pPr>
        <w:tabs>
          <w:tab w:val="left" w:pos="876"/>
        </w:tabs>
        <w:ind w:firstLine="560" w:firstLineChars="200"/>
        <w:rPr>
          <w:rFonts w:ascii="宋体" w:hAnsi="宋体"/>
          <w:sz w:val="28"/>
          <w:szCs w:val="28"/>
          <w:highlight w:val="none"/>
        </w:rPr>
      </w:pPr>
      <w:r>
        <w:rPr>
          <w:rFonts w:hint="eastAsia" w:ascii="宋体" w:hAnsi="宋体"/>
          <w:sz w:val="28"/>
          <w:szCs w:val="28"/>
          <w:highlight w:val="none"/>
        </w:rPr>
        <w:t>（一）不回复或不如实回复交易所询问、隐瞒事实真相、或者故意回避的，交易所可以采取约见谈话、书面警示、限制出金、限制开仓等措施；</w:t>
      </w:r>
    </w:p>
    <w:p>
      <w:pPr>
        <w:tabs>
          <w:tab w:val="left" w:pos="876"/>
        </w:tabs>
        <w:ind w:firstLine="560" w:firstLineChars="200"/>
        <w:rPr>
          <w:rFonts w:ascii="宋体" w:hAnsi="宋体"/>
          <w:sz w:val="28"/>
          <w:szCs w:val="28"/>
          <w:highlight w:val="none"/>
        </w:rPr>
      </w:pPr>
      <w:r>
        <w:rPr>
          <w:rFonts w:hint="eastAsia" w:ascii="宋体" w:hAnsi="宋体"/>
          <w:sz w:val="28"/>
          <w:szCs w:val="28"/>
          <w:highlight w:val="none"/>
        </w:rPr>
        <w:t>（二）</w:t>
      </w:r>
      <w:r>
        <w:rPr>
          <w:rFonts w:ascii="宋体" w:hAnsi="宋体"/>
          <w:sz w:val="28"/>
          <w:szCs w:val="28"/>
          <w:highlight w:val="none"/>
        </w:rPr>
        <w:t>不如实报备</w:t>
      </w:r>
      <w:r>
        <w:rPr>
          <w:rFonts w:hint="eastAsia" w:ascii="宋体" w:hAnsi="宋体"/>
          <w:sz w:val="28"/>
          <w:szCs w:val="28"/>
          <w:highlight w:val="none"/>
        </w:rPr>
        <w:t>实际控制关系，经交易所询问后报备的</w:t>
      </w:r>
      <w:r>
        <w:rPr>
          <w:rFonts w:ascii="宋体" w:hAnsi="宋体"/>
          <w:sz w:val="28"/>
          <w:szCs w:val="28"/>
          <w:highlight w:val="none"/>
        </w:rPr>
        <w:t>非期货公司会员、</w:t>
      </w:r>
      <w:r>
        <w:rPr>
          <w:rFonts w:hint="eastAsia" w:ascii="宋体" w:hAnsi="宋体"/>
          <w:sz w:val="28"/>
          <w:szCs w:val="28"/>
          <w:highlight w:val="none"/>
        </w:rPr>
        <w:t>境外特殊非经纪参与者、</w:t>
      </w:r>
      <w:r>
        <w:rPr>
          <w:rFonts w:ascii="宋体" w:hAnsi="宋体"/>
          <w:sz w:val="28"/>
          <w:szCs w:val="28"/>
          <w:highlight w:val="none"/>
        </w:rPr>
        <w:t>客户</w:t>
      </w:r>
      <w:r>
        <w:rPr>
          <w:rFonts w:hint="eastAsia" w:ascii="宋体" w:hAnsi="宋体"/>
          <w:sz w:val="28"/>
          <w:szCs w:val="28"/>
          <w:highlight w:val="none"/>
        </w:rPr>
        <w:t>，</w:t>
      </w:r>
      <w:r>
        <w:rPr>
          <w:rFonts w:ascii="宋体" w:hAnsi="宋体"/>
          <w:sz w:val="28"/>
          <w:szCs w:val="28"/>
          <w:highlight w:val="none"/>
        </w:rPr>
        <w:t>交易所可以</w:t>
      </w:r>
      <w:r>
        <w:rPr>
          <w:rFonts w:hint="eastAsia" w:ascii="宋体" w:hAnsi="宋体"/>
          <w:sz w:val="28"/>
          <w:szCs w:val="28"/>
          <w:highlight w:val="none"/>
        </w:rPr>
        <w:t>采取口头警示、要求提交书面说明等措施；</w:t>
      </w:r>
    </w:p>
    <w:p>
      <w:pPr>
        <w:tabs>
          <w:tab w:val="left" w:pos="876"/>
        </w:tabs>
        <w:ind w:firstLine="560" w:firstLineChars="200"/>
        <w:rPr>
          <w:rFonts w:ascii="宋体" w:hAnsi="宋体"/>
          <w:sz w:val="28"/>
          <w:szCs w:val="28"/>
          <w:highlight w:val="none"/>
        </w:rPr>
      </w:pPr>
      <w:r>
        <w:rPr>
          <w:rFonts w:hint="eastAsia" w:ascii="宋体" w:hAnsi="宋体"/>
          <w:sz w:val="28"/>
          <w:szCs w:val="28"/>
          <w:highlight w:val="none"/>
        </w:rPr>
        <w:t>（三）</w:t>
      </w:r>
      <w:r>
        <w:rPr>
          <w:rFonts w:ascii="宋体" w:hAnsi="宋体"/>
          <w:sz w:val="28"/>
          <w:szCs w:val="28"/>
          <w:highlight w:val="none"/>
        </w:rPr>
        <w:t>不如实报备</w:t>
      </w:r>
      <w:r>
        <w:rPr>
          <w:rFonts w:hint="eastAsia" w:ascii="宋体" w:hAnsi="宋体"/>
          <w:sz w:val="28"/>
          <w:szCs w:val="28"/>
          <w:highlight w:val="none"/>
        </w:rPr>
        <w:t>实际控制关系</w:t>
      </w:r>
      <w:r>
        <w:rPr>
          <w:rFonts w:ascii="宋体" w:hAnsi="宋体"/>
          <w:sz w:val="28"/>
          <w:szCs w:val="28"/>
          <w:highlight w:val="none"/>
        </w:rPr>
        <w:t>、不</w:t>
      </w:r>
      <w:r>
        <w:rPr>
          <w:rFonts w:hint="eastAsia" w:ascii="宋体" w:hAnsi="宋体"/>
          <w:sz w:val="28"/>
          <w:szCs w:val="28"/>
          <w:highlight w:val="none"/>
        </w:rPr>
        <w:t>回复或不</w:t>
      </w:r>
      <w:r>
        <w:rPr>
          <w:rFonts w:ascii="宋体" w:hAnsi="宋体"/>
          <w:sz w:val="28"/>
          <w:szCs w:val="28"/>
          <w:highlight w:val="none"/>
        </w:rPr>
        <w:t>如实回复交易所询问</w:t>
      </w:r>
      <w:r>
        <w:rPr>
          <w:rFonts w:hint="eastAsia" w:ascii="宋体" w:hAnsi="宋体"/>
          <w:sz w:val="28"/>
          <w:szCs w:val="28"/>
          <w:highlight w:val="none"/>
        </w:rPr>
        <w:t>，经交易所调查认定为具有实际控制关系的</w:t>
      </w:r>
      <w:r>
        <w:rPr>
          <w:rFonts w:ascii="宋体" w:hAnsi="宋体"/>
          <w:sz w:val="28"/>
          <w:szCs w:val="28"/>
          <w:highlight w:val="none"/>
        </w:rPr>
        <w:t>非期货公司会员、</w:t>
      </w:r>
      <w:r>
        <w:rPr>
          <w:rFonts w:hint="eastAsia" w:ascii="宋体" w:hAnsi="宋体"/>
          <w:sz w:val="28"/>
          <w:szCs w:val="28"/>
          <w:highlight w:val="none"/>
        </w:rPr>
        <w:t>境外特殊非经纪参与者、</w:t>
      </w:r>
      <w:r>
        <w:rPr>
          <w:rFonts w:ascii="宋体" w:hAnsi="宋体"/>
          <w:sz w:val="28"/>
          <w:szCs w:val="28"/>
          <w:highlight w:val="none"/>
        </w:rPr>
        <w:t>客户</w:t>
      </w:r>
      <w:r>
        <w:rPr>
          <w:rFonts w:hint="eastAsia" w:ascii="宋体" w:hAnsi="宋体"/>
          <w:sz w:val="28"/>
          <w:szCs w:val="28"/>
          <w:highlight w:val="none"/>
        </w:rPr>
        <w:t>，</w:t>
      </w:r>
      <w:r>
        <w:rPr>
          <w:rFonts w:ascii="宋体" w:hAnsi="宋体"/>
          <w:sz w:val="28"/>
          <w:szCs w:val="28"/>
          <w:highlight w:val="none"/>
        </w:rPr>
        <w:t>交易所可以采取</w:t>
      </w:r>
      <w:r>
        <w:rPr>
          <w:rFonts w:hint="eastAsia" w:ascii="宋体" w:hAnsi="宋体"/>
          <w:sz w:val="28"/>
          <w:szCs w:val="28"/>
          <w:highlight w:val="none"/>
        </w:rPr>
        <w:t>约见谈话</w:t>
      </w:r>
      <w:r>
        <w:rPr>
          <w:rFonts w:ascii="宋体" w:hAnsi="宋体"/>
          <w:sz w:val="28"/>
          <w:szCs w:val="28"/>
          <w:highlight w:val="none"/>
        </w:rPr>
        <w:t>、</w:t>
      </w:r>
      <w:r>
        <w:rPr>
          <w:rFonts w:hint="eastAsia" w:ascii="宋体" w:hAnsi="宋体"/>
          <w:sz w:val="28"/>
          <w:szCs w:val="28"/>
          <w:highlight w:val="none"/>
        </w:rPr>
        <w:t>书面警示、限制出金、限制开仓等</w:t>
      </w:r>
      <w:r>
        <w:rPr>
          <w:rFonts w:ascii="宋体" w:hAnsi="宋体"/>
          <w:sz w:val="28"/>
          <w:szCs w:val="28"/>
          <w:highlight w:val="none"/>
        </w:rPr>
        <w:t>措施</w:t>
      </w:r>
      <w:r>
        <w:rPr>
          <w:rFonts w:hint="eastAsia" w:ascii="宋体" w:hAnsi="宋体"/>
          <w:sz w:val="28"/>
          <w:szCs w:val="28"/>
          <w:highlight w:val="none"/>
        </w:rPr>
        <w:t>。</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第十三条</w:t>
      </w:r>
      <w:r>
        <w:rPr>
          <w:rFonts w:hint="eastAsia" w:ascii="宋体" w:hAnsi="宋体"/>
          <w:sz w:val="28"/>
          <w:szCs w:val="28"/>
          <w:highlight w:val="none"/>
        </w:rPr>
        <w:t xml:space="preserve"> </w:t>
      </w:r>
      <w:r>
        <w:rPr>
          <w:rFonts w:ascii="宋体" w:hAnsi="宋体"/>
          <w:sz w:val="28"/>
          <w:szCs w:val="28"/>
          <w:highlight w:val="none"/>
        </w:rPr>
        <w:t>期货公司会员</w:t>
      </w:r>
      <w:r>
        <w:rPr>
          <w:rFonts w:hint="eastAsia" w:ascii="宋体" w:hAnsi="宋体"/>
          <w:sz w:val="28"/>
          <w:szCs w:val="28"/>
          <w:highlight w:val="none"/>
        </w:rPr>
        <w:t>、境外特殊经纪参与者、境外</w:t>
      </w:r>
      <w:r>
        <w:rPr>
          <w:rFonts w:hint="eastAsia" w:ascii="宋体" w:hAnsi="宋体"/>
          <w:sz w:val="28"/>
          <w:szCs w:val="28"/>
          <w:highlight w:val="none"/>
          <w:lang w:eastAsia="zh-CN"/>
        </w:rPr>
        <w:t>中介</w:t>
      </w:r>
      <w:r>
        <w:rPr>
          <w:rFonts w:hint="eastAsia" w:ascii="宋体" w:hAnsi="宋体"/>
          <w:sz w:val="28"/>
          <w:szCs w:val="28"/>
          <w:highlight w:val="none"/>
        </w:rPr>
        <w:t>机构</w:t>
      </w:r>
      <w:r>
        <w:rPr>
          <w:rFonts w:ascii="宋体" w:hAnsi="宋体"/>
          <w:sz w:val="28"/>
          <w:szCs w:val="28"/>
          <w:highlight w:val="none"/>
        </w:rPr>
        <w:t>具有下列情形之一的，交易所责令</w:t>
      </w:r>
      <w:r>
        <w:rPr>
          <w:rFonts w:hint="eastAsia" w:ascii="宋体" w:hAnsi="宋体"/>
          <w:sz w:val="28"/>
          <w:szCs w:val="28"/>
          <w:highlight w:val="none"/>
        </w:rPr>
        <w:t>改正</w:t>
      </w:r>
      <w:r>
        <w:rPr>
          <w:rFonts w:ascii="宋体" w:hAnsi="宋体"/>
          <w:sz w:val="28"/>
          <w:szCs w:val="28"/>
          <w:highlight w:val="none"/>
        </w:rPr>
        <w:t>，并采取</w:t>
      </w:r>
      <w:r>
        <w:rPr>
          <w:rFonts w:hint="eastAsia" w:ascii="宋体" w:hAnsi="宋体"/>
          <w:sz w:val="28"/>
          <w:szCs w:val="28"/>
          <w:highlight w:val="none"/>
        </w:rPr>
        <w:t>电话提示、约见谈话、发出监管警示函、发出监管意见函等自律监管措施；</w:t>
      </w:r>
      <w:r>
        <w:rPr>
          <w:rFonts w:ascii="宋体" w:hAnsi="宋体"/>
          <w:sz w:val="28"/>
          <w:szCs w:val="28"/>
          <w:highlight w:val="none"/>
        </w:rPr>
        <w:t>情节严重的，交易所</w:t>
      </w:r>
      <w:r>
        <w:rPr>
          <w:rFonts w:hint="eastAsia" w:ascii="宋体" w:hAnsi="宋体"/>
          <w:sz w:val="28"/>
          <w:szCs w:val="28"/>
          <w:highlight w:val="none"/>
        </w:rPr>
        <w:t>将</w:t>
      </w:r>
      <w:r>
        <w:rPr>
          <w:rFonts w:ascii="宋体" w:hAnsi="宋体"/>
          <w:sz w:val="28"/>
          <w:szCs w:val="28"/>
          <w:highlight w:val="none"/>
        </w:rPr>
        <w:t>依据《郑州商品交易所违规处理办法》</w:t>
      </w:r>
      <w:r>
        <w:rPr>
          <w:rFonts w:hint="eastAsia" w:ascii="宋体" w:hAnsi="宋体"/>
          <w:sz w:val="28"/>
          <w:szCs w:val="28"/>
          <w:highlight w:val="none"/>
        </w:rPr>
        <w:t>有关规定</w:t>
      </w:r>
      <w:r>
        <w:rPr>
          <w:rFonts w:ascii="宋体" w:hAnsi="宋体"/>
          <w:sz w:val="28"/>
          <w:szCs w:val="28"/>
          <w:highlight w:val="none"/>
        </w:rPr>
        <w:t>进行处理</w:t>
      </w:r>
      <w:r>
        <w:rPr>
          <w:rFonts w:hint="eastAsia" w:ascii="宋体" w:hAnsi="宋体"/>
          <w:sz w:val="28"/>
          <w:szCs w:val="28"/>
          <w:highlight w:val="none"/>
        </w:rPr>
        <w:t>：</w:t>
      </w:r>
    </w:p>
    <w:p>
      <w:pPr>
        <w:tabs>
          <w:tab w:val="left" w:pos="876"/>
        </w:tabs>
        <w:ind w:firstLine="560" w:firstLineChars="200"/>
        <w:rPr>
          <w:rFonts w:ascii="宋体" w:hAnsi="宋体"/>
          <w:sz w:val="28"/>
          <w:szCs w:val="28"/>
          <w:highlight w:val="none"/>
        </w:rPr>
      </w:pPr>
      <w:r>
        <w:rPr>
          <w:rFonts w:ascii="宋体" w:hAnsi="宋体"/>
          <w:sz w:val="28"/>
          <w:szCs w:val="28"/>
          <w:highlight w:val="none"/>
        </w:rPr>
        <w:t>（一）未及时、准确、完整地向客户传达交易所有关实际控制关系账户的规定；</w:t>
      </w:r>
    </w:p>
    <w:p>
      <w:pPr>
        <w:tabs>
          <w:tab w:val="left" w:pos="876"/>
        </w:tabs>
        <w:ind w:firstLine="560" w:firstLineChars="200"/>
        <w:rPr>
          <w:rFonts w:ascii="宋体" w:hAnsi="宋体"/>
          <w:sz w:val="28"/>
          <w:szCs w:val="28"/>
          <w:highlight w:val="none"/>
        </w:rPr>
      </w:pPr>
      <w:r>
        <w:rPr>
          <w:rFonts w:ascii="宋体" w:hAnsi="宋体"/>
          <w:sz w:val="28"/>
          <w:szCs w:val="28"/>
          <w:highlight w:val="none"/>
        </w:rPr>
        <w:t>（二）未及时、准确、完整地完成实际控制关系账户相关信息录入、更新；</w:t>
      </w:r>
    </w:p>
    <w:p>
      <w:pPr>
        <w:tabs>
          <w:tab w:val="left" w:pos="876"/>
        </w:tabs>
        <w:ind w:firstLine="560" w:firstLineChars="200"/>
        <w:rPr>
          <w:rFonts w:ascii="宋体" w:hAnsi="宋体"/>
          <w:sz w:val="28"/>
          <w:szCs w:val="28"/>
          <w:highlight w:val="none"/>
        </w:rPr>
      </w:pPr>
      <w:r>
        <w:rPr>
          <w:rFonts w:ascii="宋体" w:hAnsi="宋体"/>
          <w:sz w:val="28"/>
          <w:szCs w:val="28"/>
          <w:highlight w:val="none"/>
        </w:rPr>
        <w:t>（三）纵容、诱导、怂恿、协助客户进行虚假申报、隐瞒事实真相；</w:t>
      </w:r>
    </w:p>
    <w:p>
      <w:pPr>
        <w:tabs>
          <w:tab w:val="left" w:pos="876"/>
        </w:tabs>
        <w:ind w:firstLine="560" w:firstLineChars="200"/>
        <w:rPr>
          <w:rFonts w:ascii="宋体" w:hAnsi="宋体"/>
          <w:sz w:val="28"/>
          <w:szCs w:val="28"/>
          <w:highlight w:val="none"/>
        </w:rPr>
      </w:pPr>
      <w:r>
        <w:rPr>
          <w:rFonts w:ascii="宋体" w:hAnsi="宋体"/>
          <w:sz w:val="28"/>
          <w:szCs w:val="28"/>
          <w:highlight w:val="none"/>
        </w:rPr>
        <w:t>（四）未</w:t>
      </w:r>
      <w:r>
        <w:rPr>
          <w:rFonts w:hint="eastAsia" w:ascii="宋体" w:hAnsi="宋体"/>
          <w:sz w:val="28"/>
          <w:szCs w:val="28"/>
          <w:highlight w:val="none"/>
        </w:rPr>
        <w:t>按照规定</w:t>
      </w:r>
      <w:r>
        <w:rPr>
          <w:rFonts w:ascii="宋体" w:hAnsi="宋体"/>
          <w:sz w:val="28"/>
          <w:szCs w:val="28"/>
          <w:highlight w:val="none"/>
        </w:rPr>
        <w:t>妥善保存客户资料；</w:t>
      </w:r>
    </w:p>
    <w:p>
      <w:pPr>
        <w:tabs>
          <w:tab w:val="left" w:pos="876"/>
        </w:tabs>
        <w:ind w:firstLine="560" w:firstLineChars="200"/>
        <w:rPr>
          <w:rFonts w:ascii="宋体" w:hAnsi="宋体"/>
          <w:sz w:val="28"/>
          <w:szCs w:val="28"/>
          <w:highlight w:val="none"/>
        </w:rPr>
      </w:pPr>
      <w:r>
        <w:rPr>
          <w:rFonts w:ascii="宋体" w:hAnsi="宋体"/>
          <w:sz w:val="28"/>
          <w:szCs w:val="28"/>
          <w:highlight w:val="none"/>
        </w:rPr>
        <w:t>（五）未按照交易所要求协助询问客户实际控制关系账户情况的或者存在拖延、隐瞒和故意遗漏等行为；</w:t>
      </w:r>
    </w:p>
    <w:p>
      <w:pPr>
        <w:tabs>
          <w:tab w:val="left" w:pos="876"/>
        </w:tabs>
        <w:ind w:firstLine="560" w:firstLineChars="200"/>
        <w:rPr>
          <w:rFonts w:ascii="宋体" w:hAnsi="宋体"/>
          <w:sz w:val="28"/>
          <w:szCs w:val="28"/>
          <w:highlight w:val="none"/>
        </w:rPr>
      </w:pPr>
      <w:r>
        <w:rPr>
          <w:rFonts w:ascii="宋体" w:hAnsi="宋体"/>
          <w:sz w:val="28"/>
          <w:szCs w:val="28"/>
          <w:highlight w:val="none"/>
        </w:rPr>
        <w:t>（六）交易所认定的其他情形。</w:t>
      </w:r>
    </w:p>
    <w:p>
      <w:pPr>
        <w:jc w:val="center"/>
        <w:rPr>
          <w:rFonts w:ascii="仿宋" w:hAnsi="仿宋" w:eastAsia="仿宋"/>
          <w:sz w:val="32"/>
          <w:szCs w:val="32"/>
          <w:highlight w:val="none"/>
        </w:rPr>
      </w:pPr>
      <w:r>
        <w:rPr>
          <w:rFonts w:ascii="黑体" w:hAnsi="黑体" w:eastAsia="黑体"/>
          <w:sz w:val="32"/>
          <w:szCs w:val="32"/>
          <w:highlight w:val="none"/>
        </w:rPr>
        <w:t>第四章</w:t>
      </w:r>
      <w:r>
        <w:rPr>
          <w:rFonts w:hint="eastAsia" w:ascii="黑体" w:hAnsi="黑体" w:eastAsia="黑体"/>
          <w:sz w:val="32"/>
          <w:szCs w:val="32"/>
          <w:highlight w:val="none"/>
        </w:rPr>
        <w:t xml:space="preserve"> </w:t>
      </w:r>
      <w:r>
        <w:rPr>
          <w:rFonts w:ascii="黑体" w:hAnsi="黑体" w:eastAsia="黑体"/>
          <w:sz w:val="32"/>
          <w:szCs w:val="32"/>
          <w:highlight w:val="none"/>
        </w:rPr>
        <w:t>实际控制关系账户的管理</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第十四条</w:t>
      </w:r>
      <w:r>
        <w:rPr>
          <w:rFonts w:ascii="宋体" w:hAnsi="宋体"/>
          <w:sz w:val="28"/>
          <w:szCs w:val="28"/>
          <w:highlight w:val="none"/>
        </w:rPr>
        <w:t xml:space="preserve"> 交易所在执行持仓限额、交易限额、异常交易行为管理等制度</w:t>
      </w:r>
      <w:r>
        <w:rPr>
          <w:rFonts w:hint="eastAsia" w:ascii="宋体" w:hAnsi="宋体"/>
          <w:sz w:val="28"/>
          <w:szCs w:val="28"/>
          <w:highlight w:val="none"/>
        </w:rPr>
        <w:t>和规定</w:t>
      </w:r>
      <w:r>
        <w:rPr>
          <w:rFonts w:ascii="宋体" w:hAnsi="宋体"/>
          <w:sz w:val="28"/>
          <w:szCs w:val="28"/>
          <w:highlight w:val="none"/>
        </w:rPr>
        <w:t>时，对一组实际控制关系账户的交易、持仓等合并计算。</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第十五条</w:t>
      </w:r>
      <w:r>
        <w:rPr>
          <w:rFonts w:ascii="宋体" w:hAnsi="宋体"/>
          <w:sz w:val="28"/>
          <w:szCs w:val="28"/>
          <w:highlight w:val="none"/>
        </w:rPr>
        <w:t xml:space="preserve"> 一组实际控制关系账户内均为客户的，其合并计算的持仓量不得超过单个客户的持仓限额</w:t>
      </w:r>
      <w:r>
        <w:rPr>
          <w:rFonts w:hint="eastAsia" w:ascii="宋体" w:hAnsi="宋体"/>
          <w:sz w:val="28"/>
          <w:szCs w:val="28"/>
          <w:highlight w:val="none"/>
        </w:rPr>
        <w:t>。</w:t>
      </w:r>
    </w:p>
    <w:p>
      <w:pPr>
        <w:tabs>
          <w:tab w:val="left" w:pos="876"/>
        </w:tabs>
        <w:ind w:firstLine="560" w:firstLineChars="200"/>
        <w:rPr>
          <w:rFonts w:ascii="宋体" w:hAnsi="宋体"/>
          <w:sz w:val="28"/>
          <w:szCs w:val="28"/>
          <w:highlight w:val="none"/>
        </w:rPr>
      </w:pPr>
      <w:r>
        <w:rPr>
          <w:rFonts w:ascii="宋体" w:hAnsi="宋体"/>
          <w:sz w:val="28"/>
          <w:szCs w:val="28"/>
          <w:highlight w:val="none"/>
        </w:rPr>
        <w:t>一组实际控制关系账户内包含非期货公司会员</w:t>
      </w:r>
      <w:r>
        <w:rPr>
          <w:rFonts w:hint="eastAsia" w:ascii="宋体" w:hAnsi="宋体"/>
          <w:sz w:val="28"/>
          <w:szCs w:val="28"/>
          <w:highlight w:val="none"/>
        </w:rPr>
        <w:t>或境外特殊非经纪参与者</w:t>
      </w:r>
      <w:r>
        <w:rPr>
          <w:rFonts w:ascii="宋体" w:hAnsi="宋体"/>
          <w:sz w:val="28"/>
          <w:szCs w:val="28"/>
          <w:highlight w:val="none"/>
        </w:rPr>
        <w:t>的，其合并计算的持仓量不得超过单个非期货公司会员</w:t>
      </w:r>
      <w:r>
        <w:rPr>
          <w:rFonts w:hint="eastAsia" w:ascii="宋体" w:hAnsi="宋体"/>
          <w:sz w:val="28"/>
          <w:szCs w:val="28"/>
          <w:highlight w:val="none"/>
        </w:rPr>
        <w:t>或境外特殊非经纪参与者</w:t>
      </w:r>
      <w:r>
        <w:rPr>
          <w:rFonts w:ascii="宋体" w:hAnsi="宋体"/>
          <w:sz w:val="28"/>
          <w:szCs w:val="28"/>
          <w:highlight w:val="none"/>
        </w:rPr>
        <w:t xml:space="preserve">的持仓限额。 </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第十六条</w:t>
      </w:r>
      <w:r>
        <w:rPr>
          <w:rFonts w:ascii="宋体" w:hAnsi="宋体"/>
          <w:sz w:val="28"/>
          <w:szCs w:val="28"/>
          <w:highlight w:val="none"/>
        </w:rPr>
        <w:t xml:space="preserve"> 一组实际控制关系账户</w:t>
      </w:r>
      <w:r>
        <w:rPr>
          <w:rFonts w:hint="eastAsia" w:ascii="宋体" w:hAnsi="宋体"/>
          <w:sz w:val="28"/>
          <w:szCs w:val="28"/>
          <w:highlight w:val="none"/>
        </w:rPr>
        <w:t>在某一期限内开仓交易量合并计算超过交易所规定单个客户交易限额的，交易所可以依据《郑州商品交易所期货交易风险控制管理办法》有关规定进行处理。</w:t>
      </w:r>
    </w:p>
    <w:p>
      <w:pPr>
        <w:tabs>
          <w:tab w:val="left" w:pos="876"/>
        </w:tabs>
        <w:ind w:firstLine="562" w:firstLineChars="200"/>
        <w:rPr>
          <w:rFonts w:ascii="仿宋" w:hAnsi="仿宋" w:eastAsia="仿宋"/>
          <w:sz w:val="32"/>
          <w:szCs w:val="32"/>
          <w:highlight w:val="none"/>
        </w:rPr>
      </w:pPr>
      <w:r>
        <w:rPr>
          <w:rFonts w:hint="eastAsia" w:ascii="宋体" w:hAnsi="宋体"/>
          <w:b/>
          <w:sz w:val="28"/>
          <w:szCs w:val="28"/>
          <w:highlight w:val="none"/>
        </w:rPr>
        <w:t>第十七条</w:t>
      </w:r>
      <w:r>
        <w:rPr>
          <w:rFonts w:hint="eastAsia" w:ascii="宋体" w:hAnsi="宋体"/>
          <w:sz w:val="28"/>
          <w:szCs w:val="28"/>
          <w:highlight w:val="none"/>
        </w:rPr>
        <w:t xml:space="preserve"> </w:t>
      </w:r>
      <w:r>
        <w:rPr>
          <w:rFonts w:ascii="宋体" w:hAnsi="宋体"/>
          <w:sz w:val="28"/>
          <w:szCs w:val="28"/>
          <w:highlight w:val="none"/>
        </w:rPr>
        <w:t>一组实际控制关系账户</w:t>
      </w:r>
      <w:r>
        <w:rPr>
          <w:rFonts w:hint="eastAsia" w:ascii="宋体" w:hAnsi="宋体"/>
          <w:sz w:val="28"/>
          <w:szCs w:val="28"/>
          <w:highlight w:val="none"/>
        </w:rPr>
        <w:t>自成交、频繁报撤单</w:t>
      </w:r>
      <w:r>
        <w:rPr>
          <w:rFonts w:hint="eastAsia" w:ascii="宋体" w:hAnsi="宋体"/>
          <w:sz w:val="28"/>
          <w:szCs w:val="28"/>
          <w:highlight w:val="none"/>
          <w:lang w:eastAsia="zh-CN"/>
        </w:rPr>
        <w:t>和</w:t>
      </w:r>
      <w:r>
        <w:rPr>
          <w:rFonts w:hint="eastAsia" w:ascii="宋体" w:hAnsi="宋体"/>
          <w:sz w:val="28"/>
          <w:szCs w:val="28"/>
          <w:highlight w:val="none"/>
        </w:rPr>
        <w:t>大额报撤单</w:t>
      </w:r>
      <w:r>
        <w:rPr>
          <w:rFonts w:hint="eastAsia" w:ascii="宋体" w:hAnsi="宋体"/>
          <w:sz w:val="28"/>
          <w:szCs w:val="28"/>
          <w:highlight w:val="none"/>
          <w:lang w:eastAsia="zh-CN"/>
        </w:rPr>
        <w:t>等合并计算后</w:t>
      </w:r>
      <w:r>
        <w:rPr>
          <w:rFonts w:hint="eastAsia" w:ascii="宋体" w:hAnsi="宋体"/>
          <w:sz w:val="28"/>
          <w:szCs w:val="28"/>
          <w:highlight w:val="none"/>
        </w:rPr>
        <w:t>达到《郑州商品交易所异常交易行为管理办法》异常交易行为处理标准的，交易所对该组实际控制关系账户按照异常交易行为采取自律监管措施。</w:t>
      </w:r>
    </w:p>
    <w:p>
      <w:pPr>
        <w:tabs>
          <w:tab w:val="left" w:pos="876"/>
        </w:tabs>
        <w:jc w:val="center"/>
        <w:rPr>
          <w:rFonts w:ascii="仿宋" w:hAnsi="仿宋" w:eastAsia="仿宋"/>
          <w:sz w:val="32"/>
          <w:szCs w:val="32"/>
          <w:highlight w:val="none"/>
        </w:rPr>
      </w:pPr>
      <w:r>
        <w:rPr>
          <w:rFonts w:ascii="黑体" w:hAnsi="黑体" w:eastAsia="黑体"/>
          <w:sz w:val="32"/>
          <w:szCs w:val="32"/>
          <w:highlight w:val="none"/>
        </w:rPr>
        <w:t>第五章 附</w:t>
      </w:r>
      <w:r>
        <w:rPr>
          <w:rFonts w:hint="eastAsia" w:ascii="黑体" w:hAnsi="黑体" w:eastAsia="黑体"/>
          <w:sz w:val="32"/>
          <w:szCs w:val="32"/>
          <w:highlight w:val="none"/>
        </w:rPr>
        <w:t xml:space="preserve"> </w:t>
      </w:r>
      <w:r>
        <w:rPr>
          <w:rFonts w:ascii="黑体" w:hAnsi="黑体" w:eastAsia="黑体"/>
          <w:sz w:val="32"/>
          <w:szCs w:val="32"/>
          <w:highlight w:val="none"/>
        </w:rPr>
        <w:t>则</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第十八条</w:t>
      </w:r>
      <w:r>
        <w:rPr>
          <w:rFonts w:ascii="宋体" w:hAnsi="宋体"/>
          <w:sz w:val="28"/>
          <w:szCs w:val="28"/>
          <w:highlight w:val="none"/>
        </w:rPr>
        <w:t xml:space="preserve"> </w:t>
      </w:r>
      <w:r>
        <w:rPr>
          <w:rFonts w:hint="eastAsia" w:ascii="宋体" w:hAnsi="宋体"/>
          <w:sz w:val="28"/>
          <w:szCs w:val="28"/>
          <w:highlight w:val="none"/>
        </w:rPr>
        <w:t>除本办法另有规定外，非期货公司会员、境外特殊非经纪参与者按照客户的有关规定执行。</w:t>
      </w:r>
    </w:p>
    <w:p>
      <w:pPr>
        <w:tabs>
          <w:tab w:val="left" w:pos="876"/>
        </w:tabs>
        <w:ind w:firstLine="562" w:firstLineChars="200"/>
        <w:rPr>
          <w:rFonts w:ascii="宋体" w:hAnsi="宋体"/>
          <w:sz w:val="28"/>
          <w:szCs w:val="28"/>
          <w:highlight w:val="none"/>
        </w:rPr>
      </w:pPr>
      <w:r>
        <w:rPr>
          <w:rFonts w:hint="eastAsia" w:ascii="宋体" w:hAnsi="宋体"/>
          <w:b/>
          <w:sz w:val="28"/>
          <w:szCs w:val="28"/>
          <w:highlight w:val="none"/>
        </w:rPr>
        <w:t>第十九条</w:t>
      </w:r>
      <w:r>
        <w:rPr>
          <w:rFonts w:ascii="宋体" w:hAnsi="宋体"/>
          <w:sz w:val="28"/>
          <w:szCs w:val="28"/>
          <w:highlight w:val="none"/>
        </w:rPr>
        <w:t xml:space="preserve"> 本办法</w:t>
      </w:r>
      <w:r>
        <w:rPr>
          <w:rFonts w:hint="eastAsia" w:ascii="宋体" w:hAnsi="宋体"/>
          <w:sz w:val="28"/>
          <w:szCs w:val="28"/>
          <w:highlight w:val="none"/>
        </w:rPr>
        <w:t>解释权属于郑州商品</w:t>
      </w:r>
      <w:r>
        <w:rPr>
          <w:rFonts w:ascii="宋体" w:hAnsi="宋体"/>
          <w:sz w:val="28"/>
          <w:szCs w:val="28"/>
          <w:highlight w:val="none"/>
        </w:rPr>
        <w:t>交易所。</w:t>
      </w:r>
    </w:p>
    <w:p>
      <w:pPr>
        <w:ind w:firstLine="548" w:firstLineChars="195"/>
        <w:rPr>
          <w:rFonts w:ascii="宋体" w:hAnsi="宋体"/>
          <w:sz w:val="28"/>
          <w:szCs w:val="28"/>
          <w:highlight w:val="none"/>
        </w:rPr>
      </w:pPr>
      <w:r>
        <w:rPr>
          <w:rFonts w:hint="eastAsia" w:ascii="宋体" w:hAnsi="宋体"/>
          <w:b/>
          <w:sz w:val="28"/>
          <w:szCs w:val="28"/>
          <w:highlight w:val="none"/>
        </w:rPr>
        <w:t>第二十条</w:t>
      </w:r>
      <w:r>
        <w:rPr>
          <w:rFonts w:ascii="宋体" w:hAnsi="宋体"/>
          <w:sz w:val="28"/>
          <w:szCs w:val="28"/>
          <w:highlight w:val="none"/>
        </w:rPr>
        <w:t xml:space="preserve"> 本办法自</w:t>
      </w:r>
      <w:r>
        <w:rPr>
          <w:rFonts w:hint="eastAsia" w:ascii="宋体" w:hAnsi="宋体"/>
          <w:sz w:val="28"/>
          <w:szCs w:val="28"/>
          <w:highlight w:val="none"/>
          <w:lang w:val="en-US" w:eastAsia="zh-CN"/>
        </w:rPr>
        <w:t>2026</w:t>
      </w:r>
      <w:r>
        <w:rPr>
          <w:rFonts w:ascii="宋体" w:hAnsi="宋体"/>
          <w:sz w:val="28"/>
          <w:szCs w:val="28"/>
          <w:highlight w:val="none"/>
        </w:rPr>
        <w:t>年</w:t>
      </w:r>
      <w:r>
        <w:rPr>
          <w:rFonts w:hint="default" w:ascii="宋体" w:hAnsi="宋体"/>
          <w:sz w:val="28"/>
          <w:szCs w:val="28"/>
          <w:highlight w:val="none"/>
          <w:lang w:val="en-US" w:eastAsia="zh-CN"/>
        </w:rPr>
        <w:t>5</w:t>
      </w:r>
      <w:r>
        <w:rPr>
          <w:rFonts w:ascii="宋体" w:hAnsi="宋体"/>
          <w:sz w:val="28"/>
          <w:szCs w:val="28"/>
          <w:highlight w:val="none"/>
        </w:rPr>
        <w:t>月</w:t>
      </w:r>
      <w:r>
        <w:rPr>
          <w:rFonts w:hint="default" w:ascii="宋体" w:hAnsi="宋体"/>
          <w:sz w:val="28"/>
          <w:szCs w:val="28"/>
          <w:highlight w:val="none"/>
          <w:lang w:val="en-US" w:eastAsia="zh-CN"/>
        </w:rPr>
        <w:t>7</w:t>
      </w:r>
      <w:r>
        <w:rPr>
          <w:rFonts w:ascii="宋体" w:hAnsi="宋体"/>
          <w:sz w:val="28"/>
          <w:szCs w:val="28"/>
          <w:highlight w:val="none"/>
        </w:rPr>
        <w:t>日起</w:t>
      </w:r>
      <w:r>
        <w:rPr>
          <w:rFonts w:hint="eastAsia" w:ascii="宋体" w:hAnsi="宋体"/>
          <w:sz w:val="28"/>
          <w:szCs w:val="28"/>
          <w:highlight w:val="none"/>
        </w:rPr>
        <w:t>施行</w:t>
      </w:r>
      <w:r>
        <w:rPr>
          <w:rFonts w:ascii="宋体" w:hAnsi="宋体"/>
          <w:sz w:val="28"/>
          <w:szCs w:val="28"/>
          <w:highlight w:val="none"/>
        </w:rPr>
        <w:t>。</w:t>
      </w:r>
    </w:p>
    <w:p>
      <w:pPr>
        <w:rPr>
          <w:rFonts w:hint="default" w:eastAsia="宋体"/>
          <w:highlight w:val="none"/>
          <w:lang w:val="en-US" w:eastAsia="zh-CN"/>
        </w:rPr>
      </w:pPr>
      <w:r>
        <w:rPr>
          <w:rFonts w:ascii="宋体" w:hAnsi="宋体"/>
          <w:sz w:val="28"/>
          <w:szCs w:val="28"/>
          <w:highlight w:val="none"/>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12</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郑州商品交易所套期保值管理办法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对《郑州商品交易所套期保值管理办法》作如下修订：</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三条修订为：“在办理套期保值业务时，委托期货公司会员从事期货交易的客户，应当委托期货公司会员办理。委托境外特殊经纪参与者从事期货交易的客户，应当委托境外特殊经纪参与者办理。委托境外中介机构从事期货交易的客户，应当委托境外中介机构办理，境外中介机构再委托期货公司会员或境外特殊经纪参与者办理。非期货公司会员和境外特殊非经纪参与者直接向交易所办理申报手续。</w:t>
      </w:r>
    </w:p>
    <w:p>
      <w:pPr>
        <w:keepNext w:val="0"/>
        <w:keepLines w:val="0"/>
        <w:pageBreakBefore w:val="0"/>
        <w:kinsoku/>
        <w:wordWrap/>
        <w:overflowPunct/>
        <w:topLinePunct w:val="0"/>
        <w:autoSpaceDE/>
        <w:autoSpaceDN/>
        <w:bidi w:val="0"/>
        <w:snapToGrid/>
        <w:ind w:firstLine="48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或境外特殊经纪参与者对客户的申报进行审核后，按本办法向交易所办理申报手续，并完整保存客户的套期保值申请材料，以备交易所抽查。非期货公司会员、境外特殊非经纪参与者的套期保值申请材料应当自行保存完整，以备交易所抽查。”</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将第一章第四条修订为：“申请套期保值持仓额度的非期货公司会员、境外特殊非经纪参与者或者客户应当是具备与申请品种相关的经营资格的企业或为相关现货企业提供风险管理服务的经营机构。”</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将第一章第五条修订为：“会员、境外特殊参与者、境外中介机构和客户在交易所从事套期保值业务，应当遵守本办法。”</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六条第一款修订为：“一般月份套期保值持仓额度申请方式分为按合约申请和按品种申请。非期货公司会员、境外特殊非经纪参与者或者客户按合约方式申请一般月份套期保值持仓额度的，获批额度只能用于对应合约；非期货公司会员、境外特殊非经纪参与者或者客户按品种方式申请一般月份套期保值持仓额度的，获批额度可以用于该品种已挂牌的所有合约。”</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七条修订为：“申请一般月份套期保值持仓额度的非期货公司会员、境外特殊非经纪参与者或者客户，应当填写《郑州商品交易所一般月份套期保值持仓额度申请表》，并向交易所提交下列材料：……”</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八条修订为：“按合约方式申请一般月份套期保值持仓额度的，应当在套期保值期货合约挂牌至交割月前一个月的第5个日历日之间的交易日提出，逾期交易所不再受理该合约套期保值持仓额度的申请。非期货公司会员、境外特殊非经纪参与者或者客户可以一次申请多个合约的一般月份套期保值持仓额度。”</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九条修订为：“按品种方式申请一般月份套期保值持仓额度的，在全年的任一交易日均可提出，获批额度自获批之日至申请之日下一年度6月30日之间的交易日生效。获批一般月份套期保值持仓额度的非期货公司会员、境外特殊非经纪参与者或者客户，在该品种已挂牌的所有合约获得数量相等的一般月份套期保值持仓额度。”</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十条修订为：“按合约方式申请一般月份套期保值持仓额度的，交易所按非期货公司会员、境外特殊非经纪参与者或者客户的主体资格是否符合、现货经营状况、套期保值申请品种、持仓方向、持仓数量以及历史违规情况等因素，确定其一般月份套期保值持仓额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“按品种方式申请一般月份套期保值持仓额度的，交易所按非期货公司会员、境外特殊非经纪参与者或者客户的主体资格是否符合、现货经营状况以及历史违规情况等因素，确定其一般月份套期保值持仓额度。”</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十二条修订为：“一般月份套期保值持仓额度使用时间为期货合约挂牌至交割月前一个月第15个日历日之间的交易日。交割月前一个月第16个日历日至交割月前一个月最后一个日历日之间的交易日，棉花、白糖、PTA、菜油、甲醇、玻璃、菜粕、动力煤、硅铁、锰硅、棉纱、尿素、纯碱品种非期货公司会员、境外特殊非经纪参与者或者客户一般月份套期保值持仓额度可以按规定数额自动转化为该阶段的套期保值持仓额度，具体实施时间及转化数额由交易所另行通知。”</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三条修订为：“申请临近交割月份套期保值持仓额度的非期货公司会员、境外特殊非经纪参与者或者客户，应当填写《郑州商品交易所临近交割月份套期保值持仓额度申请表》，并向交易所提交下列材料：……”</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五条第一款修订为：“对临近交割月份套期保值持仓额度申请，交易所按非期货公司会员、境外特殊非经纪参与者或者客户的主体资格是否符合、现货经营状况、套期保值申请品种、持仓方向和数量、历史违规情况、历史套期保值持仓额度使用情况、对应期货及期权合约整体持仓情况、可供交割商品的数量以及期现价格是否背离等因素，确定其临近交割月份套期保值持仓额度。”</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将第四章第十七条修订为：“获批套期保值持仓额度的非期货公司会员、境外特殊非经纪参与者或者客户，可通过交易指令直接建立套期保值持仓，也可通过对历史持仓确认的方式建立套期保值持仓。”</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十八条修订为：“按品种方式申请并获批一般月份套期保值持仓额度的非期货公司会员、境外特殊非经纪参与者或者客户，套期保值持仓和投机持仓合计不得超过交易所规定的限额，具体限额由交易所另行通知，其中套期保值持仓不得超过获批的套期保值持仓额度，投机持仓不得超过相应投机持仓限仓标准。”</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十九条修订为：“非期货公司会员、境外特殊非经纪参与者或者客户进行套期保值交易时，任一交易日全年期货、期权合约一般月份套期保值持仓合计不得超过其在该商品相应保值方向的年度经营量。”</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条修订为：“非期货公司会员、境外特殊非经纪参与者或者客户进行套期保值交易时，持仓超过交易所规定限额的，应当在下一交易日第一节交易结束前自行调整；逾期未进行调整或调整后仍不符合要求的，交易所可以采取谈话提醒、书面警示、调整或者取消其套期保值持仓额度、限制开仓、强行平仓等措施。”</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将第五章第二十四条修订为：“交易所对非期货公司会员、境外特殊非经纪参与者或者客户获批套期保值持仓额度的使用情况进行监督管理。”</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二十五条修订为：“交易所对非期货公司会员、境外特殊非经纪参与者或者客户提供的有关生产经营状况、资信情况及期货、期权、现货市场交易行为进行监督和调查，会员、境外特殊参与者及相关客户应予协助和配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“交易所可以要求获批套期保值持仓额度的非期货公司会员、境外特殊非经纪参与者或者客户报告现货、期货及期权交易情况，补充相关材料。”</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二十六条修订为：“非期货公司会员、境外特殊非经纪参与者或者客户在获批套期保值持仓额度期间，企业情况发生重大变化，可能对套期保值业务造成较大影响的，应当及时向交易所报告。交易所可以根据套期保值企业的经营状况，调整其套期保值持仓额度。”</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二十七条修订为：“当某品种现货市场发生重大变化或者期货合约交易行情特殊致使市场风险明显增大时，交易所可以调整部分或者全部非期货公司会员、境外特殊非经纪参与者或者客户的套期保值持仓额度。”</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将第五章第二十八条修订为：“非期货公司会员、境外特殊非经纪参与者或者客户需要调整套期保值持仓额度时，应当及时向交易所提出变更申请。”</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二十九条第一款修订为：“获批套期保值持仓额度的非期货公司会员、境外特殊非经纪参与者或者客户有下列情形之一的，交易所可以对其采取谈话提醒、书面警示、调整或者取消其套期保值持仓额度、限制开仓、限期平仓、强行平仓等措施。”</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三十条修订为：“非期货公司会员、境外特殊非经纪参与者或者客户在进行套期保值申请或者交易时，存在提供虚假材料等欺诈行为、不如实申报实际控制关系、未按本办法履行报告义务或者其他违反交易所规定行为的，交易所可以对其采取谈话提醒、书面警示、不受理其套期保值申请、调整或者取消其套期保值持仓额度等措施，情节严重的，按照《郑州商品交易所违规处理办法》的有关规定处理。”</w:t>
      </w:r>
    </w:p>
    <w:p>
      <w:pPr>
        <w:widowControl/>
        <w:jc w:val="center"/>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《郑州商品交易所套期保值管理办法》</w:t>
      </w:r>
    </w:p>
    <w:p>
      <w:pPr>
        <w:widowControl/>
        <w:jc w:val="center"/>
        <w:rPr>
          <w:rFonts w:hint="eastAsia" w:ascii="宋体" w:hAnsi="宋体" w:eastAsia="方正小标宋简体"/>
          <w:b/>
          <w:sz w:val="40"/>
          <w:szCs w:val="40"/>
          <w:highlight w:val="none"/>
          <w:lang w:eastAsia="zh-CN"/>
        </w:rPr>
      </w:pPr>
      <w:r>
        <w:rPr>
          <w:rFonts w:hint="eastAsia" w:ascii="方正小标宋简体" w:hAnsi="方正小标宋简体" w:eastAsia="方正小标宋简体" w:cs="方正小标宋简体"/>
          <w:b w:val="0"/>
          <w:bCs/>
          <w:sz w:val="40"/>
          <w:szCs w:val="40"/>
          <w:highlight w:val="none"/>
        </w:rPr>
        <w:t>修订对照表</w:t>
      </w:r>
    </w:p>
    <w:p>
      <w:pPr>
        <w:widowControl/>
        <w:spacing w:line="360" w:lineRule="auto"/>
        <w:jc w:val="center"/>
        <w:outlineLvl w:val="0"/>
        <w:rPr>
          <w:rFonts w:ascii="仿宋" w:hAnsi="仿宋" w:eastAsia="仿宋"/>
          <w:sz w:val="32"/>
          <w:szCs w:val="32"/>
          <w:highlight w:val="none"/>
        </w:rPr>
      </w:pPr>
      <w:r>
        <w:rPr>
          <w:rFonts w:hint="eastAsia" w:ascii="仿宋" w:hAnsi="仿宋" w:eastAsia="仿宋" w:cs="Calibri"/>
          <w:sz w:val="32"/>
          <w:szCs w:val="32"/>
          <w:highlight w:val="none"/>
        </w:rPr>
        <w:t>（删除线部分为删除，下划线加粗部分为修改增加）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lang w:eastAsia="zh-CN"/>
              </w:rPr>
              <w:t>修订前</w:t>
            </w:r>
            <w:r>
              <w:rPr>
                <w:rFonts w:hint="eastAsia" w:ascii="仿宋" w:hAnsi="仿宋" w:eastAsia="仿宋"/>
                <w:b/>
                <w:bCs/>
                <w:sz w:val="24"/>
                <w:highlight w:val="none"/>
              </w:rPr>
              <w:t>条文</w:t>
            </w:r>
          </w:p>
        </w:tc>
        <w:tc>
          <w:tcPr>
            <w:tcW w:w="4261" w:type="dxa"/>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rPr>
              <w:t>修订</w:t>
            </w:r>
            <w:r>
              <w:rPr>
                <w:rFonts w:hint="eastAsia" w:ascii="仿宋" w:hAnsi="仿宋" w:eastAsia="仿宋"/>
                <w:b/>
                <w:bCs/>
                <w:sz w:val="24"/>
                <w:highlight w:val="none"/>
                <w:lang w:eastAsia="zh-CN"/>
              </w:rPr>
              <w:t>后</w:t>
            </w:r>
            <w:r>
              <w:rPr>
                <w:rFonts w:hint="eastAsia" w:ascii="仿宋" w:hAnsi="仿宋" w:eastAsia="仿宋"/>
                <w:b/>
                <w:bCs/>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2"/>
            <w:noWrap w:val="0"/>
            <w:vAlign w:val="center"/>
          </w:tcPr>
          <w:p>
            <w:pPr>
              <w:jc w:val="center"/>
              <w:rPr>
                <w:rFonts w:ascii="仿宋" w:hAnsi="仿宋" w:eastAsia="仿宋"/>
                <w:b/>
                <w:sz w:val="24"/>
                <w:highlight w:val="none"/>
              </w:rPr>
            </w:pPr>
            <w:r>
              <w:rPr>
                <w:rFonts w:hint="eastAsia" w:ascii="仿宋" w:hAnsi="仿宋" w:eastAsia="仿宋"/>
                <w:b/>
                <w:sz w:val="24"/>
                <w:highlight w:val="none"/>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widowControl/>
              <w:ind w:firstLine="480"/>
              <w:rPr>
                <w:rFonts w:ascii="仿宋" w:hAnsi="仿宋" w:eastAsia="仿宋"/>
                <w:sz w:val="24"/>
                <w:highlight w:val="none"/>
              </w:rPr>
            </w:pPr>
            <w:r>
              <w:rPr>
                <w:rFonts w:ascii="仿宋" w:hAnsi="仿宋" w:eastAsia="仿宋"/>
                <w:b/>
                <w:sz w:val="24"/>
                <w:highlight w:val="none"/>
              </w:rPr>
              <w:t>第三条</w:t>
            </w:r>
            <w:r>
              <w:rPr>
                <w:rFonts w:hint="eastAsia" w:ascii="仿宋" w:hAnsi="仿宋" w:eastAsia="仿宋"/>
                <w:sz w:val="24"/>
                <w:highlight w:val="none"/>
              </w:rPr>
              <w:t xml:space="preserve"> 需进行</w:t>
            </w:r>
            <w:r>
              <w:rPr>
                <w:rFonts w:ascii="仿宋" w:hAnsi="仿宋" w:eastAsia="仿宋"/>
                <w:sz w:val="24"/>
                <w:highlight w:val="none"/>
              </w:rPr>
              <w:t>套期保值交易的客户应当向其开户的</w:t>
            </w:r>
            <w:r>
              <w:rPr>
                <w:rFonts w:hint="eastAsia" w:ascii="仿宋" w:hAnsi="仿宋" w:eastAsia="仿宋"/>
                <w:sz w:val="24"/>
                <w:highlight w:val="none"/>
              </w:rPr>
              <w:t>期货公司会员申报，由期货公司会员进行审核后，按本办法向交易所办理申报手续；非期货公司会员直接向交易所办理申报手续。委托境外经纪机构从事期货交易的客户进行套期保值，应当委托其境外经纪机构办理，境外经纪机构再委托期货公司会员办理。</w:t>
            </w:r>
          </w:p>
          <w:p>
            <w:pPr>
              <w:ind w:firstLine="480"/>
              <w:rPr>
                <w:rFonts w:ascii="仿宋" w:hAnsi="仿宋" w:eastAsia="仿宋"/>
                <w:sz w:val="24"/>
                <w:highlight w:val="none"/>
              </w:rPr>
            </w:pPr>
            <w:r>
              <w:rPr>
                <w:rFonts w:hint="eastAsia" w:ascii="仿宋" w:hAnsi="仿宋" w:eastAsia="仿宋"/>
                <w:sz w:val="24"/>
                <w:highlight w:val="none"/>
              </w:rPr>
              <w:t>非期货公司会员或者客户的套期保值申请材料应当由会员保存完整，以备交易所抽查。</w:t>
            </w:r>
          </w:p>
        </w:tc>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第三条</w:t>
            </w:r>
            <w:r>
              <w:rPr>
                <w:rFonts w:hint="eastAsia" w:ascii="仿宋" w:hAnsi="仿宋" w:eastAsia="仿宋"/>
                <w:sz w:val="24"/>
                <w:highlight w:val="none"/>
              </w:rPr>
              <w:t xml:space="preserve"> </w:t>
            </w:r>
            <w:r>
              <w:rPr>
                <w:rFonts w:hint="eastAsia" w:ascii="仿宋" w:hAnsi="仿宋" w:eastAsia="仿宋"/>
                <w:dstrike/>
                <w:sz w:val="24"/>
                <w:highlight w:val="none"/>
              </w:rPr>
              <w:t>需进行</w:t>
            </w:r>
            <w:r>
              <w:rPr>
                <w:rFonts w:ascii="仿宋" w:hAnsi="仿宋" w:eastAsia="仿宋"/>
                <w:dstrike/>
                <w:sz w:val="24"/>
                <w:highlight w:val="none"/>
              </w:rPr>
              <w:t>套期保值交易的客户应当向其开户的</w:t>
            </w:r>
            <w:r>
              <w:rPr>
                <w:rFonts w:hint="eastAsia" w:ascii="仿宋" w:hAnsi="仿宋" w:eastAsia="仿宋"/>
                <w:dstrike/>
                <w:sz w:val="24"/>
                <w:highlight w:val="none"/>
              </w:rPr>
              <w:t>期货公司会员申报，由期货公司会员进行审核后，按本办法向交易所办理申报手续；非期货公司会员直接向交易所办理申报手续。</w:t>
            </w:r>
            <w:r>
              <w:rPr>
                <w:rFonts w:hint="eastAsia" w:ascii="仿宋" w:hAnsi="仿宋" w:eastAsia="仿宋"/>
                <w:b/>
                <w:sz w:val="24"/>
                <w:highlight w:val="none"/>
                <w:u w:val="single"/>
              </w:rPr>
              <w:t>在办理套期保值业务时，委托期货公司会员从事期货交易的客户，应当委托期货公司会员办理。委托境外特殊经纪参与者从事期货交易的客户，应当委托境外特殊经纪参与者办理。</w:t>
            </w:r>
            <w:r>
              <w:rPr>
                <w:rFonts w:hint="eastAsia" w:ascii="仿宋" w:hAnsi="仿宋" w:eastAsia="仿宋"/>
                <w:sz w:val="24"/>
                <w:highlight w:val="none"/>
              </w:rPr>
              <w:t>委托境外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机构从事期货交易的客户</w:t>
            </w:r>
            <w:r>
              <w:rPr>
                <w:rFonts w:hint="eastAsia" w:ascii="仿宋" w:hAnsi="仿宋" w:eastAsia="仿宋"/>
                <w:dstrike/>
                <w:sz w:val="24"/>
                <w:highlight w:val="none"/>
              </w:rPr>
              <w:t>进行套期保值</w:t>
            </w:r>
            <w:r>
              <w:rPr>
                <w:rFonts w:hint="eastAsia" w:ascii="仿宋" w:hAnsi="仿宋" w:eastAsia="仿宋"/>
                <w:sz w:val="24"/>
                <w:highlight w:val="none"/>
              </w:rPr>
              <w:t>，应当委托</w:t>
            </w:r>
            <w:r>
              <w:rPr>
                <w:rFonts w:hint="eastAsia" w:ascii="仿宋" w:hAnsi="仿宋" w:eastAsia="仿宋"/>
                <w:dstrike/>
                <w:sz w:val="24"/>
                <w:highlight w:val="none"/>
              </w:rPr>
              <w:t>其</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机构办理，境外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机构再委托期货公司会员</w:t>
            </w:r>
            <w:r>
              <w:rPr>
                <w:rFonts w:hint="eastAsia" w:ascii="仿宋" w:hAnsi="仿宋" w:eastAsia="仿宋"/>
                <w:b/>
                <w:sz w:val="24"/>
                <w:highlight w:val="none"/>
                <w:u w:val="single"/>
              </w:rPr>
              <w:t>或境外特殊经纪参与者</w:t>
            </w:r>
            <w:r>
              <w:rPr>
                <w:rFonts w:hint="eastAsia" w:ascii="仿宋" w:hAnsi="仿宋" w:eastAsia="仿宋"/>
                <w:sz w:val="24"/>
                <w:highlight w:val="none"/>
              </w:rPr>
              <w:t>办理。</w:t>
            </w:r>
            <w:r>
              <w:rPr>
                <w:rFonts w:hint="eastAsia" w:ascii="仿宋" w:hAnsi="仿宋" w:eastAsia="仿宋"/>
                <w:b/>
                <w:sz w:val="24"/>
                <w:highlight w:val="none"/>
                <w:u w:val="single"/>
              </w:rPr>
              <w:t>非期货公司会员和境外特殊非经纪参与者直接向交易所办理申报手续。</w:t>
            </w:r>
          </w:p>
          <w:p>
            <w:pPr>
              <w:ind w:firstLine="482"/>
              <w:rPr>
                <w:rFonts w:ascii="仿宋" w:hAnsi="仿宋" w:eastAsia="仿宋"/>
                <w:sz w:val="24"/>
                <w:highlight w:val="none"/>
              </w:rPr>
            </w:pPr>
            <w:r>
              <w:rPr>
                <w:rFonts w:hint="eastAsia" w:ascii="仿宋" w:hAnsi="仿宋" w:eastAsia="仿宋"/>
                <w:b/>
                <w:sz w:val="24"/>
                <w:highlight w:val="none"/>
                <w:u w:val="single"/>
              </w:rPr>
              <w:t>期货公司会员或境外特殊经纪参与者对客户的申报进行审核后，按本办法向交易所办理申报手续，并完整保存客户的套期保值申请材料，以备交易所抽查。</w:t>
            </w:r>
            <w:r>
              <w:rPr>
                <w:rFonts w:hint="eastAsia" w:ascii="仿宋" w:hAnsi="仿宋" w:eastAsia="仿宋"/>
                <w:sz w:val="24"/>
                <w:highlight w:val="none"/>
              </w:rPr>
              <w:t>非期货公司会员</w:t>
            </w:r>
            <w:r>
              <w:rPr>
                <w:rFonts w:hint="eastAsia" w:ascii="仿宋" w:hAnsi="仿宋" w:eastAsia="仿宋"/>
                <w:b/>
                <w:sz w:val="24"/>
                <w:highlight w:val="none"/>
                <w:u w:val="single"/>
              </w:rPr>
              <w:t>、境外特殊非经纪参与者</w:t>
            </w:r>
            <w:r>
              <w:rPr>
                <w:rFonts w:hint="eastAsia" w:ascii="仿宋" w:hAnsi="仿宋" w:eastAsia="仿宋"/>
                <w:dstrike/>
                <w:sz w:val="24"/>
                <w:highlight w:val="none"/>
              </w:rPr>
              <w:t>或者客户</w:t>
            </w:r>
            <w:r>
              <w:rPr>
                <w:rFonts w:hint="eastAsia" w:ascii="仿宋" w:hAnsi="仿宋" w:eastAsia="仿宋"/>
                <w:sz w:val="24"/>
                <w:highlight w:val="none"/>
              </w:rPr>
              <w:t>的套期保值申请材料应当</w:t>
            </w:r>
            <w:r>
              <w:rPr>
                <w:rFonts w:hint="eastAsia" w:ascii="仿宋" w:hAnsi="仿宋" w:eastAsia="仿宋"/>
                <w:dstrike/>
                <w:sz w:val="24"/>
                <w:highlight w:val="none"/>
              </w:rPr>
              <w:t>由会员</w:t>
            </w:r>
            <w:r>
              <w:rPr>
                <w:rFonts w:hint="eastAsia" w:ascii="仿宋" w:hAnsi="仿宋" w:eastAsia="仿宋"/>
                <w:b/>
                <w:sz w:val="24"/>
                <w:highlight w:val="none"/>
                <w:u w:val="single"/>
              </w:rPr>
              <w:t>自行</w:t>
            </w:r>
            <w:r>
              <w:rPr>
                <w:rFonts w:hint="eastAsia" w:ascii="仿宋" w:hAnsi="仿宋" w:eastAsia="仿宋"/>
                <w:sz w:val="24"/>
                <w:highlight w:val="none"/>
              </w:rPr>
              <w:t>保存完整，以备交易所抽查。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第四条 </w:t>
            </w:r>
            <w:r>
              <w:rPr>
                <w:rFonts w:hint="eastAsia" w:ascii="仿宋" w:hAnsi="仿宋" w:eastAsia="仿宋"/>
                <w:sz w:val="24"/>
                <w:highlight w:val="none"/>
              </w:rPr>
              <w:t>申请套期保值持仓额度的非期货公司会员或者客户应当是具备与申请品种相关的经营资格的企业或</w:t>
            </w:r>
            <w:r>
              <w:rPr>
                <w:rFonts w:ascii="仿宋" w:hAnsi="仿宋" w:eastAsia="仿宋"/>
                <w:sz w:val="24"/>
                <w:highlight w:val="none"/>
              </w:rPr>
              <w:t>为</w:t>
            </w:r>
            <w:r>
              <w:rPr>
                <w:rFonts w:hint="eastAsia" w:ascii="仿宋" w:hAnsi="仿宋" w:eastAsia="仿宋"/>
                <w:sz w:val="24"/>
                <w:highlight w:val="none"/>
              </w:rPr>
              <w:t>相关</w:t>
            </w:r>
            <w:r>
              <w:rPr>
                <w:rFonts w:ascii="仿宋" w:hAnsi="仿宋" w:eastAsia="仿宋"/>
                <w:sz w:val="24"/>
                <w:highlight w:val="none"/>
              </w:rPr>
              <w:t>现货企业提供风险管理</w:t>
            </w:r>
            <w:r>
              <w:rPr>
                <w:rFonts w:hint="eastAsia" w:ascii="仿宋" w:hAnsi="仿宋" w:eastAsia="仿宋"/>
                <w:sz w:val="24"/>
                <w:highlight w:val="none"/>
              </w:rPr>
              <w:t>服务</w:t>
            </w:r>
            <w:r>
              <w:rPr>
                <w:rFonts w:ascii="仿宋" w:hAnsi="仿宋" w:eastAsia="仿宋"/>
                <w:sz w:val="24"/>
                <w:highlight w:val="none"/>
              </w:rPr>
              <w:t>的经营</w:t>
            </w:r>
            <w:r>
              <w:rPr>
                <w:rFonts w:hint="eastAsia" w:ascii="仿宋" w:hAnsi="仿宋" w:eastAsia="仿宋"/>
                <w:sz w:val="24"/>
                <w:highlight w:val="none"/>
              </w:rPr>
              <w:t>机构。</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第四条 </w:t>
            </w:r>
            <w:r>
              <w:rPr>
                <w:rFonts w:hint="eastAsia" w:ascii="仿宋" w:hAnsi="仿宋" w:eastAsia="仿宋"/>
                <w:sz w:val="24"/>
                <w:highlight w:val="none"/>
              </w:rPr>
              <w:t>申请套期保值持仓额度的非期货公司会员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或者客户应当是具备与申请品种相关的经营资格的企业或</w:t>
            </w:r>
            <w:r>
              <w:rPr>
                <w:rFonts w:ascii="仿宋" w:hAnsi="仿宋" w:eastAsia="仿宋"/>
                <w:sz w:val="24"/>
                <w:highlight w:val="none"/>
              </w:rPr>
              <w:t>为</w:t>
            </w:r>
            <w:r>
              <w:rPr>
                <w:rFonts w:hint="eastAsia" w:ascii="仿宋" w:hAnsi="仿宋" w:eastAsia="仿宋"/>
                <w:sz w:val="24"/>
                <w:highlight w:val="none"/>
              </w:rPr>
              <w:t>相关</w:t>
            </w:r>
            <w:r>
              <w:rPr>
                <w:rFonts w:ascii="仿宋" w:hAnsi="仿宋" w:eastAsia="仿宋"/>
                <w:sz w:val="24"/>
                <w:highlight w:val="none"/>
              </w:rPr>
              <w:t>现货企业提供风险管理</w:t>
            </w:r>
            <w:r>
              <w:rPr>
                <w:rFonts w:hint="eastAsia" w:ascii="仿宋" w:hAnsi="仿宋" w:eastAsia="仿宋"/>
                <w:sz w:val="24"/>
                <w:highlight w:val="none"/>
              </w:rPr>
              <w:t>服务</w:t>
            </w:r>
            <w:r>
              <w:rPr>
                <w:rFonts w:ascii="仿宋" w:hAnsi="仿宋" w:eastAsia="仿宋"/>
                <w:sz w:val="24"/>
                <w:highlight w:val="none"/>
              </w:rPr>
              <w:t>的经营</w:t>
            </w:r>
            <w:r>
              <w:rPr>
                <w:rFonts w:hint="eastAsia" w:ascii="仿宋" w:hAnsi="仿宋" w:eastAsia="仿宋"/>
                <w:sz w:val="24"/>
                <w:highlight w:val="none"/>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第五条 </w:t>
            </w:r>
            <w:r>
              <w:rPr>
                <w:rFonts w:hint="eastAsia" w:ascii="仿宋" w:hAnsi="仿宋" w:eastAsia="仿宋"/>
                <w:sz w:val="24"/>
                <w:highlight w:val="none"/>
              </w:rPr>
              <w:t>会员、境外经纪机构和客户在交易所从事套期保值业务，应当遵守本办法。</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第五条 </w:t>
            </w:r>
            <w:r>
              <w:rPr>
                <w:rFonts w:hint="eastAsia" w:ascii="仿宋" w:hAnsi="仿宋" w:eastAsia="仿宋"/>
                <w:sz w:val="24"/>
                <w:highlight w:val="none"/>
              </w:rPr>
              <w:t>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机构和客户在交易所从事套期保值业务，应当遵守本办法。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2"/>
            <w:noWrap w:val="0"/>
            <w:vAlign w:val="center"/>
          </w:tcPr>
          <w:p>
            <w:pPr>
              <w:jc w:val="center"/>
              <w:rPr>
                <w:rFonts w:ascii="仿宋" w:hAnsi="仿宋" w:eastAsia="仿宋"/>
                <w:sz w:val="24"/>
                <w:highlight w:val="none"/>
              </w:rPr>
            </w:pPr>
            <w:r>
              <w:rPr>
                <w:rFonts w:hint="eastAsia" w:ascii="仿宋" w:hAnsi="仿宋" w:eastAsia="仿宋"/>
                <w:b/>
                <w:sz w:val="24"/>
                <w:highlight w:val="none"/>
              </w:rPr>
              <w:t>第二章 一般月份套期保值持仓额度的申请与审核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b/>
                <w:sz w:val="24"/>
                <w:highlight w:val="none"/>
                <w:u w:val="single"/>
              </w:rPr>
            </w:pPr>
            <w:r>
              <w:rPr>
                <w:rFonts w:ascii="仿宋" w:hAnsi="仿宋" w:eastAsia="仿宋"/>
                <w:b/>
                <w:sz w:val="24"/>
                <w:highlight w:val="none"/>
              </w:rPr>
              <w:t>第六条</w:t>
            </w:r>
            <w:r>
              <w:rPr>
                <w:rFonts w:hint="eastAsia" w:ascii="仿宋" w:hAnsi="仿宋" w:eastAsia="仿宋"/>
                <w:sz w:val="24"/>
                <w:highlight w:val="none"/>
              </w:rPr>
              <w:t xml:space="preserve"> 一般月份套期保值持仓额度申请方式分为按合约申请和按品种申请。非期货公司会员或者客户按合约方式申请一般月份套期保值持仓额度的，获批额度只能用于对应合约；非期货公司会员或者客户按品种方式申请一般月份套期保值持仓额度的，获批额度可以用于该品种已挂牌的所有合约。</w:t>
            </w:r>
          </w:p>
          <w:p>
            <w:pPr>
              <w:ind w:firstLine="480"/>
              <w:rPr>
                <w:rFonts w:ascii="仿宋" w:hAnsi="仿宋" w:eastAsia="仿宋"/>
                <w:sz w:val="24"/>
                <w:highlight w:val="none"/>
              </w:rPr>
            </w:pPr>
            <w:r>
              <w:rPr>
                <w:rFonts w:ascii="仿宋" w:hAnsi="仿宋" w:eastAsia="仿宋"/>
                <w:sz w:val="24"/>
                <w:highlight w:val="none"/>
              </w:rPr>
              <w:t>……</w:t>
            </w:r>
          </w:p>
        </w:tc>
        <w:tc>
          <w:tcPr>
            <w:tcW w:w="4261" w:type="dxa"/>
            <w:noWrap w:val="0"/>
            <w:vAlign w:val="top"/>
          </w:tcPr>
          <w:p>
            <w:pPr>
              <w:ind w:firstLine="480"/>
              <w:rPr>
                <w:rFonts w:ascii="仿宋" w:hAnsi="仿宋" w:eastAsia="仿宋"/>
                <w:b/>
                <w:sz w:val="24"/>
                <w:highlight w:val="none"/>
                <w:u w:val="single"/>
              </w:rPr>
            </w:pPr>
            <w:r>
              <w:rPr>
                <w:rFonts w:hint="eastAsia" w:ascii="仿宋" w:hAnsi="仿宋" w:eastAsia="仿宋"/>
                <w:b/>
                <w:sz w:val="24"/>
                <w:highlight w:val="none"/>
              </w:rPr>
              <w:t>第六条</w:t>
            </w:r>
            <w:r>
              <w:rPr>
                <w:rFonts w:hint="eastAsia" w:ascii="仿宋" w:hAnsi="仿宋" w:eastAsia="仿宋"/>
                <w:sz w:val="24"/>
                <w:highlight w:val="none"/>
              </w:rPr>
              <w:t xml:space="preserve"> 一般月份套期保值持仓额度申请方式分为按合约申请和按品种申请。非期货公司会员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或者客户按合约方式申请一般月份套期保值持仓额度的，获批额度只能用于对应合约；非期货公司会员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或者客户按品种方式申请一般月份套期保值持仓额度的，获批额度可以用于该品种已挂牌的所有合约。</w:t>
            </w:r>
          </w:p>
          <w:p>
            <w:pPr>
              <w:ind w:firstLine="480"/>
              <w:rPr>
                <w:rFonts w:ascii="仿宋" w:hAnsi="仿宋" w:eastAsia="仿宋"/>
                <w:sz w:val="24"/>
                <w:highlight w:val="none"/>
              </w:rPr>
            </w:pP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第七条</w:t>
            </w:r>
            <w:r>
              <w:rPr>
                <w:rFonts w:hint="eastAsia" w:ascii="仿宋" w:hAnsi="仿宋" w:eastAsia="仿宋"/>
                <w:sz w:val="24"/>
                <w:highlight w:val="none"/>
              </w:rPr>
              <w:t xml:space="preserve"> 申请一般月份套期保值持仓额度的非期货公司会员或者客户，应当填写《郑州商品交易所一般月份套期保值持仓额度申请表》，并向交易所提交下列材料：</w:t>
            </w:r>
          </w:p>
          <w:p>
            <w:pPr>
              <w:ind w:firstLine="480"/>
              <w:rPr>
                <w:rFonts w:ascii="仿宋" w:hAnsi="仿宋" w:eastAsia="仿宋"/>
                <w:sz w:val="24"/>
                <w:highlight w:val="none"/>
              </w:rPr>
            </w:pPr>
            <w:r>
              <w:rPr>
                <w:rFonts w:ascii="仿宋" w:hAnsi="仿宋" w:eastAsia="仿宋"/>
                <w:sz w:val="24"/>
                <w:highlight w:val="none"/>
              </w:rPr>
              <w:t>……</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第七条</w:t>
            </w:r>
            <w:r>
              <w:rPr>
                <w:rFonts w:hint="eastAsia" w:ascii="仿宋" w:hAnsi="仿宋" w:eastAsia="仿宋"/>
                <w:sz w:val="24"/>
                <w:highlight w:val="none"/>
              </w:rPr>
              <w:t xml:space="preserve"> 申请一般月份套期保值持仓额度的非期货公司会员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或者客户，应当填写《郑州商品交易所一般月份套期保值持仓额度申请表》，并向交易所提交下列材料：</w:t>
            </w:r>
          </w:p>
          <w:p>
            <w:pPr>
              <w:ind w:firstLine="480"/>
              <w:rPr>
                <w:rFonts w:ascii="仿宋" w:hAnsi="仿宋" w:eastAsia="仿宋"/>
                <w:sz w:val="24"/>
                <w:highlight w:val="none"/>
              </w:rPr>
            </w:pP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第八条</w:t>
            </w:r>
            <w:r>
              <w:rPr>
                <w:rFonts w:hint="eastAsia" w:ascii="仿宋" w:hAnsi="仿宋" w:eastAsia="仿宋"/>
                <w:sz w:val="24"/>
                <w:highlight w:val="none"/>
              </w:rPr>
              <w:t xml:space="preserve"> 按合约方式申请一般月份套期保值持仓额度的，应当在套期保值期货合约挂牌至交割月前一个月的第5个日历日之间的交易日提出，逾期交易所不再受理该合约套期保值持仓额度的申请。非期货公司会员或者客户可以一次申请多个合约的一般月份套期保值持仓额度。</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第八条</w:t>
            </w:r>
            <w:r>
              <w:rPr>
                <w:rFonts w:hint="eastAsia" w:ascii="仿宋" w:hAnsi="仿宋" w:eastAsia="仿宋"/>
                <w:sz w:val="24"/>
                <w:highlight w:val="none"/>
              </w:rPr>
              <w:t xml:space="preserve"> 按合约方式申请一般月份套期保值持仓额度的，应当在套期保值期货合约挂牌至交割月前一个月的第5个日历日之间的交易日提出，逾期交易所不再受理该合约套期保值持仓额度的申请。非期货公司会员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或者客户可以一次申请多个合约的一般月份套期保值持仓额度。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按品种方式申请一般月份套期保值持仓额度的，在全年的任一交易日均可提出，获批额度自获批之日至申请之日下一年度6月30日之间的交易日生效。获批一般月份套期保值持仓额度的非期货公司会员或者客户，在该品种已挂牌的所有合约获得数量相等的一般月份套期保值持仓额度。</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按品种方式申请一般月份套期保值持仓额度的，在全年的任一交易日均可提出，获批额度自获批之日至申请之日下一年度6月30日之间的交易日生效。获批一般月份套期保值持仓额度的非期货公司会员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或者客户，在该品种已挂牌的所有合约获得数量相等的一般月份套期保值持仓额度。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按合约方式申请一般月份套期保值持仓额度的，交易所按非期货公司会员或者客户的主体资格是否符合、现货经营状况、套期保值申请品种、持仓方向、持仓数量以及历史违规情况等因素，确定其一般月份套期保值持仓额度。</w:t>
            </w:r>
          </w:p>
          <w:p>
            <w:pPr>
              <w:ind w:firstLine="480"/>
              <w:rPr>
                <w:rFonts w:ascii="仿宋" w:hAnsi="仿宋" w:eastAsia="仿宋"/>
                <w:sz w:val="24"/>
                <w:highlight w:val="none"/>
              </w:rPr>
            </w:pPr>
            <w:r>
              <w:rPr>
                <w:rFonts w:hint="eastAsia" w:ascii="仿宋" w:hAnsi="仿宋" w:eastAsia="仿宋"/>
                <w:sz w:val="24"/>
                <w:highlight w:val="none"/>
              </w:rPr>
              <w:t>按品种方式申请</w:t>
            </w:r>
            <w:r>
              <w:rPr>
                <w:rFonts w:ascii="仿宋" w:hAnsi="仿宋" w:eastAsia="仿宋"/>
                <w:sz w:val="24"/>
                <w:highlight w:val="none"/>
              </w:rPr>
              <w:t>一般月份套期保值持仓额度</w:t>
            </w:r>
            <w:r>
              <w:rPr>
                <w:rFonts w:hint="eastAsia" w:ascii="仿宋" w:hAnsi="仿宋" w:eastAsia="仿宋"/>
                <w:sz w:val="24"/>
                <w:highlight w:val="none"/>
              </w:rPr>
              <w:t>的</w:t>
            </w:r>
            <w:r>
              <w:rPr>
                <w:rFonts w:ascii="仿宋" w:hAnsi="仿宋" w:eastAsia="仿宋"/>
                <w:sz w:val="24"/>
                <w:highlight w:val="none"/>
              </w:rPr>
              <w:t>，交易所按</w:t>
            </w:r>
            <w:r>
              <w:rPr>
                <w:rFonts w:hint="eastAsia" w:ascii="仿宋" w:hAnsi="仿宋" w:eastAsia="仿宋"/>
                <w:sz w:val="24"/>
                <w:highlight w:val="none"/>
              </w:rPr>
              <w:t>非期货公司会员或者客户的主体资格是否符合、现货经营状况以及历史违规情况等</w:t>
            </w:r>
            <w:r>
              <w:rPr>
                <w:rFonts w:ascii="仿宋" w:hAnsi="仿宋" w:eastAsia="仿宋"/>
                <w:sz w:val="24"/>
                <w:highlight w:val="none"/>
              </w:rPr>
              <w:t>因素，</w:t>
            </w:r>
            <w:r>
              <w:rPr>
                <w:rFonts w:hint="eastAsia" w:ascii="仿宋" w:hAnsi="仿宋" w:eastAsia="仿宋"/>
                <w:sz w:val="24"/>
                <w:highlight w:val="none"/>
              </w:rPr>
              <w:t>确定其一般月份套期保值持仓额度。</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按合约方式申请一般月份套期保值持仓额度的，交易所按非期货公司会员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或者客户的主体资格是否符合、现货经营状况、套期保值申请品种、持仓方向、持仓数量以及历史违规情况等因素，确定其一般月份套期保值持仓额度。</w:t>
            </w:r>
          </w:p>
          <w:p>
            <w:pPr>
              <w:ind w:firstLine="480"/>
              <w:rPr>
                <w:rFonts w:ascii="仿宋" w:hAnsi="仿宋" w:eastAsia="仿宋"/>
                <w:sz w:val="24"/>
                <w:highlight w:val="none"/>
              </w:rPr>
            </w:pPr>
            <w:r>
              <w:rPr>
                <w:rFonts w:hint="eastAsia" w:ascii="仿宋" w:hAnsi="仿宋" w:eastAsia="仿宋"/>
                <w:sz w:val="24"/>
                <w:highlight w:val="none"/>
              </w:rPr>
              <w:t>按品种方式申请</w:t>
            </w:r>
            <w:r>
              <w:rPr>
                <w:rFonts w:ascii="仿宋" w:hAnsi="仿宋" w:eastAsia="仿宋"/>
                <w:sz w:val="24"/>
                <w:highlight w:val="none"/>
              </w:rPr>
              <w:t>一般月份套期保值持仓额度</w:t>
            </w:r>
            <w:r>
              <w:rPr>
                <w:rFonts w:hint="eastAsia" w:ascii="仿宋" w:hAnsi="仿宋" w:eastAsia="仿宋"/>
                <w:sz w:val="24"/>
                <w:highlight w:val="none"/>
              </w:rPr>
              <w:t>的</w:t>
            </w:r>
            <w:r>
              <w:rPr>
                <w:rFonts w:ascii="仿宋" w:hAnsi="仿宋" w:eastAsia="仿宋"/>
                <w:sz w:val="24"/>
                <w:highlight w:val="none"/>
              </w:rPr>
              <w:t>，交易所按</w:t>
            </w:r>
            <w:r>
              <w:rPr>
                <w:rFonts w:hint="eastAsia" w:ascii="仿宋" w:hAnsi="仿宋" w:eastAsia="仿宋"/>
                <w:sz w:val="24"/>
                <w:highlight w:val="none"/>
              </w:rPr>
              <w:t>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或者客户的主体资格是否符合、现货经营状况以及历史违规情况等</w:t>
            </w:r>
            <w:r>
              <w:rPr>
                <w:rFonts w:ascii="仿宋" w:hAnsi="仿宋" w:eastAsia="仿宋"/>
                <w:sz w:val="24"/>
                <w:highlight w:val="none"/>
              </w:rPr>
              <w:t>因素，</w:t>
            </w:r>
            <w:r>
              <w:rPr>
                <w:rFonts w:hint="eastAsia" w:ascii="仿宋" w:hAnsi="仿宋" w:eastAsia="仿宋"/>
                <w:sz w:val="24"/>
                <w:highlight w:val="none"/>
              </w:rPr>
              <w:t>确定其一般月份套期保值持仓额度。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第十二条</w:t>
            </w:r>
            <w:r>
              <w:rPr>
                <w:rFonts w:hint="eastAsia" w:ascii="仿宋" w:hAnsi="仿宋" w:eastAsia="仿宋"/>
                <w:sz w:val="24"/>
                <w:highlight w:val="none"/>
              </w:rPr>
              <w:t xml:space="preserve"> 一般月份套期保值持仓额度使用时间为期货合约挂牌至交割月前一个月第</w:t>
            </w:r>
            <w:r>
              <w:rPr>
                <w:rFonts w:ascii="仿宋" w:hAnsi="仿宋" w:eastAsia="仿宋"/>
                <w:sz w:val="24"/>
                <w:highlight w:val="none"/>
              </w:rPr>
              <w:t>15个日历日</w:t>
            </w:r>
            <w:r>
              <w:rPr>
                <w:rFonts w:hint="eastAsia" w:ascii="仿宋" w:hAnsi="仿宋" w:eastAsia="仿宋"/>
                <w:sz w:val="24"/>
                <w:highlight w:val="none"/>
              </w:rPr>
              <w:t>之间的交易日</w:t>
            </w:r>
            <w:r>
              <w:rPr>
                <w:rFonts w:ascii="仿宋" w:hAnsi="仿宋" w:eastAsia="仿宋"/>
                <w:sz w:val="24"/>
                <w:highlight w:val="none"/>
              </w:rPr>
              <w:t>。</w:t>
            </w:r>
            <w:r>
              <w:rPr>
                <w:rFonts w:hint="eastAsia" w:ascii="仿宋" w:hAnsi="仿宋" w:eastAsia="仿宋"/>
                <w:sz w:val="24"/>
                <w:highlight w:val="none"/>
              </w:rPr>
              <w:t>交割月前一个月第16个日历日至交割月前一个月最后一个日历日之间的交易日，棉花、白糖、PTA、菜油、甲醇、玻璃、菜粕、动力煤、硅铁、锰硅、棉纱、尿素、纯碱品种非期货公司会员或者客户一般月份套期保值持仓额度可以按规定数额自动转化为该阶段的套期保值持仓额度，具体实施时间及转化数额由交易所另行通知。</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第十二条</w:t>
            </w:r>
            <w:r>
              <w:rPr>
                <w:rFonts w:hint="eastAsia" w:ascii="仿宋" w:hAnsi="仿宋" w:eastAsia="仿宋"/>
                <w:sz w:val="24"/>
                <w:highlight w:val="none"/>
              </w:rPr>
              <w:t xml:space="preserve"> 一般月份套期保值持仓额度使用时间为期货合约挂牌至交割月前一个月第</w:t>
            </w:r>
            <w:r>
              <w:rPr>
                <w:rFonts w:ascii="仿宋" w:hAnsi="仿宋" w:eastAsia="仿宋"/>
                <w:sz w:val="24"/>
                <w:highlight w:val="none"/>
              </w:rPr>
              <w:t>15个日历日</w:t>
            </w:r>
            <w:r>
              <w:rPr>
                <w:rFonts w:hint="eastAsia" w:ascii="仿宋" w:hAnsi="仿宋" w:eastAsia="仿宋"/>
                <w:sz w:val="24"/>
                <w:highlight w:val="none"/>
              </w:rPr>
              <w:t>之间的交易日</w:t>
            </w:r>
            <w:r>
              <w:rPr>
                <w:rFonts w:ascii="仿宋" w:hAnsi="仿宋" w:eastAsia="仿宋"/>
                <w:sz w:val="24"/>
                <w:highlight w:val="none"/>
              </w:rPr>
              <w:t>。</w:t>
            </w:r>
            <w:r>
              <w:rPr>
                <w:rFonts w:hint="eastAsia" w:ascii="仿宋" w:hAnsi="仿宋" w:eastAsia="仿宋"/>
                <w:sz w:val="24"/>
                <w:highlight w:val="none"/>
              </w:rPr>
              <w:t>交割月前一个月第16个日历日至交割月前一个月最后一个日历日之间的交易日，棉花、白糖、PTA、菜油、甲醇、玻璃、菜粕、动力煤、硅铁、锰硅、棉纱、尿素、纯碱品种非期货公司会员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或者客户一般月份套期保值持仓额度可以按规定数额自动转化为该阶段的套期保值持仓额度，具体实施时间及转化数额由交易所另行通知。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2"/>
            <w:noWrap w:val="0"/>
            <w:vAlign w:val="center"/>
          </w:tcPr>
          <w:p>
            <w:pPr>
              <w:jc w:val="center"/>
              <w:rPr>
                <w:rFonts w:ascii="仿宋" w:hAnsi="仿宋" w:eastAsia="仿宋" w:cs="Arial"/>
                <w:b/>
                <w:bCs/>
                <w:color w:val="000000"/>
                <w:sz w:val="24"/>
                <w:highlight w:val="none"/>
              </w:rPr>
            </w:pPr>
            <w:r>
              <w:rPr>
                <w:rFonts w:hint="eastAsia" w:ascii="仿宋" w:hAnsi="仿宋" w:eastAsia="仿宋" w:cs="Arial"/>
                <w:b/>
                <w:bCs/>
                <w:color w:val="000000"/>
                <w:sz w:val="24"/>
                <w:highlight w:val="none"/>
              </w:rPr>
              <w:t>第三章 临近交割月份套期保值持仓额度的申请与审核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申请临近交割月份套期保值持仓额度的非期货公司会员或者客户，应当填写《郑州商品交易所临近交割月份套期保值持仓额度申请表》，并向交易所提交下列材料：</w:t>
            </w:r>
          </w:p>
          <w:p>
            <w:pPr>
              <w:ind w:firstLine="480"/>
              <w:rPr>
                <w:rFonts w:ascii="仿宋" w:hAnsi="仿宋" w:eastAsia="仿宋"/>
                <w:sz w:val="24"/>
                <w:highlight w:val="none"/>
              </w:rPr>
            </w:pPr>
            <w:r>
              <w:rPr>
                <w:rFonts w:ascii="仿宋" w:hAnsi="仿宋" w:eastAsia="仿宋"/>
                <w:sz w:val="24"/>
                <w:highlight w:val="none"/>
              </w:rPr>
              <w:t>……</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申请临近交割月份套期保值持仓额度的非期货公司会员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或者客户，应当填写《郑州商品交易所临近交割月份套期保值持仓额度申请表》，并向交易所提交下列材料：</w:t>
            </w:r>
          </w:p>
          <w:p>
            <w:pPr>
              <w:ind w:firstLine="480"/>
              <w:rPr>
                <w:rFonts w:ascii="仿宋" w:hAnsi="仿宋" w:eastAsia="仿宋"/>
                <w:sz w:val="24"/>
                <w:highlight w:val="none"/>
              </w:rPr>
            </w:pP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第十五条 </w:t>
            </w:r>
            <w:r>
              <w:rPr>
                <w:rFonts w:hint="eastAsia" w:ascii="仿宋" w:hAnsi="仿宋" w:eastAsia="仿宋"/>
                <w:sz w:val="24"/>
                <w:highlight w:val="none"/>
              </w:rPr>
              <w:t>对临近交割月份套期保值持仓额度申请，交易所按非期货公司会员或者客户的主体资格是否符合、现货经营状况、套期保值申请品种、持仓方向和数量、历史违规情况、历史套期保值持仓额度使用情况、对应期货及期权合约整体持仓情况、可供交割商品的数量以及期现价格是否背离等因素，确定其临近交割月份套期保值持仓额度。</w:t>
            </w:r>
          </w:p>
          <w:p>
            <w:pPr>
              <w:ind w:firstLine="480"/>
              <w:rPr>
                <w:rFonts w:ascii="仿宋" w:hAnsi="仿宋" w:eastAsia="仿宋"/>
                <w:sz w:val="24"/>
                <w:highlight w:val="none"/>
              </w:rPr>
            </w:pPr>
            <w:r>
              <w:rPr>
                <w:rFonts w:ascii="仿宋" w:hAnsi="仿宋" w:eastAsia="仿宋"/>
                <w:sz w:val="24"/>
                <w:highlight w:val="none"/>
              </w:rPr>
              <w:t>……</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第十五条 </w:t>
            </w:r>
            <w:r>
              <w:rPr>
                <w:rFonts w:hint="eastAsia" w:ascii="仿宋" w:hAnsi="仿宋" w:eastAsia="仿宋"/>
                <w:sz w:val="24"/>
                <w:highlight w:val="none"/>
              </w:rPr>
              <w:t>对临近交割月份套期保值持仓额度申请，交易所按非期货公司会员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的主体资格是否符合、现货经营状况、套期保值申请品种、持仓方向和数量、历史违规情况、历史套期保值持仓额度使用情况、对应期货及期权合约整体持仓情况、可供交割商品的数量以及期现价格是否背离等因素，确定其临近交割月份套期保值持仓额度。</w:t>
            </w:r>
          </w:p>
          <w:p>
            <w:pPr>
              <w:ind w:firstLine="480"/>
              <w:rPr>
                <w:rFonts w:ascii="仿宋" w:hAnsi="仿宋" w:eastAsia="仿宋"/>
                <w:sz w:val="24"/>
                <w:highlight w:val="none"/>
              </w:rPr>
            </w:pP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2"/>
            <w:noWrap w:val="0"/>
            <w:vAlign w:val="center"/>
          </w:tcPr>
          <w:p>
            <w:pPr>
              <w:jc w:val="center"/>
              <w:rPr>
                <w:rFonts w:ascii="仿宋" w:hAnsi="仿宋" w:eastAsia="仿宋"/>
                <w:b/>
                <w:sz w:val="24"/>
                <w:highlight w:val="none"/>
              </w:rPr>
            </w:pPr>
            <w:r>
              <w:rPr>
                <w:rFonts w:hint="eastAsia" w:ascii="仿宋" w:hAnsi="仿宋" w:eastAsia="仿宋"/>
                <w:b/>
                <w:sz w:val="24"/>
                <w:highlight w:val="none"/>
              </w:rPr>
              <w:t>第四章 套期保值交易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第十七条</w:t>
            </w:r>
            <w:r>
              <w:rPr>
                <w:rFonts w:hint="eastAsia" w:ascii="仿宋" w:hAnsi="仿宋" w:eastAsia="仿宋"/>
                <w:sz w:val="24"/>
                <w:highlight w:val="none"/>
              </w:rPr>
              <w:t xml:space="preserve"> 获批套期保值持仓额度的非期货公司会员或者客户，可通过交易指令直接建立套期保值持仓，也可通过对历史持仓确认的方式建立套期保值持仓。</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第十七条</w:t>
            </w:r>
            <w:r>
              <w:rPr>
                <w:rFonts w:hint="eastAsia" w:ascii="仿宋" w:hAnsi="仿宋" w:eastAsia="仿宋"/>
                <w:sz w:val="24"/>
                <w:highlight w:val="none"/>
              </w:rPr>
              <w:t xml:space="preserve"> 获批套期保值持仓额度的非期货公司会员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或者客户，可通过交易指令直接建立套期保值持仓，也可通过对历史持仓确认的方式建立套期保值持仓。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第十八条</w:t>
            </w:r>
            <w:r>
              <w:rPr>
                <w:rFonts w:hint="eastAsia" w:ascii="仿宋" w:hAnsi="仿宋" w:eastAsia="仿宋"/>
                <w:sz w:val="24"/>
                <w:highlight w:val="none"/>
              </w:rPr>
              <w:t xml:space="preserve"> 按品种方式申请并获批一般月份套期保值持仓额度的非期货公司会员或者客户，套期保值持仓和投机持仓合计不得超过交易所规定的限额，具体限额由交易所另行通知，其中套期保值持仓不得超过获批的套期保值持仓额度，投机持仓不得超过相应投机持仓限仓标准。</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第十八条</w:t>
            </w:r>
            <w:r>
              <w:rPr>
                <w:rFonts w:hint="eastAsia" w:ascii="仿宋" w:hAnsi="仿宋" w:eastAsia="仿宋"/>
                <w:sz w:val="24"/>
                <w:highlight w:val="none"/>
              </w:rPr>
              <w:t xml:space="preserve"> 按品种方式申请并获批一般月份套期保值持仓额度的非期货公司会员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或者客户，套期保值持仓和投机持仓合计不得超过交易所规定的限额，具体限额由交易所另行通知，其中套期保值持仓不得超过获批的套期保值持仓额度，投机持仓不得超过相应投机持仓限仓标准。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第十九条</w:t>
            </w:r>
            <w:r>
              <w:rPr>
                <w:rFonts w:hint="eastAsia" w:ascii="仿宋" w:hAnsi="仿宋" w:eastAsia="仿宋"/>
                <w:sz w:val="24"/>
                <w:highlight w:val="none"/>
              </w:rPr>
              <w:t xml:space="preserve"> 非期货公司会员或者客户进行套期保值交易时，任一交易日全年期货、期权合约一般月份套期保值持仓合计不得超过其在该商品相应保值方向的年度经营量。</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第十九条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或者客户进行套期保值交易时，任一交易日全年期货、期权合约一般月份套期保值持仓合计不得超过其在该商品相应保值方向的年度经营量。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第二十条 </w:t>
            </w:r>
            <w:r>
              <w:rPr>
                <w:rFonts w:hint="eastAsia" w:ascii="仿宋" w:hAnsi="仿宋" w:eastAsia="仿宋"/>
                <w:sz w:val="24"/>
                <w:highlight w:val="none"/>
              </w:rPr>
              <w:t>非期货公司会员或者客户进行套期保值交易时，持仓超过交易所规定限额的，应当在下一交易日第一节交易结束前自行调整；逾期未进行调整或调整后仍不符合要求的，交易所可以采取谈话提醒、书面警示、调整或者取消其套期保值持仓额度、限制开仓、强行平仓等措施。</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第二十条 </w:t>
            </w:r>
            <w:r>
              <w:rPr>
                <w:rFonts w:hint="eastAsia" w:ascii="仿宋" w:hAnsi="仿宋" w:eastAsia="仿宋"/>
                <w:sz w:val="24"/>
                <w:highlight w:val="none"/>
              </w:rPr>
              <w:t>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进行套期保值交易时，持仓超过交易所规定限额的，应当在下一交易日第一节交易结束前自行调整；逾期未进行调整或调整后仍不符合要求的，交易所可以采取谈话提醒、书面警示、调整或者取消其套期保值持仓额度、限制开仓、强行平仓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2"/>
            <w:noWrap w:val="0"/>
            <w:vAlign w:val="center"/>
          </w:tcPr>
          <w:p>
            <w:pPr>
              <w:ind w:firstLine="236" w:firstLineChars="98"/>
              <w:jc w:val="center"/>
              <w:rPr>
                <w:rFonts w:ascii="仿宋" w:hAnsi="仿宋" w:eastAsia="仿宋"/>
                <w:b/>
                <w:sz w:val="24"/>
                <w:highlight w:val="none"/>
              </w:rPr>
            </w:pPr>
            <w:r>
              <w:rPr>
                <w:rFonts w:hint="eastAsia" w:ascii="仿宋" w:hAnsi="仿宋" w:eastAsia="仿宋"/>
                <w:b/>
                <w:sz w:val="24"/>
                <w:highlight w:val="none"/>
              </w:rPr>
              <w:t>第五章套期保值监督与管理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第二十四条</w:t>
            </w:r>
            <w:r>
              <w:rPr>
                <w:rFonts w:hint="eastAsia" w:ascii="仿宋" w:hAnsi="仿宋" w:eastAsia="仿宋"/>
                <w:sz w:val="24"/>
                <w:highlight w:val="none"/>
              </w:rPr>
              <w:t xml:space="preserve"> 交易所对非期货公司会员或者客户获批套期保值持仓额度的使用情况进行监督管理。</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第二十四条</w:t>
            </w:r>
            <w:r>
              <w:rPr>
                <w:rFonts w:hint="eastAsia" w:ascii="仿宋" w:hAnsi="仿宋" w:eastAsia="仿宋"/>
                <w:sz w:val="24"/>
                <w:highlight w:val="none"/>
              </w:rPr>
              <w:t xml:space="preserve"> 交易所对非期货公司会员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或者客户获批套期保值持仓额度的使用情况进行监督管理。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第二十五条</w:t>
            </w:r>
            <w:r>
              <w:rPr>
                <w:rFonts w:hint="eastAsia" w:ascii="仿宋" w:hAnsi="仿宋" w:eastAsia="仿宋"/>
                <w:sz w:val="24"/>
                <w:highlight w:val="none"/>
              </w:rPr>
              <w:t xml:space="preserve"> 交易所对非期货公司会员或者客户提供的有关生产经营状况、资信情况及期货、期权、现货市场交易行为进行监督和调查，会员及相关客户应予协助和配合。</w:t>
            </w:r>
          </w:p>
          <w:p>
            <w:pPr>
              <w:ind w:firstLine="480"/>
              <w:rPr>
                <w:rFonts w:ascii="仿宋" w:hAnsi="仿宋" w:eastAsia="仿宋"/>
                <w:sz w:val="24"/>
                <w:highlight w:val="none"/>
              </w:rPr>
            </w:pPr>
            <w:r>
              <w:rPr>
                <w:rFonts w:hint="eastAsia" w:ascii="仿宋" w:hAnsi="仿宋" w:eastAsia="仿宋"/>
                <w:sz w:val="24"/>
                <w:highlight w:val="none"/>
              </w:rPr>
              <w:t>交易所可以要求获批套期保值持仓额度的非期货公司会员或者客户报告现货、期货及期权交易情况，补充相关材料。</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第二十五条</w:t>
            </w:r>
            <w:r>
              <w:rPr>
                <w:rFonts w:hint="eastAsia" w:ascii="仿宋" w:hAnsi="仿宋" w:eastAsia="仿宋"/>
                <w:sz w:val="24"/>
                <w:highlight w:val="none"/>
              </w:rPr>
              <w:t xml:space="preserve"> 交易所对非期货公司会员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或者客户提供的有关生产经营状况、资信情况及期货、期权、现货市场交易行为进行监督和调查，会员</w:t>
            </w:r>
            <w:r>
              <w:rPr>
                <w:rFonts w:hint="eastAsia" w:ascii="仿宋" w:hAnsi="仿宋" w:eastAsia="仿宋"/>
                <w:b/>
                <w:sz w:val="24"/>
                <w:highlight w:val="none"/>
                <w:u w:val="single"/>
              </w:rPr>
              <w:t>、境外特殊参与者</w:t>
            </w:r>
            <w:r>
              <w:rPr>
                <w:rFonts w:hint="eastAsia" w:ascii="仿宋" w:hAnsi="仿宋" w:eastAsia="仿宋"/>
                <w:sz w:val="24"/>
                <w:highlight w:val="none"/>
              </w:rPr>
              <w:t>及相关客户应予协助和配合。</w:t>
            </w:r>
          </w:p>
          <w:p>
            <w:pPr>
              <w:ind w:firstLine="480"/>
              <w:rPr>
                <w:rFonts w:ascii="仿宋" w:hAnsi="仿宋" w:eastAsia="仿宋"/>
                <w:sz w:val="24"/>
                <w:highlight w:val="none"/>
              </w:rPr>
            </w:pPr>
            <w:r>
              <w:rPr>
                <w:rFonts w:hint="eastAsia" w:ascii="仿宋" w:hAnsi="仿宋" w:eastAsia="仿宋"/>
                <w:sz w:val="24"/>
                <w:highlight w:val="none"/>
              </w:rPr>
              <w:t>交易所可以要求获批套期保值持仓额度的非期货公司会员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或者客户报告现货、期货及期权交易情况，补充相关材料。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第二十六条</w:t>
            </w:r>
            <w:r>
              <w:rPr>
                <w:rFonts w:hint="eastAsia" w:ascii="仿宋" w:hAnsi="仿宋" w:eastAsia="仿宋"/>
                <w:sz w:val="24"/>
                <w:highlight w:val="none"/>
              </w:rPr>
              <w:t xml:space="preserve"> 非期货公司会员或者客户在获批套期保值持仓额度期间，企业情况发生重大变化，可能对套期保值业务造成较大影响的，应当及时向交易所报告。交易所可以根据套期保值企业的经营状况，调整其套期保值持仓额度。</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第二十六条 </w:t>
            </w:r>
            <w:r>
              <w:rPr>
                <w:rFonts w:hint="eastAsia" w:ascii="仿宋" w:hAnsi="仿宋" w:eastAsia="仿宋"/>
                <w:sz w:val="24"/>
                <w:highlight w:val="none"/>
              </w:rPr>
              <w:t>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或者客户在获批套期保值持仓额度期间，企业情况发生重大变化，可能对套期保值业务造成较大影响的，应当及时向交易所报告。交易所可以根据套期保值企业的经营状况，调整其套期保值持仓额度。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第二十七条</w:t>
            </w:r>
            <w:r>
              <w:rPr>
                <w:rFonts w:hint="eastAsia" w:ascii="仿宋" w:hAnsi="仿宋" w:eastAsia="仿宋"/>
                <w:sz w:val="24"/>
                <w:highlight w:val="none"/>
              </w:rPr>
              <w:t xml:space="preserve"> 当某品种现货市场发生重大变化或者期货合约交易行情特殊致使市场风险明显增大时，交易所可以调整部分或者全部非期货公司会员或者客户的套期保值持仓额度。</w:t>
            </w:r>
          </w:p>
        </w:tc>
        <w:tc>
          <w:tcPr>
            <w:tcW w:w="4261" w:type="dxa"/>
            <w:noWrap w:val="0"/>
            <w:vAlign w:val="top"/>
          </w:tcPr>
          <w:p>
            <w:pPr>
              <w:tabs>
                <w:tab w:val="left" w:pos="720"/>
              </w:tabs>
              <w:ind w:firstLine="480"/>
              <w:rPr>
                <w:rFonts w:ascii="仿宋" w:hAnsi="仿宋" w:eastAsia="仿宋"/>
                <w:sz w:val="24"/>
                <w:highlight w:val="none"/>
              </w:rPr>
            </w:pPr>
            <w:r>
              <w:rPr>
                <w:rFonts w:hint="eastAsia" w:ascii="仿宋" w:hAnsi="仿宋" w:eastAsia="仿宋"/>
                <w:b/>
                <w:sz w:val="24"/>
                <w:highlight w:val="none"/>
              </w:rPr>
              <w:t>第二十七条</w:t>
            </w:r>
            <w:r>
              <w:rPr>
                <w:rFonts w:hint="eastAsia" w:ascii="仿宋" w:hAnsi="仿宋" w:eastAsia="仿宋"/>
                <w:sz w:val="24"/>
                <w:highlight w:val="none"/>
              </w:rPr>
              <w:t xml:space="preserve"> 当某品种现货市场发生重大变化或者期货合约交易行情特殊致使市场风险明显增大时，交易所可以调整部分或者全部非期货公司会员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或者客户的套期保值持仓额度。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第二十八条</w:t>
            </w:r>
            <w:r>
              <w:rPr>
                <w:rFonts w:hint="eastAsia" w:ascii="仿宋" w:hAnsi="仿宋" w:eastAsia="仿宋"/>
                <w:sz w:val="24"/>
                <w:highlight w:val="none"/>
              </w:rPr>
              <w:t xml:space="preserve"> 非期货公司会员或者客户需要调整套期保值持仓额度时，应当及时向交易所提出变更申请。</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第二十八条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或者客户需要调整套期保值持仓额度时，应当及时向交易所提出变更申请。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第二十九条 </w:t>
            </w:r>
            <w:r>
              <w:rPr>
                <w:rFonts w:hint="eastAsia" w:ascii="仿宋" w:hAnsi="仿宋" w:eastAsia="仿宋"/>
                <w:sz w:val="24"/>
                <w:highlight w:val="none"/>
              </w:rPr>
              <w:t>获批套期保值持仓额度的非期货公司会员或者客户有下列情形之一的，交易所可以对其采取谈话提醒、书面警示、调整或者取消其套期保值持仓额度、限制开仓、限期平仓、强行平仓等措施。</w:t>
            </w:r>
          </w:p>
          <w:p>
            <w:pPr>
              <w:ind w:firstLine="480"/>
              <w:rPr>
                <w:rFonts w:ascii="仿宋" w:hAnsi="仿宋" w:eastAsia="仿宋"/>
                <w:sz w:val="24"/>
                <w:highlight w:val="none"/>
              </w:rPr>
            </w:pPr>
            <w:r>
              <w:rPr>
                <w:rFonts w:ascii="仿宋" w:hAnsi="仿宋" w:eastAsia="仿宋"/>
                <w:sz w:val="24"/>
                <w:highlight w:val="none"/>
              </w:rPr>
              <w:t>……</w:t>
            </w:r>
          </w:p>
        </w:tc>
        <w:tc>
          <w:tcPr>
            <w:tcW w:w="4261" w:type="dxa"/>
            <w:noWrap w:val="0"/>
            <w:vAlign w:val="top"/>
          </w:tcPr>
          <w:p>
            <w:pPr>
              <w:widowControl/>
              <w:snapToGrid w:val="0"/>
              <w:ind w:firstLine="480"/>
              <w:rPr>
                <w:rFonts w:ascii="仿宋" w:hAnsi="仿宋" w:eastAsia="仿宋"/>
                <w:sz w:val="24"/>
                <w:highlight w:val="none"/>
              </w:rPr>
            </w:pPr>
            <w:r>
              <w:rPr>
                <w:rFonts w:hint="eastAsia" w:ascii="仿宋" w:hAnsi="仿宋" w:eastAsia="仿宋"/>
                <w:b/>
                <w:sz w:val="24"/>
                <w:highlight w:val="none"/>
              </w:rPr>
              <w:t>第二十九条</w:t>
            </w:r>
            <w:r>
              <w:rPr>
                <w:rFonts w:hint="eastAsia" w:ascii="仿宋" w:hAnsi="仿宋" w:eastAsia="仿宋"/>
                <w:sz w:val="24"/>
                <w:highlight w:val="none"/>
              </w:rPr>
              <w:t xml:space="preserve"> 获批套期保值持仓额度的非期货公司会员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或者客户有下列情形之一的，交易所可以对其采取谈话提醒、书面警示、调整或者取消其套期保值持仓额度、限制开仓、限期平仓、强行平仓等措施。</w:t>
            </w:r>
          </w:p>
          <w:p>
            <w:pPr>
              <w:widowControl/>
              <w:snapToGrid w:val="0"/>
              <w:ind w:firstLine="480"/>
              <w:rPr>
                <w:rFonts w:ascii="仿宋" w:hAnsi="仿宋" w:eastAsia="仿宋"/>
                <w:sz w:val="24"/>
                <w:highlight w:val="none"/>
              </w:rPr>
            </w:pP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1530"/>
              </w:tabs>
              <w:ind w:firstLine="480"/>
              <w:rPr>
                <w:rFonts w:ascii="仿宋" w:hAnsi="仿宋" w:eastAsia="仿宋"/>
                <w:sz w:val="24"/>
                <w:highlight w:val="none"/>
              </w:rPr>
            </w:pPr>
            <w:r>
              <w:rPr>
                <w:rFonts w:hint="eastAsia" w:ascii="仿宋" w:hAnsi="仿宋" w:eastAsia="仿宋"/>
                <w:b/>
                <w:sz w:val="24"/>
                <w:highlight w:val="none"/>
              </w:rPr>
              <w:t xml:space="preserve">第三十条 </w:t>
            </w:r>
            <w:r>
              <w:rPr>
                <w:rFonts w:hint="eastAsia" w:ascii="仿宋" w:hAnsi="仿宋" w:eastAsia="仿宋"/>
                <w:sz w:val="24"/>
                <w:highlight w:val="none"/>
              </w:rPr>
              <w:t>非期货公司会员或者客户在进行套期保值申请或者交易时，存在提供虚假材料等欺诈行为、不如实申报实际控制关系、未按本办法履行报告义务或者其他违反交易所规定行为的，交易所可以对其采取谈话提醒、书面警示、不受理其套期保值申请、调整或者取消其套期保值持仓额度等措施，情节严重的，按照《郑州商品交易所违规处理办法》的有关规定处理。</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 xml:space="preserve">第三十条 </w:t>
            </w:r>
            <w:r>
              <w:rPr>
                <w:rFonts w:hint="eastAsia" w:ascii="仿宋" w:hAnsi="仿宋" w:eastAsia="仿宋"/>
                <w:sz w:val="24"/>
                <w:highlight w:val="none"/>
              </w:rPr>
              <w:t>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或者客户在进行套期保值申请或者交易时，存在提供虚假材料等欺诈行为、不如实申报实际控制关系、未按本办法履行报告义务或者其他违反交易所规定行为的，交易所可以对其采取谈话提醒、书面警示、不受理其套期保值申请、调整或者取消其套期保值持仓额度等措施，情节严重的，按照《郑州商品交易所违规处理办法》的有关规定处理。</w:t>
            </w:r>
          </w:p>
        </w:tc>
      </w:tr>
    </w:tbl>
    <w:p>
      <w:pPr>
        <w:widowControl/>
        <w:jc w:val="center"/>
        <w:rPr>
          <w:rFonts w:ascii="宋体" w:hAnsi="宋体" w:cs="宋体"/>
          <w:b/>
          <w:color w:val="000000"/>
          <w:sz w:val="44"/>
          <w:szCs w:val="44"/>
          <w:highlight w:val="none"/>
        </w:rPr>
      </w:pPr>
      <w:r>
        <w:rPr>
          <w:highlight w:val="none"/>
        </w:rPr>
        <w:br w:type="page"/>
      </w:r>
      <w:r>
        <w:rPr>
          <w:rFonts w:hint="eastAsia" w:ascii="黑体" w:hAnsi="黑体" w:eastAsia="黑体" w:cs="黑体"/>
          <w:b w:val="0"/>
          <w:bCs/>
          <w:color w:val="000000"/>
          <w:sz w:val="40"/>
          <w:szCs w:val="40"/>
          <w:highlight w:val="none"/>
        </w:rPr>
        <w:t>郑州商品交易所套期保值管理办法</w:t>
      </w:r>
    </w:p>
    <w:p>
      <w:pPr>
        <w:widowControl/>
        <w:jc w:val="left"/>
        <w:rPr>
          <w:rFonts w:hint="eastAsia" w:ascii="宋体" w:hAnsi="宋体" w:cs="宋体"/>
          <w:color w:val="000000"/>
          <w:sz w:val="24"/>
          <w:highlight w:val="none"/>
        </w:rPr>
      </w:pPr>
    </w:p>
    <w:p>
      <w:pPr>
        <w:widowControl/>
        <w:jc w:val="left"/>
        <w:rPr>
          <w:rFonts w:ascii="宋体" w:hAnsi="宋体" w:cs="宋体"/>
          <w:color w:val="000000"/>
          <w:sz w:val="24"/>
          <w:highlight w:val="none"/>
        </w:rPr>
      </w:pPr>
      <w:r>
        <w:rPr>
          <w:rFonts w:hint="eastAsia" w:ascii="宋体" w:hAnsi="宋体" w:cs="宋体"/>
          <w:color w:val="000000"/>
          <w:sz w:val="24"/>
          <w:highlight w:val="none"/>
        </w:rPr>
        <w:t>（2026年4月7日郑州商品交易所第八届理事会第三十四次会议审议通过，2026年</w:t>
      </w:r>
      <w:r>
        <w:rPr>
          <w:rFonts w:hint="default" w:ascii="宋体" w:hAnsi="宋体" w:cs="宋体"/>
          <w:color w:val="000000"/>
          <w:sz w:val="24"/>
          <w:highlight w:val="none"/>
          <w:lang w:val="en-US"/>
        </w:rPr>
        <w:t>5</w:t>
      </w:r>
      <w:r>
        <w:rPr>
          <w:rFonts w:hint="eastAsia" w:ascii="宋体" w:hAnsi="宋体" w:cs="宋体"/>
          <w:color w:val="000000"/>
          <w:sz w:val="24"/>
          <w:highlight w:val="none"/>
        </w:rPr>
        <w:t>月</w:t>
      </w:r>
      <w:r>
        <w:rPr>
          <w:rFonts w:hint="default" w:ascii="宋体" w:hAnsi="宋体" w:cs="宋体"/>
          <w:color w:val="000000"/>
          <w:sz w:val="24"/>
          <w:highlight w:val="none"/>
          <w:lang w:val="en-US"/>
        </w:rPr>
        <w:t>7</w:t>
      </w:r>
      <w:r>
        <w:rPr>
          <w:rFonts w:hint="eastAsia" w:ascii="宋体" w:hAnsi="宋体" w:cs="宋体"/>
          <w:color w:val="000000"/>
          <w:sz w:val="24"/>
          <w:highlight w:val="none"/>
        </w:rPr>
        <w:t>日〔2026〕</w:t>
      </w:r>
      <w:r>
        <w:rPr>
          <w:rFonts w:hint="eastAsia" w:ascii="宋体" w:hAnsi="宋体" w:cs="宋体"/>
          <w:color w:val="000000"/>
          <w:sz w:val="24"/>
          <w:highlight w:val="none"/>
          <w:lang w:eastAsia="zh-CN"/>
        </w:rPr>
        <w:t>68号</w:t>
      </w:r>
      <w:r>
        <w:rPr>
          <w:rFonts w:hint="eastAsia" w:ascii="宋体" w:hAnsi="宋体" w:cs="宋体"/>
          <w:color w:val="000000"/>
          <w:sz w:val="24"/>
          <w:highlight w:val="none"/>
        </w:rPr>
        <w:t>公告发布，自发布之日起实施）</w:t>
      </w:r>
    </w:p>
    <w:p>
      <w:pPr>
        <w:spacing w:beforeLines="50" w:afterLines="50" w:line="360" w:lineRule="auto"/>
        <w:jc w:val="center"/>
        <w:rPr>
          <w:rFonts w:ascii="黑体" w:hAnsi="黑体" w:eastAsia="黑体" w:cs="Arial"/>
          <w:bCs/>
          <w:color w:val="000000"/>
          <w:sz w:val="32"/>
          <w:szCs w:val="32"/>
          <w:highlight w:val="none"/>
        </w:rPr>
      </w:pPr>
      <w:r>
        <w:rPr>
          <w:rFonts w:hint="eastAsia" w:ascii="黑体" w:hAnsi="黑体" w:eastAsia="黑体" w:cs="Arial"/>
          <w:bCs/>
          <w:color w:val="000000"/>
          <w:sz w:val="32"/>
          <w:szCs w:val="32"/>
          <w:highlight w:val="none"/>
        </w:rPr>
        <w:t>第一章 总则</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第一条</w:t>
      </w:r>
      <w:r>
        <w:rPr>
          <w:rFonts w:hint="eastAsia" w:ascii="宋体" w:hAnsi="宋体" w:eastAsia="宋体" w:cs="宋体"/>
          <w:sz w:val="28"/>
          <w:szCs w:val="28"/>
          <w:highlight w:val="none"/>
        </w:rPr>
        <w:t xml:space="preserve"> 为了促进套期保值业务规范发展，充分发挥套期保值功能，根据《郑州商品交易所交易规则》等有关规定，制定本办法。</w:t>
      </w:r>
    </w:p>
    <w:p>
      <w:pPr>
        <w:widowControl/>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第二条</w:t>
      </w:r>
      <w:r>
        <w:rPr>
          <w:rFonts w:hint="eastAsia" w:ascii="宋体" w:hAnsi="宋体" w:eastAsia="宋体" w:cs="宋体"/>
          <w:sz w:val="28"/>
          <w:szCs w:val="28"/>
          <w:highlight w:val="none"/>
        </w:rPr>
        <w:t xml:space="preserve"> 郑州商品交易所（以下简称交易所）套期保值持仓实行额度管理制度。</w:t>
      </w:r>
    </w:p>
    <w:p>
      <w:pPr>
        <w:widowControl/>
        <w:spacing w:line="360" w:lineRule="auto"/>
        <w:ind w:firstLine="560" w:firstLineChars="200"/>
        <w:rPr>
          <w:rFonts w:hint="eastAsia" w:ascii="宋体" w:hAnsi="宋体" w:eastAsia="宋体" w:cs="宋体"/>
          <w:b/>
          <w:bCs/>
          <w:sz w:val="28"/>
          <w:szCs w:val="28"/>
          <w:highlight w:val="none"/>
        </w:rPr>
      </w:pPr>
      <w:r>
        <w:rPr>
          <w:rFonts w:hint="eastAsia" w:ascii="宋体" w:hAnsi="宋体" w:eastAsia="宋体" w:cs="宋体"/>
          <w:sz w:val="28"/>
          <w:szCs w:val="28"/>
          <w:highlight w:val="none"/>
        </w:rPr>
        <w:t>按套期保值持仓额度使用阶段，套期保值持仓额度分为一般月份套期保值持仓额度和临近交割月份套期保值持仓额度</w:t>
      </w:r>
      <w:r>
        <w:rPr>
          <w:rFonts w:hint="eastAsia" w:ascii="宋体" w:hAnsi="宋体" w:eastAsia="宋体" w:cs="宋体"/>
          <w:bCs/>
          <w:sz w:val="28"/>
          <w:szCs w:val="28"/>
          <w:highlight w:val="none"/>
        </w:rPr>
        <w:t>。</w:t>
      </w:r>
    </w:p>
    <w:p>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按套期保值持仓额度申请和使用方向，套期保值持仓额度分为买入套期保值持仓额度和卖出套期保值持仓额度。买入套期保值持仓额度可以用于建立期货合约买方向、看涨期权合约买方向、看跌期权合约卖方向的套期保值持仓；卖出套期保值持仓额度可以用于建立期货合约卖方向、看涨期权合约卖方向、看跌期权合约买方向的套期保值持仓。</w:t>
      </w:r>
    </w:p>
    <w:p>
      <w:pPr>
        <w:widowControl/>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第三条 </w:t>
      </w:r>
      <w:r>
        <w:rPr>
          <w:rFonts w:hint="eastAsia" w:ascii="宋体" w:hAnsi="宋体" w:eastAsia="宋体" w:cs="宋体"/>
          <w:sz w:val="28"/>
          <w:szCs w:val="28"/>
          <w:highlight w:val="none"/>
        </w:rPr>
        <w:t>在办理套期保值业务时，委托期货公司会员从事期货交易的客户，应当委托期货公司会员办理。委托境外特殊经纪参与者从事期货交易的客户，应当委托境外特殊经纪参与者办理。委托境外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机构从事期货交易的客户，应当委托境外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机构办理，境外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机构再委托期货公司会员</w:t>
      </w:r>
      <w:r>
        <w:rPr>
          <w:rFonts w:hint="eastAsia" w:ascii="宋体" w:hAnsi="宋体" w:eastAsia="宋体" w:cs="宋体"/>
          <w:sz w:val="28"/>
          <w:szCs w:val="28"/>
          <w:highlight w:val="none"/>
          <w:lang w:eastAsia="zh-CN"/>
        </w:rPr>
        <w:t>或境外特殊经纪参与者</w:t>
      </w:r>
      <w:r>
        <w:rPr>
          <w:rFonts w:hint="eastAsia" w:ascii="宋体" w:hAnsi="宋体" w:eastAsia="宋体" w:cs="宋体"/>
          <w:sz w:val="28"/>
          <w:szCs w:val="28"/>
          <w:highlight w:val="none"/>
        </w:rPr>
        <w:t>办理。非期货公司会员和境外特殊非经纪参与者直接向交易所办理申报手续。</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期货公司会员或境外特殊经纪参与者对客户的申报进行审核后，按本办法向交易所办理申报手续，并完整保存客户的套期保值申请材料，以备交易所抽查。非期货公司会员、境外特殊非经纪参与者的套期保值申请材料应当</w:t>
      </w:r>
      <w:r>
        <w:rPr>
          <w:rFonts w:hint="eastAsia" w:ascii="宋体" w:hAnsi="宋体" w:eastAsia="宋体" w:cs="宋体"/>
          <w:sz w:val="28"/>
          <w:szCs w:val="28"/>
          <w:highlight w:val="none"/>
          <w:lang w:eastAsia="zh-CN"/>
        </w:rPr>
        <w:t>自行</w:t>
      </w:r>
      <w:r>
        <w:rPr>
          <w:rFonts w:hint="eastAsia" w:ascii="宋体" w:hAnsi="宋体" w:eastAsia="宋体" w:cs="宋体"/>
          <w:sz w:val="28"/>
          <w:szCs w:val="28"/>
          <w:highlight w:val="none"/>
        </w:rPr>
        <w:t>保存完整，以备交易所抽查。</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第四条 </w:t>
      </w:r>
      <w:r>
        <w:rPr>
          <w:rFonts w:hint="eastAsia" w:ascii="宋体" w:hAnsi="宋体" w:eastAsia="宋体" w:cs="宋体"/>
          <w:sz w:val="28"/>
          <w:szCs w:val="28"/>
          <w:highlight w:val="none"/>
        </w:rPr>
        <w:t>申请套期保值持仓额度的非期货公司会员、境外特殊非经纪参与者或者客户应当是具备与申请品种相关的经营资格的企业或为相关现货企业提供风险管理服务的经营机构。</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第五条 </w:t>
      </w:r>
      <w:r>
        <w:rPr>
          <w:rFonts w:hint="eastAsia" w:ascii="宋体" w:hAnsi="宋体" w:eastAsia="宋体" w:cs="宋体"/>
          <w:sz w:val="28"/>
          <w:szCs w:val="28"/>
          <w:highlight w:val="none"/>
        </w:rPr>
        <w:t>会员、境外特殊参与者、境外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机构和客户在交易所从事套期保值业务，应当遵守本办法。</w:t>
      </w:r>
    </w:p>
    <w:p>
      <w:pPr>
        <w:spacing w:beforeLines="50" w:afterLines="50" w:line="360" w:lineRule="auto"/>
        <w:jc w:val="center"/>
        <w:rPr>
          <w:rFonts w:ascii="黑体" w:hAnsi="黑体" w:eastAsia="黑体" w:cs="Arial"/>
          <w:bCs/>
          <w:color w:val="000000"/>
          <w:sz w:val="32"/>
          <w:szCs w:val="32"/>
          <w:highlight w:val="none"/>
        </w:rPr>
      </w:pPr>
      <w:r>
        <w:rPr>
          <w:rFonts w:hint="eastAsia" w:ascii="黑体" w:hAnsi="黑体" w:eastAsia="黑体" w:cs="Arial"/>
          <w:bCs/>
          <w:color w:val="000000"/>
          <w:sz w:val="32"/>
          <w:szCs w:val="32"/>
          <w:highlight w:val="none"/>
        </w:rPr>
        <w:t>第二章 一般月份套期保值持仓额度的申请与审核</w:t>
      </w:r>
    </w:p>
    <w:p>
      <w:pPr>
        <w:snapToGrid w:val="0"/>
        <w:spacing w:line="360" w:lineRule="auto"/>
        <w:ind w:firstLine="560" w:firstLineChars="200"/>
        <w:jc w:val="left"/>
        <w:rPr>
          <w:rFonts w:hint="eastAsia" w:ascii="宋体" w:hAnsi="宋体" w:eastAsia="宋体" w:cs="宋体"/>
          <w:b/>
          <w:sz w:val="28"/>
          <w:szCs w:val="28"/>
          <w:highlight w:val="none"/>
          <w:u w:val="single"/>
        </w:rPr>
      </w:pPr>
      <w:r>
        <w:rPr>
          <w:rFonts w:hint="eastAsia" w:ascii="黑体" w:hAnsi="黑体" w:eastAsia="黑体" w:cs="黑体"/>
          <w:sz w:val="28"/>
          <w:szCs w:val="28"/>
          <w:highlight w:val="none"/>
        </w:rPr>
        <w:t>第六条</w:t>
      </w:r>
      <w:r>
        <w:rPr>
          <w:rFonts w:hint="eastAsia" w:ascii="宋体" w:hAnsi="宋体" w:eastAsia="宋体" w:cs="宋体"/>
          <w:sz w:val="28"/>
          <w:szCs w:val="28"/>
          <w:highlight w:val="none"/>
        </w:rPr>
        <w:t xml:space="preserve"> 一般月份套期保值持仓额度申请方式分为按合约申请和按品种申请。非期货公司会员、境外特殊非经纪参与者或者客户按合约方式申请一般月份套期保值持仓额度的，获批额度只能用于对应合约；非期货公司会员、境外特殊非经纪参与者或者客户按品种方式申请一般月份套期保值持仓额度的，获批额度可以用于该品种已挂牌的所有合约。</w:t>
      </w:r>
    </w:p>
    <w:p>
      <w:pPr>
        <w:widowControl/>
        <w:snapToGrid w:val="0"/>
        <w:spacing w:line="360" w:lineRule="auto"/>
        <w:ind w:firstLine="560" w:firstLineChars="200"/>
        <w:rPr>
          <w:rFonts w:hint="eastAsia" w:ascii="宋体" w:hAnsi="宋体" w:eastAsia="宋体" w:cs="宋体"/>
          <w:b/>
          <w:sz w:val="28"/>
          <w:szCs w:val="28"/>
          <w:highlight w:val="none"/>
          <w:u w:val="single"/>
        </w:rPr>
      </w:pPr>
      <w:r>
        <w:rPr>
          <w:rFonts w:hint="eastAsia" w:ascii="宋体" w:hAnsi="宋体" w:eastAsia="宋体" w:cs="宋体"/>
          <w:sz w:val="28"/>
          <w:szCs w:val="28"/>
          <w:highlight w:val="none"/>
        </w:rPr>
        <w:t>适用按品种方式申请一般月份套期保值持仓额度的具体品种由交易所另行通知，其他品种适用按合约方式申请一般月份套期保值持仓额度。交易所可以根据市场情况，调整品种适用的一般月份套期保值持仓额度申请方式、使用时间及获批额度。</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第七条 </w:t>
      </w:r>
      <w:r>
        <w:rPr>
          <w:rFonts w:hint="eastAsia" w:ascii="宋体" w:hAnsi="宋体" w:eastAsia="宋体" w:cs="宋体"/>
          <w:sz w:val="28"/>
          <w:szCs w:val="28"/>
          <w:highlight w:val="none"/>
        </w:rPr>
        <w:t>申请一般月份套期保值持仓额度的非期货公司会员、境外特殊非经纪参与者或者客户，应当填写《郑州商品交易所一般月份套期保值持仓额度申请表》，并向交易所提交下列材料：</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（一）企业营业执照副本或者公司注册证书等能够证明经营范围的文件；</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（二）申请品种上一年度现货经营规模；</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（三）申请品种当年或者套期保值期间的现货经营计划；</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（四）企业套期保值交易方案；</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（五）交易所要求的其他材料。</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第八条 </w:t>
      </w:r>
      <w:r>
        <w:rPr>
          <w:rFonts w:hint="eastAsia" w:ascii="宋体" w:hAnsi="宋体" w:eastAsia="宋体" w:cs="宋体"/>
          <w:sz w:val="28"/>
          <w:szCs w:val="28"/>
          <w:highlight w:val="none"/>
        </w:rPr>
        <w:t>按合约方式申请一般月份套期保值持仓额度的，应当在套期保值期货合约挂牌至交割月前一个月的第5个日历日之间的交易日提出，逾期交易所不再受理该合约套期保值持仓额度的申请。非期货公司会员、境外特殊非经纪参与者或者客户可以一次申请多个合约的一般月份套期保值持仓额度。</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第九条</w:t>
      </w:r>
      <w:r>
        <w:rPr>
          <w:rFonts w:hint="eastAsia" w:ascii="宋体" w:hAnsi="宋体" w:eastAsia="宋体" w:cs="宋体"/>
          <w:sz w:val="28"/>
          <w:szCs w:val="28"/>
          <w:highlight w:val="none"/>
        </w:rPr>
        <w:t xml:space="preserve"> 按品种方式申请一般月份套期保值持仓额度的，在全年的任一交易日均可提出，获批额度自获批之日至申请之日下一年度6月30日之间的交易日生效。获批一般月份套期保值持仓额度的非期货公司会员、境外特殊非经纪参与者或者客户，在该品种已挂牌的所有合约获得数量相等的一般月份套期保值持仓额度。</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第十条</w:t>
      </w:r>
      <w:r>
        <w:rPr>
          <w:rFonts w:hint="eastAsia" w:ascii="宋体" w:hAnsi="宋体" w:eastAsia="宋体" w:cs="宋体"/>
          <w:sz w:val="28"/>
          <w:szCs w:val="28"/>
          <w:highlight w:val="none"/>
        </w:rPr>
        <w:t xml:space="preserve"> 按合约方式申请一般月份套期保值持仓额度的，交易所按非期货公司会员、境外特殊非经纪参与者或者客户的主体资格是否符合、现货经营状况、套期保值申请品种、持仓方向、持仓数量以及历史违规情况等因素，确定其一般月份套期保值持仓额度。</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按品种方式申请一般月份套期保值持仓额度的，交易所按非期货公司会员、境外特殊非经纪参与者或者客户的主体资格是否符合、现货经营状况以及历史违规情况等因素，确定其一般月份套期保值持仓额度。</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第十一条</w:t>
      </w:r>
      <w:r>
        <w:rPr>
          <w:rFonts w:hint="eastAsia" w:ascii="宋体" w:hAnsi="宋体" w:eastAsia="宋体" w:cs="宋体"/>
          <w:sz w:val="28"/>
          <w:szCs w:val="28"/>
          <w:highlight w:val="none"/>
        </w:rPr>
        <w:t xml:space="preserve"> 交易所收到完整的套期保值申请材料后5个交易日内进行审核并予以答复。</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第十二条</w:t>
      </w:r>
      <w:r>
        <w:rPr>
          <w:rFonts w:hint="eastAsia" w:ascii="宋体" w:hAnsi="宋体" w:eastAsia="宋体" w:cs="宋体"/>
          <w:sz w:val="28"/>
          <w:szCs w:val="28"/>
          <w:highlight w:val="none"/>
        </w:rPr>
        <w:t xml:space="preserve"> 一般月份套期保值持仓额度使用时间为期货合约挂牌至交割月前一个月第15个日历日之间的交易日。交割月前一个月第16个日历日至交割月前一个月最后一个日历日之间的交易日，棉花、白糖、PTA、菜油、甲醇、玻璃、菜粕、动力煤、硅铁、锰硅、棉纱、尿素、纯碱品种非期货公司会员、境外特殊非经纪参与者或者客户一般月份套期保值持仓额度可以按规定数额自动转化为该阶段的套期保值持仓额度，具体实施时间及转化数额由交易所另行通知。</w:t>
      </w:r>
    </w:p>
    <w:p>
      <w:pPr>
        <w:spacing w:beforeLines="50" w:afterLines="50" w:line="360" w:lineRule="auto"/>
        <w:jc w:val="center"/>
        <w:rPr>
          <w:rFonts w:ascii="黑体" w:hAnsi="黑体" w:eastAsia="黑体" w:cs="Arial"/>
          <w:bCs/>
          <w:color w:val="000000"/>
          <w:sz w:val="32"/>
          <w:szCs w:val="32"/>
          <w:highlight w:val="none"/>
        </w:rPr>
      </w:pPr>
      <w:r>
        <w:rPr>
          <w:rFonts w:hint="eastAsia" w:ascii="黑体" w:hAnsi="黑体" w:eastAsia="黑体" w:cs="Arial"/>
          <w:bCs/>
          <w:color w:val="000000"/>
          <w:sz w:val="32"/>
          <w:szCs w:val="32"/>
          <w:highlight w:val="none"/>
        </w:rPr>
        <w:t>第三章 临近交割月份套期保值持仓额度的申请与审核</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第十三条 </w:t>
      </w:r>
      <w:r>
        <w:rPr>
          <w:rFonts w:hint="eastAsia" w:ascii="宋体" w:hAnsi="宋体" w:eastAsia="宋体" w:cs="宋体"/>
          <w:sz w:val="28"/>
          <w:szCs w:val="28"/>
          <w:highlight w:val="none"/>
        </w:rPr>
        <w:t>申请临近交割月份套期保值持仓额度的非期货公司会员、境外特殊非经纪参与者或者客户，应当填写《郑州商品交易所临近交割月份套期保值持仓额度申请表》，并向交易所提交下列材料：</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（一）企业营业执照副本或者公司注册证书等能够证明经营范围的文件；</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（二）申请品种上一年度现货经营规模；</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（三）证明临近交割月份套期保值交易需求真实性的相关材料，如当年或者套期保值期间的现货经营计划、加工订单、购销合同、发票、仓单、库存证明、拥有实物的其他证明等；</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（四）企业套期保值交易方案；</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（五）交易所要求的其他材料。</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第十四条</w:t>
      </w:r>
      <w:r>
        <w:rPr>
          <w:rFonts w:hint="eastAsia" w:ascii="宋体" w:hAnsi="宋体" w:eastAsia="宋体" w:cs="宋体"/>
          <w:sz w:val="28"/>
          <w:szCs w:val="28"/>
          <w:highlight w:val="none"/>
        </w:rPr>
        <w:t xml:space="preserve"> 临近交割月份套期保值持仓额度的申请应当在套期保值期货合约交割月前二个月第15个日历日至交割月前一个月第20个日历日之间的交易日提出，逾期交易所不再受理该合约套期保值持仓额度的申请。</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交易所对临近交割月份套期保值持仓额度申请分两次集中审核并予以答复。第一次在交割月前一个月第5个日历日后的5个交易日内集中审核，第二次在申请截止日后的5个交易日内集中审核。</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第十五条</w:t>
      </w:r>
      <w:r>
        <w:rPr>
          <w:rFonts w:hint="eastAsia" w:ascii="宋体" w:hAnsi="宋体" w:eastAsia="宋体" w:cs="宋体"/>
          <w:sz w:val="28"/>
          <w:szCs w:val="28"/>
          <w:highlight w:val="none"/>
        </w:rPr>
        <w:t xml:space="preserve"> 对临近交割月份套期保值持仓额度申请，交易所按非期货公司会员、境外特殊非经纪参与者或者客户的主体资格是否符合、现货经营状况、套期保值申请品种、持仓方向和数量、历史违规情况、历史套期保值持仓额度使用情况、对应期货及期权合约整体持仓情况、可供交割商品的数量以及期现价格是否背离等因素，确定其临近交割月份套期保值持仓额度。</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全年各合约月份临近交割月份套期保值持仓额度累计不超过其当年生产能力、当年生产计划或者上一年度该商品经营数量。</w:t>
      </w:r>
    </w:p>
    <w:p>
      <w:pPr>
        <w:widowControl/>
        <w:spacing w:line="360" w:lineRule="auto"/>
        <w:ind w:firstLine="560" w:firstLineChars="200"/>
        <w:rPr>
          <w:rFonts w:hint="eastAsia" w:ascii="宋体" w:hAnsi="宋体" w:eastAsia="宋体" w:cs="宋体"/>
          <w:sz w:val="28"/>
          <w:szCs w:val="28"/>
          <w:highlight w:val="none"/>
          <w:u w:val="single"/>
        </w:rPr>
      </w:pPr>
      <w:r>
        <w:rPr>
          <w:rFonts w:hint="eastAsia" w:ascii="黑体" w:hAnsi="黑体" w:eastAsia="黑体" w:cs="黑体"/>
          <w:sz w:val="28"/>
          <w:szCs w:val="28"/>
          <w:highlight w:val="none"/>
        </w:rPr>
        <w:t>第十六条</w:t>
      </w:r>
      <w:r>
        <w:rPr>
          <w:rFonts w:hint="eastAsia" w:ascii="宋体" w:hAnsi="宋体" w:eastAsia="宋体" w:cs="宋体"/>
          <w:sz w:val="28"/>
          <w:szCs w:val="28"/>
          <w:highlight w:val="none"/>
        </w:rPr>
        <w:t xml:space="preserve"> 临近交割月份套期保值持仓额度使用时间为交割月前一个月第16个日历日至合约最后交易日。</w:t>
      </w:r>
    </w:p>
    <w:p>
      <w:pPr>
        <w:spacing w:beforeLines="50" w:afterLines="50" w:line="360" w:lineRule="auto"/>
        <w:jc w:val="center"/>
        <w:rPr>
          <w:rFonts w:ascii="黑体" w:hAnsi="黑体" w:eastAsia="黑体" w:cs="Arial"/>
          <w:bCs/>
          <w:color w:val="000000"/>
          <w:sz w:val="32"/>
          <w:szCs w:val="32"/>
          <w:highlight w:val="none"/>
        </w:rPr>
      </w:pPr>
      <w:r>
        <w:rPr>
          <w:rFonts w:hint="eastAsia" w:ascii="黑体" w:hAnsi="黑体" w:eastAsia="黑体" w:cs="Arial"/>
          <w:bCs/>
          <w:color w:val="000000"/>
          <w:sz w:val="32"/>
          <w:szCs w:val="32"/>
          <w:highlight w:val="none"/>
        </w:rPr>
        <w:t>第四章 套期保值交易</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第十七条</w:t>
      </w:r>
      <w:r>
        <w:rPr>
          <w:rFonts w:hint="eastAsia" w:ascii="宋体" w:hAnsi="宋体" w:eastAsia="宋体" w:cs="宋体"/>
          <w:sz w:val="28"/>
          <w:szCs w:val="28"/>
          <w:highlight w:val="none"/>
        </w:rPr>
        <w:t xml:space="preserve"> 获批套期保值持仓额度的非期货公司会员、境外特殊非经纪参与者或者客户，可通过交易指令直接建立套期保值持仓，也可通过对历史持仓确认的方式建立套期保值持仓。</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第十八条 </w:t>
      </w:r>
      <w:r>
        <w:rPr>
          <w:rFonts w:hint="eastAsia" w:ascii="宋体" w:hAnsi="宋体" w:eastAsia="宋体" w:cs="宋体"/>
          <w:sz w:val="28"/>
          <w:szCs w:val="28"/>
          <w:highlight w:val="none"/>
        </w:rPr>
        <w:t>按品种方式申请并获批一般月份套期保值持仓额度的非期货公司会员、境外特殊非经纪参与者或者客户，套期保值持仓和投机持仓合计不得超过交易所规定的限额，具体限额由交易所另行通知，其中套期保值持仓不得超过获批的套期保值持仓额度，投机持仓不得超过相应投机持仓限仓标准。</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第十九条 </w:t>
      </w:r>
      <w:r>
        <w:rPr>
          <w:rFonts w:hint="eastAsia" w:ascii="宋体" w:hAnsi="宋体" w:eastAsia="宋体" w:cs="宋体"/>
          <w:sz w:val="28"/>
          <w:szCs w:val="28"/>
          <w:highlight w:val="none"/>
        </w:rPr>
        <w:t>非期货公司会员、境外特殊非经纪参与者或者客户进行套期保值交易时，任一交易日全年期货、期权合约一般月份套期保值持仓合计不得超过其在该商品相应保值方向的年度经营量。</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第二十条 </w:t>
      </w:r>
      <w:r>
        <w:rPr>
          <w:rFonts w:hint="eastAsia" w:ascii="宋体" w:hAnsi="宋体" w:eastAsia="宋体" w:cs="宋体"/>
          <w:sz w:val="28"/>
          <w:szCs w:val="28"/>
          <w:highlight w:val="none"/>
        </w:rPr>
        <w:t>非期货公司会员、境外特殊非经纪参与者或者客户进行套期保值交易时，持仓超过交易所规定限额的，应当在下一交易日第一节交易结束前自行调整；逾期未进行调整或调整后仍不符合要求的，交易所可以采取谈话提醒、书面警示、调整或者取消其套期保值持仓额度、限制开仓、强行平仓等措施。</w:t>
      </w:r>
    </w:p>
    <w:p>
      <w:pPr>
        <w:widowControl/>
        <w:spacing w:line="360" w:lineRule="auto"/>
        <w:ind w:firstLine="560" w:firstLineChars="200"/>
        <w:jc w:val="left"/>
        <w:rPr>
          <w:rFonts w:hint="eastAsia" w:ascii="宋体" w:hAnsi="宋体" w:eastAsia="宋体" w:cs="宋体"/>
          <w:sz w:val="28"/>
          <w:szCs w:val="28"/>
          <w:highlight w:val="none"/>
        </w:rPr>
      </w:pPr>
      <w:r>
        <w:rPr>
          <w:rFonts w:hint="eastAsia" w:ascii="黑体" w:hAnsi="黑体" w:eastAsia="黑体" w:cs="黑体"/>
          <w:sz w:val="28"/>
          <w:szCs w:val="28"/>
          <w:highlight w:val="none"/>
        </w:rPr>
        <w:t>第二十一条</w:t>
      </w:r>
      <w:r>
        <w:rPr>
          <w:rFonts w:hint="eastAsia" w:ascii="宋体" w:hAnsi="宋体" w:eastAsia="宋体" w:cs="宋体"/>
          <w:sz w:val="28"/>
          <w:szCs w:val="28"/>
          <w:highlight w:val="none"/>
        </w:rPr>
        <w:t xml:space="preserve"> 期权行权时，期权套期保值持仓转化为相应的期货套期保值持仓。</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第二十二条</w:t>
      </w:r>
      <w:r>
        <w:rPr>
          <w:rFonts w:hint="eastAsia" w:ascii="宋体" w:hAnsi="宋体" w:eastAsia="宋体" w:cs="宋体"/>
          <w:sz w:val="28"/>
          <w:szCs w:val="28"/>
          <w:highlight w:val="none"/>
        </w:rPr>
        <w:t xml:space="preserve"> 套期保值持仓额度自交割月第一个交易日起（含该日）不得重复使用。</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第二十三条</w:t>
      </w:r>
      <w:r>
        <w:rPr>
          <w:rFonts w:hint="eastAsia" w:ascii="宋体" w:hAnsi="宋体" w:eastAsia="宋体" w:cs="宋体"/>
          <w:sz w:val="28"/>
          <w:szCs w:val="28"/>
          <w:highlight w:val="none"/>
        </w:rPr>
        <w:t xml:space="preserve"> 交易所可以对套期保值交易的保证金、手续费采取优惠措施。</w:t>
      </w:r>
    </w:p>
    <w:p>
      <w:pPr>
        <w:spacing w:beforeLines="50" w:afterLines="50" w:line="360" w:lineRule="auto"/>
        <w:jc w:val="center"/>
        <w:rPr>
          <w:rFonts w:ascii="黑体" w:hAnsi="黑体" w:eastAsia="黑体" w:cs="Arial"/>
          <w:bCs/>
          <w:color w:val="000000"/>
          <w:sz w:val="32"/>
          <w:szCs w:val="32"/>
          <w:highlight w:val="none"/>
        </w:rPr>
      </w:pPr>
      <w:bookmarkStart w:id="42" w:name="_Toc183957266"/>
      <w:bookmarkStart w:id="43" w:name="_Toc305139253"/>
      <w:bookmarkStart w:id="44" w:name="_Toc394498367"/>
      <w:bookmarkStart w:id="45" w:name="_Toc305139423"/>
      <w:bookmarkStart w:id="46" w:name="_Toc18705"/>
      <w:bookmarkStart w:id="47" w:name="_Toc307150671"/>
      <w:r>
        <w:rPr>
          <w:rFonts w:hint="eastAsia" w:ascii="黑体" w:hAnsi="黑体" w:eastAsia="黑体" w:cs="Arial"/>
          <w:bCs/>
          <w:color w:val="000000"/>
          <w:sz w:val="32"/>
          <w:szCs w:val="32"/>
          <w:highlight w:val="none"/>
        </w:rPr>
        <w:t>第五章</w:t>
      </w:r>
      <w:bookmarkEnd w:id="42"/>
      <w:r>
        <w:rPr>
          <w:rFonts w:hint="eastAsia" w:ascii="黑体" w:hAnsi="黑体" w:eastAsia="黑体" w:cs="Arial"/>
          <w:bCs/>
          <w:color w:val="000000"/>
          <w:sz w:val="32"/>
          <w:szCs w:val="32"/>
          <w:highlight w:val="none"/>
        </w:rPr>
        <w:t xml:space="preserve"> 套期保值监督与管理</w:t>
      </w:r>
      <w:bookmarkEnd w:id="43"/>
      <w:bookmarkEnd w:id="44"/>
      <w:bookmarkEnd w:id="45"/>
      <w:bookmarkEnd w:id="46"/>
      <w:bookmarkEnd w:id="47"/>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第二十四条</w:t>
      </w:r>
      <w:r>
        <w:rPr>
          <w:rFonts w:hint="eastAsia" w:ascii="宋体" w:hAnsi="宋体" w:eastAsia="宋体" w:cs="宋体"/>
          <w:sz w:val="28"/>
          <w:szCs w:val="28"/>
          <w:highlight w:val="none"/>
        </w:rPr>
        <w:t xml:space="preserve"> 交易所对非期货公司会员、境外特殊非经纪参与者或者客户获批套期保值持仓额度的使用情况进行监督管理。</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第二十五条 </w:t>
      </w:r>
      <w:r>
        <w:rPr>
          <w:rFonts w:hint="eastAsia" w:ascii="宋体" w:hAnsi="宋体" w:eastAsia="宋体" w:cs="宋体"/>
          <w:sz w:val="28"/>
          <w:szCs w:val="28"/>
          <w:highlight w:val="none"/>
        </w:rPr>
        <w:t>交易所对非期货公司会员、境外特殊非经纪参与者或者客户提供的有关生产经营状况、资信情况及期货、期权、现货市场交易行为进行监督和调查，会员、境外特殊参与者及相关客户应予协助和配合。</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交易所可以要求获批套期保值持仓额度的非期货公司会员、境外特殊非经纪参与者或者客户报告现货、期货及期权交易情况，补充相关材料。</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第二十六条</w:t>
      </w:r>
      <w:r>
        <w:rPr>
          <w:rFonts w:hint="eastAsia" w:ascii="宋体" w:hAnsi="宋体" w:eastAsia="宋体" w:cs="宋体"/>
          <w:sz w:val="28"/>
          <w:szCs w:val="28"/>
          <w:highlight w:val="none"/>
        </w:rPr>
        <w:t xml:space="preserve"> 非期货公司会员、境外特殊非经纪参与者或者客户在获批套期保值持仓额度期间，企业情况发生重大变化，可能对套期保值业务造成较大影响的，应当及时向交易所报告。交易所可以根据套期保值企业的经营状况，调整其套期保值持仓额度。</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第二十七条 </w:t>
      </w:r>
      <w:r>
        <w:rPr>
          <w:rFonts w:hint="eastAsia" w:ascii="宋体" w:hAnsi="宋体" w:eastAsia="宋体" w:cs="宋体"/>
          <w:sz w:val="28"/>
          <w:szCs w:val="28"/>
          <w:highlight w:val="none"/>
        </w:rPr>
        <w:t>当某品种现货市场发生重大变化或者期货合约交易行情特殊致使市场风险明显增大时，交易所可以调整部分或者全部非期货公司会员、境外特殊非经纪参与者或者客户的套期保值持仓额度。</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第二十八条 </w:t>
      </w:r>
      <w:r>
        <w:rPr>
          <w:rFonts w:hint="eastAsia" w:ascii="宋体" w:hAnsi="宋体" w:eastAsia="宋体" w:cs="宋体"/>
          <w:sz w:val="28"/>
          <w:szCs w:val="28"/>
          <w:highlight w:val="none"/>
        </w:rPr>
        <w:t>非期货公司会员、境外特殊非经纪参与者或者客户需要调整套期保值持仓额度时，应当及时向交易所提出变更申请。</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第二十九条 </w:t>
      </w:r>
      <w:r>
        <w:rPr>
          <w:rFonts w:hint="eastAsia" w:ascii="宋体" w:hAnsi="宋体" w:eastAsia="宋体" w:cs="宋体"/>
          <w:sz w:val="28"/>
          <w:szCs w:val="28"/>
          <w:highlight w:val="none"/>
        </w:rPr>
        <w:t>获批套期保值持仓额度的非期货公司会员、境外特殊非经纪参与者或者客户有下列情形之一的，交易所可以对其采取谈话提醒、书面警示、调整或者取消其套期保值持仓额度、限制开仓、限期平仓、强行平仓等措施。</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（一）利用套期保值额度频繁进行开平仓交易的；</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（二）临近交割月份交易行为不符合经济合理性，且无法说明正当理由的；</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（三）交易所认定的其他不符合套期保值目的的情形。</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 xml:space="preserve">第三十条 </w:t>
      </w:r>
      <w:r>
        <w:rPr>
          <w:rFonts w:hint="eastAsia" w:ascii="宋体" w:hAnsi="宋体" w:eastAsia="宋体" w:cs="宋体"/>
          <w:sz w:val="28"/>
          <w:szCs w:val="28"/>
          <w:highlight w:val="none"/>
        </w:rPr>
        <w:t>非期货公司会员、境外特殊非经纪参与者或者客户在进行套期保值申请或者交易时，存在提供虚假材料等欺诈行为、不如实申报实际控制关系、未按本办法履行报告义务或者其他违反交易所规定行为的，交易所可以对其采取谈话提醒、书面警示、不受理其套期保值申请、调整或者取消其套期保值持仓额度等措施，情节严重的，按照《郑州商品交易所违规处理办法》的有关规定处理。</w:t>
      </w:r>
    </w:p>
    <w:p>
      <w:pPr>
        <w:spacing w:beforeLines="50" w:afterLines="50" w:line="360" w:lineRule="auto"/>
        <w:jc w:val="center"/>
        <w:rPr>
          <w:rFonts w:ascii="黑体" w:hAnsi="黑体" w:eastAsia="黑体" w:cs="Arial"/>
          <w:bCs/>
          <w:color w:val="000000"/>
          <w:sz w:val="32"/>
          <w:szCs w:val="32"/>
          <w:highlight w:val="none"/>
        </w:rPr>
      </w:pPr>
      <w:bookmarkStart w:id="48" w:name="_Toc187548359"/>
      <w:bookmarkEnd w:id="48"/>
      <w:bookmarkStart w:id="49" w:name="_Toc227383793"/>
      <w:bookmarkEnd w:id="49"/>
      <w:bookmarkStart w:id="50" w:name="_Toc183958948"/>
      <w:bookmarkEnd w:id="50"/>
      <w:bookmarkStart w:id="51" w:name="_Toc183957267"/>
      <w:bookmarkStart w:id="52" w:name="_Toc989"/>
      <w:bookmarkStart w:id="53" w:name="_Toc394498368"/>
      <w:bookmarkStart w:id="54" w:name="_Toc305139424"/>
      <w:bookmarkStart w:id="55" w:name="_Toc307150672"/>
      <w:bookmarkStart w:id="56" w:name="_Toc305139254"/>
      <w:r>
        <w:rPr>
          <w:rFonts w:hint="eastAsia" w:ascii="宋体" w:hAnsi="宋体" w:eastAsia="黑体" w:cs="宋体"/>
          <w:kern w:val="0"/>
          <w:sz w:val="32"/>
          <w:szCs w:val="28"/>
          <w:highlight w:val="none"/>
        </w:rPr>
        <w:t xml:space="preserve">第六章 </w:t>
      </w:r>
      <w:r>
        <w:rPr>
          <w:rFonts w:hint="eastAsia" w:ascii="黑体" w:hAnsi="黑体" w:eastAsia="黑体" w:cs="Arial"/>
          <w:bCs/>
          <w:color w:val="000000"/>
          <w:sz w:val="32"/>
          <w:szCs w:val="32"/>
          <w:highlight w:val="none"/>
        </w:rPr>
        <w:t>附</w:t>
      </w:r>
      <w:bookmarkEnd w:id="51"/>
      <w:r>
        <w:rPr>
          <w:rFonts w:hint="eastAsia" w:ascii="黑体" w:hAnsi="黑体" w:eastAsia="黑体" w:cs="Arial"/>
          <w:bCs/>
          <w:color w:val="000000"/>
          <w:sz w:val="32"/>
          <w:szCs w:val="32"/>
          <w:highlight w:val="none"/>
          <w:lang w:val="en-US" w:eastAsia="zh-CN"/>
        </w:rPr>
        <w:t xml:space="preserve"> </w:t>
      </w:r>
      <w:r>
        <w:rPr>
          <w:rFonts w:hint="eastAsia" w:ascii="黑体" w:hAnsi="黑体" w:eastAsia="黑体" w:cs="Arial"/>
          <w:bCs/>
          <w:color w:val="000000"/>
          <w:sz w:val="32"/>
          <w:szCs w:val="32"/>
          <w:highlight w:val="none"/>
        </w:rPr>
        <w:t>则</w:t>
      </w:r>
      <w:bookmarkEnd w:id="52"/>
      <w:bookmarkEnd w:id="53"/>
      <w:bookmarkEnd w:id="54"/>
      <w:bookmarkEnd w:id="55"/>
      <w:bookmarkEnd w:id="56"/>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第三十一条</w:t>
      </w:r>
      <w:r>
        <w:rPr>
          <w:rFonts w:hint="eastAsia" w:ascii="宋体" w:hAnsi="宋体" w:eastAsia="宋体" w:cs="宋体"/>
          <w:sz w:val="28"/>
          <w:szCs w:val="28"/>
          <w:highlight w:val="none"/>
        </w:rPr>
        <w:t xml:space="preserve"> 本办法解释权属于郑州商品交易所。</w:t>
      </w:r>
    </w:p>
    <w:p>
      <w:pPr>
        <w:ind w:firstLine="560" w:firstLineChars="200"/>
        <w:rPr>
          <w:rFonts w:hint="eastAsia" w:ascii="宋体" w:hAnsi="宋体" w:eastAsia="宋体" w:cs="宋体"/>
          <w:sz w:val="28"/>
          <w:szCs w:val="28"/>
          <w:highlight w:val="none"/>
        </w:rPr>
      </w:pPr>
      <w:r>
        <w:rPr>
          <w:rFonts w:hint="eastAsia" w:ascii="黑体" w:hAnsi="黑体" w:eastAsia="黑体" w:cs="黑体"/>
          <w:sz w:val="28"/>
          <w:szCs w:val="28"/>
          <w:highlight w:val="none"/>
        </w:rPr>
        <w:t>第三十二条</w:t>
      </w:r>
      <w:r>
        <w:rPr>
          <w:rFonts w:hint="eastAsia" w:ascii="宋体" w:hAnsi="宋体" w:eastAsia="宋体" w:cs="宋体"/>
          <w:sz w:val="28"/>
          <w:szCs w:val="28"/>
          <w:highlight w:val="none"/>
        </w:rPr>
        <w:t xml:space="preserve"> 本办法自</w:t>
      </w:r>
      <w:r>
        <w:rPr>
          <w:rFonts w:hint="eastAsia" w:ascii="宋体" w:hAnsi="宋体" w:eastAsia="宋体" w:cs="宋体"/>
          <w:sz w:val="28"/>
          <w:szCs w:val="28"/>
          <w:highlight w:val="none"/>
          <w:lang w:val="en-US" w:eastAsia="zh-CN"/>
        </w:rPr>
        <w:t>2026</w:t>
      </w:r>
      <w:r>
        <w:rPr>
          <w:rFonts w:hint="eastAsia" w:ascii="宋体" w:hAnsi="宋体" w:eastAsia="宋体" w:cs="宋体"/>
          <w:sz w:val="28"/>
          <w:szCs w:val="28"/>
          <w:highlight w:val="none"/>
        </w:rPr>
        <w:t>年</w:t>
      </w:r>
      <w:r>
        <w:rPr>
          <w:rFonts w:hint="default" w:ascii="宋体" w:hAnsi="宋体" w:cs="宋体"/>
          <w:sz w:val="28"/>
          <w:szCs w:val="28"/>
          <w:highlight w:val="none"/>
          <w:lang w:val="en-US" w:eastAsia="zh-CN"/>
        </w:rPr>
        <w:t>5</w:t>
      </w:r>
      <w:r>
        <w:rPr>
          <w:rFonts w:hint="eastAsia" w:ascii="宋体" w:hAnsi="宋体" w:eastAsia="宋体" w:cs="宋体"/>
          <w:sz w:val="28"/>
          <w:szCs w:val="28"/>
          <w:highlight w:val="none"/>
        </w:rPr>
        <w:t>月</w:t>
      </w:r>
      <w:r>
        <w:rPr>
          <w:rFonts w:hint="default" w:ascii="宋体" w:hAnsi="宋体" w:cs="宋体"/>
          <w:sz w:val="28"/>
          <w:szCs w:val="28"/>
          <w:highlight w:val="none"/>
          <w:lang w:val="en-US" w:eastAsia="zh-CN"/>
        </w:rPr>
        <w:t>7</w:t>
      </w:r>
      <w:r>
        <w:rPr>
          <w:rFonts w:hint="eastAsia" w:ascii="宋体" w:hAnsi="宋体" w:eastAsia="宋体" w:cs="宋体"/>
          <w:sz w:val="28"/>
          <w:szCs w:val="28"/>
          <w:highlight w:val="none"/>
        </w:rPr>
        <w:t>日起施行。</w:t>
      </w:r>
    </w:p>
    <w:p>
      <w:pPr>
        <w:rPr>
          <w:rFonts w:hint="eastAsia" w:ascii="仿宋" w:hAnsi="仿宋" w:eastAsia="仿宋"/>
          <w:sz w:val="32"/>
          <w:szCs w:val="32"/>
          <w:highlight w:val="none"/>
          <w:lang w:val="en-US" w:eastAsia="zh-CN"/>
        </w:rPr>
      </w:pPr>
      <w:r>
        <w:rPr>
          <w:rFonts w:hint="eastAsia" w:ascii="仿宋" w:hAnsi="仿宋" w:eastAsia="仿宋"/>
          <w:sz w:val="32"/>
          <w:szCs w:val="32"/>
          <w:highlight w:val="none"/>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13</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郑州商品交易所套利交易管理办法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对《郑州商品交易所套利交易管理办法》作如下修订：</w:t>
      </w:r>
    </w:p>
    <w:p>
      <w:pPr>
        <w:keepNext w:val="0"/>
        <w:keepLines w:val="0"/>
        <w:pageBreakBefore w:val="0"/>
        <w:widowControl w:val="0"/>
        <w:numPr>
          <w:ilvl w:val="0"/>
          <w:numId w:val="1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将第一章第二条修订为：“会员、境外特殊参与者、境外中介机构、客户在郑州商品交易所（以下简称交易所）从事套利业务应当遵守本办法。”</w:t>
      </w:r>
    </w:p>
    <w:p>
      <w:pPr>
        <w:keepNext w:val="0"/>
        <w:keepLines w:val="0"/>
        <w:pageBreakBefore w:val="0"/>
        <w:widowControl w:val="0"/>
        <w:numPr>
          <w:ilvl w:val="0"/>
          <w:numId w:val="17"/>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将第二章第三条修订为：“套利交易分为期货套利、期权套利和期货与期权套利。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套利包括跨期套利和跨品种套利。跨期套利是指非期货公司会员、境外特殊非经纪参与者、客户在同一期货品种不同合约月份进行数量相等、买卖方向相反的期货交易方式。跨品种套利是指非期货公司会员、境外特殊非经纪参与者、客户在不同期货品种合约间进行数量相等、买卖方向相反的期货交易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“适用跨品种套利的具体品种由交易所公告。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“期权套利、期货与期权套利的方式适用《郑州商品交易所期权交易管理办法》有关规定。”</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四条修订为：“对于期货与期权套利，结算时由交易所自动确认。对于其他套利方式，非期货公司会员、境外特殊非经纪参与者、客户可以通过对历史持仓确认的方式建立套利持仓，也可以通过套利指令直接建立套利持仓。”</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五条修订为：“套利持仓实行限仓制度。对于期货合约，非期货公司会员、境外特殊非经纪参与者、客户所拥有的一般月份或交割月前一个月份投机持仓与套利持仓之和，不得超过同期期货合约投机持仓限仓标准的2倍，其中投机持仓不得超过相应投机持仓限仓标准。非期货公司会员、境外特殊非经纪参与者、客户所拥有的交割月份投机持仓与套利持仓之和，不得超过交割月投机持仓限仓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于期权合约，非期货公司会员、境外特殊非经纪参与者、客户所拥有的按单边计算的某月份期权合约投机持仓与套利持仓之和，不得超过期权合约投机持仓限仓标准的2倍，其中投机持仓不得超过相应投机持仓限仓标准。”</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九条修订为：“非期货公司会员、境外特殊非经纪参与者、客户所拥有的投机持仓和套利持仓之和超过交易所规定标准的，应当在下一交易日第一节交易结束前自行调整；逾期未进行调整或调整后仍不符合要求的，交易所可以强行平仓。”</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条修订为：“非期货公司会员、境外特殊非经纪参与者、客户在进行套利交易时，存在欺诈、市场操纵等违法违规行为的，交易所可以对其采取谈话提醒、警告、通报批评、暂停开仓、强行平仓等监管措施，并按照《郑州商品交易所违规处理办法》的有关规定处理。”</w:t>
      </w:r>
    </w:p>
    <w:p>
      <w:pPr>
        <w:widowControl/>
        <w:jc w:val="center"/>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《郑州商品交易所套利交易管理办法》</w:t>
      </w:r>
    </w:p>
    <w:p>
      <w:pPr>
        <w:widowControl/>
        <w:jc w:val="center"/>
        <w:rPr>
          <w:rFonts w:hint="eastAsia" w:ascii="方正小标宋简体" w:hAnsi="方正小标宋简体" w:eastAsia="方正小标宋简体" w:cs="方正小标宋简体"/>
          <w:b w:val="0"/>
          <w:bCs/>
          <w:sz w:val="40"/>
          <w:szCs w:val="40"/>
          <w:highlight w:val="none"/>
          <w:lang w:eastAsia="zh-CN"/>
        </w:rPr>
      </w:pPr>
      <w:r>
        <w:rPr>
          <w:rFonts w:hint="eastAsia" w:ascii="方正小标宋简体" w:hAnsi="方正小标宋简体" w:eastAsia="方正小标宋简体" w:cs="方正小标宋简体"/>
          <w:b w:val="0"/>
          <w:bCs/>
          <w:sz w:val="40"/>
          <w:szCs w:val="40"/>
          <w:highlight w:val="none"/>
        </w:rPr>
        <w:t>修订对照表</w:t>
      </w:r>
    </w:p>
    <w:p>
      <w:pPr>
        <w:widowControl/>
        <w:spacing w:line="360" w:lineRule="auto"/>
        <w:jc w:val="center"/>
        <w:outlineLvl w:val="0"/>
        <w:rPr>
          <w:rFonts w:ascii="仿宋" w:hAnsi="仿宋" w:eastAsia="仿宋"/>
          <w:sz w:val="32"/>
          <w:szCs w:val="32"/>
          <w:highlight w:val="none"/>
        </w:rPr>
      </w:pPr>
      <w:r>
        <w:rPr>
          <w:rFonts w:hint="eastAsia" w:ascii="仿宋" w:hAnsi="仿宋" w:eastAsia="仿宋" w:cs="Calibri"/>
          <w:sz w:val="32"/>
          <w:szCs w:val="32"/>
          <w:highlight w:val="none"/>
        </w:rPr>
        <w:t>（删除线部分为删除，下划线加粗部分为修改增加）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lang w:eastAsia="zh-CN"/>
              </w:rPr>
              <w:t>修订前</w:t>
            </w:r>
            <w:r>
              <w:rPr>
                <w:rFonts w:hint="eastAsia" w:ascii="仿宋" w:hAnsi="仿宋" w:eastAsia="仿宋"/>
                <w:b/>
                <w:bCs/>
                <w:sz w:val="24"/>
                <w:highlight w:val="none"/>
              </w:rPr>
              <w:t>条文</w:t>
            </w:r>
          </w:p>
        </w:tc>
        <w:tc>
          <w:tcPr>
            <w:tcW w:w="4261" w:type="dxa"/>
            <w:noWrap w:val="0"/>
            <w:vAlign w:val="center"/>
          </w:tcPr>
          <w:p>
            <w:pPr>
              <w:snapToGrid w:val="0"/>
              <w:spacing w:line="276" w:lineRule="auto"/>
              <w:jc w:val="center"/>
              <w:rPr>
                <w:rFonts w:ascii="仿宋" w:hAnsi="仿宋" w:eastAsia="仿宋" w:cs="Calibri"/>
                <w:b/>
                <w:bCs/>
                <w:sz w:val="24"/>
                <w:highlight w:val="none"/>
              </w:rPr>
            </w:pPr>
            <w:r>
              <w:rPr>
                <w:rFonts w:hint="eastAsia" w:ascii="仿宋" w:hAnsi="仿宋" w:eastAsia="仿宋"/>
                <w:b/>
                <w:bCs/>
                <w:sz w:val="24"/>
                <w:highlight w:val="none"/>
              </w:rPr>
              <w:t>修订</w:t>
            </w:r>
            <w:r>
              <w:rPr>
                <w:rFonts w:hint="eastAsia" w:ascii="仿宋" w:hAnsi="仿宋" w:eastAsia="仿宋"/>
                <w:b/>
                <w:bCs/>
                <w:sz w:val="24"/>
                <w:highlight w:val="none"/>
                <w:lang w:eastAsia="zh-CN"/>
              </w:rPr>
              <w:t>后</w:t>
            </w:r>
            <w:r>
              <w:rPr>
                <w:rFonts w:hint="eastAsia" w:ascii="仿宋" w:hAnsi="仿宋" w:eastAsia="仿宋"/>
                <w:b/>
                <w:bCs/>
                <w:sz w:val="24"/>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2"/>
            <w:noWrap w:val="0"/>
            <w:vAlign w:val="center"/>
          </w:tcPr>
          <w:p>
            <w:pPr>
              <w:pStyle w:val="15"/>
              <w:numPr>
                <w:ilvl w:val="0"/>
                <w:numId w:val="18"/>
              </w:numPr>
              <w:ind w:firstLineChars="0"/>
              <w:jc w:val="center"/>
              <w:rPr>
                <w:rFonts w:ascii="黑体" w:hAnsi="黑体" w:eastAsia="黑体"/>
                <w:sz w:val="24"/>
                <w:szCs w:val="24"/>
                <w:highlight w:val="none"/>
              </w:rPr>
            </w:pPr>
            <w:r>
              <w:rPr>
                <w:rFonts w:hint="eastAsia" w:ascii="仿宋" w:hAnsi="仿宋" w:eastAsia="仿宋" w:cs="Arial"/>
                <w:b/>
                <w:bCs/>
                <w:color w:val="000000"/>
                <w:sz w:val="24"/>
                <w:szCs w:val="24"/>
                <w:highlight w:val="none"/>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 xml:space="preserve"> 第二条</w:t>
            </w:r>
            <w:r>
              <w:rPr>
                <w:rFonts w:ascii="仿宋" w:hAnsi="仿宋" w:eastAsia="仿宋"/>
                <w:sz w:val="24"/>
                <w:highlight w:val="none"/>
              </w:rPr>
              <w:t xml:space="preserve"> 非期货公司会员、客户在郑州商品交易所（以下简称交易所）从事套利业务应当遵守本办法。</w:t>
            </w:r>
          </w:p>
        </w:tc>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 xml:space="preserve">第二条 </w:t>
            </w:r>
            <w:r>
              <w:rPr>
                <w:rFonts w:ascii="仿宋" w:hAnsi="仿宋" w:eastAsia="仿宋"/>
                <w:dstrike/>
                <w:sz w:val="24"/>
                <w:highlight w:val="none"/>
              </w:rPr>
              <w:t>非期货公司</w:t>
            </w:r>
            <w:r>
              <w:rPr>
                <w:rFonts w:ascii="仿宋" w:hAnsi="仿宋" w:eastAsia="仿宋"/>
                <w:sz w:val="24"/>
                <w:highlight w:val="none"/>
              </w:rPr>
              <w:t>会员、</w:t>
            </w:r>
            <w:r>
              <w:rPr>
                <w:rFonts w:ascii="仿宋" w:hAnsi="仿宋" w:eastAsia="仿宋"/>
                <w:b/>
                <w:sz w:val="24"/>
                <w:highlight w:val="none"/>
                <w:u w:val="single"/>
              </w:rPr>
              <w:t>境外特殊参与者、境外中介机构、</w:t>
            </w:r>
            <w:r>
              <w:rPr>
                <w:rFonts w:ascii="仿宋" w:hAnsi="仿宋" w:eastAsia="仿宋"/>
                <w:sz w:val="24"/>
                <w:highlight w:val="none"/>
              </w:rPr>
              <w:t>客户在郑州商品交易所（以下简称交易所）从事套利业务应当遵守本办法。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2"/>
            <w:noWrap w:val="0"/>
            <w:vAlign w:val="center"/>
          </w:tcPr>
          <w:p>
            <w:pPr>
              <w:jc w:val="center"/>
              <w:rPr>
                <w:rFonts w:ascii="黑体" w:hAnsi="黑体" w:eastAsia="黑体"/>
                <w:sz w:val="24"/>
                <w:highlight w:val="none"/>
              </w:rPr>
            </w:pPr>
            <w:r>
              <w:rPr>
                <w:rFonts w:hint="eastAsia" w:ascii="仿宋" w:hAnsi="仿宋" w:eastAsia="仿宋" w:cs="Arial"/>
                <w:b/>
                <w:bCs/>
                <w:color w:val="000000"/>
                <w:sz w:val="24"/>
                <w:highlight w:val="none"/>
              </w:rPr>
              <w:t>第二章 套利交易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 xml:space="preserve"> 第三条 </w:t>
            </w:r>
            <w:r>
              <w:rPr>
                <w:rFonts w:ascii="仿宋" w:hAnsi="仿宋" w:eastAsia="仿宋"/>
                <w:sz w:val="24"/>
                <w:highlight w:val="none"/>
              </w:rPr>
              <w:t xml:space="preserve">套利交易分为期货套利、期权套利和期货与期权套利。 </w:t>
            </w:r>
          </w:p>
          <w:p>
            <w:pPr>
              <w:ind w:firstLine="480"/>
              <w:rPr>
                <w:rFonts w:ascii="仿宋" w:hAnsi="仿宋" w:eastAsia="仿宋"/>
                <w:sz w:val="24"/>
                <w:highlight w:val="none"/>
              </w:rPr>
            </w:pPr>
            <w:r>
              <w:rPr>
                <w:rFonts w:ascii="仿宋" w:hAnsi="仿宋" w:eastAsia="仿宋"/>
                <w:sz w:val="24"/>
                <w:highlight w:val="none"/>
              </w:rPr>
              <w:t xml:space="preserve">期货套利包括跨期套利和跨品种套利。跨期套利是指非期货公司会员、客户在同一期货品种不同合约月份进行数量相等、买卖方向相反的期货交易方式。跨品种套利是指非期货公司会员、客户在不同期货品种合约间进行数量相等、买卖方向相反的期货交易方式。 </w:t>
            </w:r>
          </w:p>
          <w:p>
            <w:pPr>
              <w:ind w:firstLine="480"/>
              <w:rPr>
                <w:rFonts w:ascii="仿宋" w:hAnsi="仿宋" w:eastAsia="仿宋"/>
                <w:sz w:val="24"/>
                <w:highlight w:val="none"/>
              </w:rPr>
            </w:pPr>
            <w:r>
              <w:rPr>
                <w:rFonts w:ascii="仿宋" w:hAnsi="仿宋" w:eastAsia="仿宋"/>
                <w:sz w:val="24"/>
                <w:highlight w:val="none"/>
              </w:rPr>
              <w:t xml:space="preserve">适用跨品种套利的具体品种由交易所公告。 </w:t>
            </w:r>
          </w:p>
          <w:p>
            <w:pPr>
              <w:ind w:firstLine="480"/>
              <w:rPr>
                <w:rFonts w:ascii="仿宋" w:hAnsi="仿宋" w:eastAsia="仿宋"/>
                <w:sz w:val="24"/>
                <w:highlight w:val="none"/>
              </w:rPr>
            </w:pPr>
            <w:r>
              <w:rPr>
                <w:rFonts w:ascii="仿宋" w:hAnsi="仿宋" w:eastAsia="仿宋"/>
                <w:sz w:val="24"/>
                <w:highlight w:val="none"/>
              </w:rPr>
              <w:t>期权套利、期货与期权套利的方式适用《郑州商品交易所期权交易管理办法》有关规定。</w:t>
            </w:r>
          </w:p>
        </w:tc>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第三条</w:t>
            </w:r>
            <w:r>
              <w:rPr>
                <w:rFonts w:ascii="仿宋" w:hAnsi="仿宋" w:eastAsia="仿宋"/>
                <w:sz w:val="24"/>
                <w:highlight w:val="none"/>
              </w:rPr>
              <w:t xml:space="preserve"> 套利交易分为期货套利、期权套利和期货与期权套利。</w:t>
            </w:r>
          </w:p>
          <w:p>
            <w:pPr>
              <w:ind w:firstLine="480"/>
              <w:rPr>
                <w:rFonts w:ascii="仿宋" w:hAnsi="仿宋" w:eastAsia="仿宋"/>
                <w:sz w:val="24"/>
                <w:highlight w:val="none"/>
              </w:rPr>
            </w:pPr>
            <w:r>
              <w:rPr>
                <w:rFonts w:ascii="仿宋" w:hAnsi="仿宋" w:eastAsia="仿宋"/>
                <w:sz w:val="24"/>
                <w:highlight w:val="none"/>
              </w:rPr>
              <w:t>期货套利包括跨期套利和跨品种套利。跨期套利是指非期货公司会员、</w:t>
            </w:r>
            <w:r>
              <w:rPr>
                <w:rFonts w:ascii="仿宋" w:hAnsi="仿宋" w:eastAsia="仿宋"/>
                <w:b/>
                <w:sz w:val="24"/>
                <w:highlight w:val="none"/>
                <w:u w:val="single"/>
              </w:rPr>
              <w:t>境外特殊非经纪参与者、</w:t>
            </w:r>
            <w:r>
              <w:rPr>
                <w:rFonts w:ascii="仿宋" w:hAnsi="仿宋" w:eastAsia="仿宋"/>
                <w:sz w:val="24"/>
                <w:highlight w:val="none"/>
              </w:rPr>
              <w:t>客户在同一期货品种不同合约月份进行数量相等、买卖方向相反的期货交易方式。跨品种套利是指非期货公司会员、</w:t>
            </w:r>
            <w:r>
              <w:rPr>
                <w:rFonts w:ascii="仿宋" w:hAnsi="仿宋" w:eastAsia="仿宋"/>
                <w:b/>
                <w:sz w:val="24"/>
                <w:highlight w:val="none"/>
                <w:u w:val="single"/>
              </w:rPr>
              <w:t>境外特殊非经纪参与者、</w:t>
            </w:r>
            <w:r>
              <w:rPr>
                <w:rFonts w:ascii="仿宋" w:hAnsi="仿宋" w:eastAsia="仿宋"/>
                <w:sz w:val="24"/>
                <w:highlight w:val="none"/>
              </w:rPr>
              <w:t xml:space="preserve">客户在不同期货品种合约间进行数量相等、买卖方向相反的期货交易方式。 </w:t>
            </w:r>
          </w:p>
          <w:p>
            <w:pPr>
              <w:ind w:firstLine="480"/>
              <w:rPr>
                <w:rFonts w:ascii="仿宋" w:hAnsi="仿宋" w:eastAsia="仿宋"/>
                <w:sz w:val="24"/>
                <w:highlight w:val="none"/>
              </w:rPr>
            </w:pPr>
            <w:r>
              <w:rPr>
                <w:rFonts w:ascii="仿宋" w:hAnsi="仿宋" w:eastAsia="仿宋"/>
                <w:sz w:val="24"/>
                <w:highlight w:val="none"/>
              </w:rPr>
              <w:t xml:space="preserve">适用跨品种套利的具体品种由交易所公告。 </w:t>
            </w:r>
          </w:p>
          <w:p>
            <w:pPr>
              <w:ind w:firstLine="480"/>
              <w:rPr>
                <w:rFonts w:ascii="仿宋" w:hAnsi="仿宋" w:eastAsia="仿宋"/>
                <w:sz w:val="24"/>
                <w:highlight w:val="none"/>
              </w:rPr>
            </w:pPr>
            <w:r>
              <w:rPr>
                <w:rFonts w:ascii="仿宋" w:hAnsi="仿宋" w:eastAsia="仿宋"/>
                <w:sz w:val="24"/>
                <w:highlight w:val="none"/>
              </w:rPr>
              <w:t>期权套利、期货与期权套利的方式适用《郑州商品交易所期权交易管理办法》有关规定。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 xml:space="preserve">第四条 </w:t>
            </w:r>
            <w:r>
              <w:rPr>
                <w:rFonts w:ascii="仿宋" w:hAnsi="仿宋" w:eastAsia="仿宋"/>
                <w:sz w:val="24"/>
                <w:highlight w:val="none"/>
              </w:rPr>
              <w:t>对于期货与期权套利，结算时由交易所自动确认。对于其他套利方式，非期货公司会员、客户可以通过对历史持仓确认的方式建立套利持仓，也可以通过套利指令直接建立套利持仓。</w:t>
            </w:r>
          </w:p>
        </w:tc>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 xml:space="preserve">第四条 </w:t>
            </w:r>
            <w:r>
              <w:rPr>
                <w:rFonts w:ascii="仿宋" w:hAnsi="仿宋" w:eastAsia="仿宋"/>
                <w:sz w:val="24"/>
                <w:highlight w:val="none"/>
              </w:rPr>
              <w:t>对于期货与期权套利，结算时由交易所自动确认。对于其他套利方式，非期货公司会员、</w:t>
            </w:r>
            <w:r>
              <w:rPr>
                <w:rFonts w:ascii="仿宋" w:hAnsi="仿宋" w:eastAsia="仿宋"/>
                <w:b/>
                <w:sz w:val="24"/>
                <w:highlight w:val="none"/>
                <w:u w:val="single"/>
              </w:rPr>
              <w:t>境外特殊非经纪参与者、</w:t>
            </w:r>
            <w:r>
              <w:rPr>
                <w:rFonts w:ascii="仿宋" w:hAnsi="仿宋" w:eastAsia="仿宋"/>
                <w:sz w:val="24"/>
                <w:highlight w:val="none"/>
              </w:rPr>
              <w:t>客户可以通过对历史持仓确认的方式建立套利持仓，也可以通过套利指令直接建立套利持仓。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 xml:space="preserve">第五条 </w:t>
            </w:r>
            <w:r>
              <w:rPr>
                <w:rFonts w:ascii="仿宋" w:hAnsi="仿宋" w:eastAsia="仿宋"/>
                <w:sz w:val="24"/>
                <w:highlight w:val="none"/>
              </w:rPr>
              <w:t xml:space="preserve">套利持仓实行限仓制度。对于期货合约，非期货公司会员、客户所拥有的一般月份或交割月前一个月份投机持仓与套利持仓之和，不得超过同期期货合约投机持仓限仓标准的2倍，其中投机持仓不得超过相应投机持仓限仓标准。非期货公司会员、客户所拥有的交割月份投机持仓与套利持仓之和，不得超过交割月投机持仓限仓标准。 </w:t>
            </w:r>
          </w:p>
          <w:p>
            <w:pPr>
              <w:ind w:firstLine="480"/>
              <w:rPr>
                <w:rFonts w:ascii="仿宋" w:hAnsi="仿宋" w:eastAsia="仿宋"/>
                <w:sz w:val="24"/>
                <w:highlight w:val="none"/>
              </w:rPr>
            </w:pPr>
            <w:r>
              <w:rPr>
                <w:rFonts w:ascii="仿宋" w:hAnsi="仿宋" w:eastAsia="仿宋"/>
                <w:sz w:val="24"/>
                <w:highlight w:val="none"/>
              </w:rPr>
              <w:t>对于期权合约，非期货公司会员、客户所拥有的按单边计算的某月份期权合约投机持仓与套利持仓之和，不得超过期权合约投机持仓限仓标准的2倍，其中投机持仓不得超过相应投机持仓限仓标准。</w:t>
            </w:r>
          </w:p>
        </w:tc>
        <w:tc>
          <w:tcPr>
            <w:tcW w:w="4261" w:type="dxa"/>
            <w:noWrap w:val="0"/>
            <w:vAlign w:val="top"/>
          </w:tcPr>
          <w:p>
            <w:pPr>
              <w:ind w:firstLine="480"/>
              <w:rPr>
                <w:rFonts w:ascii="仿宋" w:hAnsi="仿宋" w:eastAsia="仿宋"/>
                <w:sz w:val="24"/>
                <w:highlight w:val="none"/>
              </w:rPr>
            </w:pPr>
            <w:r>
              <w:rPr>
                <w:rFonts w:ascii="仿宋" w:hAnsi="仿宋" w:eastAsia="仿宋"/>
                <w:b/>
                <w:sz w:val="24"/>
                <w:highlight w:val="none"/>
              </w:rPr>
              <w:t>第五条</w:t>
            </w:r>
            <w:r>
              <w:rPr>
                <w:rFonts w:ascii="仿宋" w:hAnsi="仿宋" w:eastAsia="仿宋"/>
                <w:sz w:val="24"/>
                <w:highlight w:val="none"/>
              </w:rPr>
              <w:t xml:space="preserve"> 套利持仓实行限仓制度。对于期货合约，非期货公司会员、</w:t>
            </w:r>
            <w:r>
              <w:rPr>
                <w:rFonts w:ascii="仿宋" w:hAnsi="仿宋" w:eastAsia="仿宋"/>
                <w:b/>
                <w:sz w:val="24"/>
                <w:highlight w:val="none"/>
                <w:u w:val="single"/>
              </w:rPr>
              <w:t>境外特殊非经纪参与者、</w:t>
            </w:r>
            <w:r>
              <w:rPr>
                <w:rFonts w:ascii="仿宋" w:hAnsi="仿宋" w:eastAsia="仿宋"/>
                <w:sz w:val="24"/>
                <w:highlight w:val="none"/>
              </w:rPr>
              <w:t>客户所拥有的一般月份或交割月前一个月份投机持仓与套利持仓之和，不得超过同期期货合约投机持仓限仓标准的2倍，其中投机持仓不得超过相应投机持仓限仓标准。非期货公司会员、</w:t>
            </w:r>
            <w:r>
              <w:rPr>
                <w:rFonts w:ascii="仿宋" w:hAnsi="仿宋" w:eastAsia="仿宋"/>
                <w:b/>
                <w:sz w:val="24"/>
                <w:highlight w:val="none"/>
                <w:u w:val="single"/>
              </w:rPr>
              <w:t>境外特殊非经纪参与者、</w:t>
            </w:r>
            <w:r>
              <w:rPr>
                <w:rFonts w:ascii="仿宋" w:hAnsi="仿宋" w:eastAsia="仿宋"/>
                <w:sz w:val="24"/>
                <w:highlight w:val="none"/>
              </w:rPr>
              <w:t xml:space="preserve">客户所拥有的交割月份投机持仓与套利持仓之和，不得超过交割月投机持仓限仓标准。 </w:t>
            </w:r>
          </w:p>
          <w:p>
            <w:pPr>
              <w:ind w:firstLine="480"/>
              <w:rPr>
                <w:rFonts w:ascii="仿宋" w:hAnsi="仿宋" w:eastAsia="仿宋"/>
                <w:sz w:val="24"/>
                <w:highlight w:val="none"/>
              </w:rPr>
            </w:pPr>
            <w:r>
              <w:rPr>
                <w:rFonts w:ascii="仿宋" w:hAnsi="仿宋" w:eastAsia="仿宋"/>
                <w:sz w:val="24"/>
                <w:highlight w:val="none"/>
              </w:rPr>
              <w:t>对于期权合约，非期货公司会员、</w:t>
            </w:r>
            <w:r>
              <w:rPr>
                <w:rFonts w:ascii="仿宋" w:hAnsi="仿宋" w:eastAsia="仿宋"/>
                <w:b/>
                <w:sz w:val="24"/>
                <w:highlight w:val="none"/>
                <w:u w:val="single"/>
              </w:rPr>
              <w:t>境外特殊非经纪参与者、</w:t>
            </w:r>
            <w:r>
              <w:rPr>
                <w:rFonts w:ascii="仿宋" w:hAnsi="仿宋" w:eastAsia="仿宋"/>
                <w:sz w:val="24"/>
                <w:highlight w:val="none"/>
              </w:rPr>
              <w:t>客户所拥有的按单边计算的某月份期权合约投机持仓与套利持仓之和，不得超过期权合约投机持仓限仓标准的2倍，其中投机持仓不得超过相应投机持仓限仓标准。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2"/>
            <w:noWrap w:val="0"/>
            <w:vAlign w:val="center"/>
          </w:tcPr>
          <w:p>
            <w:pPr>
              <w:jc w:val="center"/>
              <w:rPr>
                <w:rFonts w:ascii="仿宋" w:hAnsi="仿宋" w:eastAsia="仿宋" w:cs="Arial"/>
                <w:b/>
                <w:bCs/>
                <w:color w:val="000000"/>
                <w:sz w:val="24"/>
                <w:highlight w:val="none"/>
              </w:rPr>
            </w:pPr>
            <w:r>
              <w:rPr>
                <w:rFonts w:ascii="仿宋" w:hAnsi="仿宋" w:eastAsia="仿宋" w:cs="Arial"/>
                <w:b/>
                <w:bCs/>
                <w:color w:val="000000"/>
                <w:sz w:val="24"/>
                <w:highlight w:val="none"/>
              </w:rPr>
              <w:t>第三章</w:t>
            </w:r>
            <w:r>
              <w:rPr>
                <w:rFonts w:hint="eastAsia" w:ascii="仿宋" w:hAnsi="仿宋" w:eastAsia="仿宋" w:cs="Arial"/>
                <w:b/>
                <w:bCs/>
                <w:color w:val="000000"/>
                <w:sz w:val="24"/>
                <w:highlight w:val="none"/>
              </w:rPr>
              <w:t xml:space="preserve"> 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第九条</w:t>
            </w:r>
            <w:r>
              <w:rPr>
                <w:rFonts w:ascii="仿宋" w:hAnsi="仿宋" w:eastAsia="仿宋"/>
                <w:b/>
                <w:sz w:val="24"/>
                <w:highlight w:val="none"/>
              </w:rPr>
              <w:t xml:space="preserve"> </w:t>
            </w:r>
            <w:r>
              <w:rPr>
                <w:rFonts w:hint="eastAsia" w:ascii="仿宋" w:hAnsi="仿宋" w:eastAsia="仿宋"/>
                <w:sz w:val="24"/>
                <w:highlight w:val="none"/>
              </w:rPr>
              <w:t>非期货公司会员、客户所拥有的投机持仓和套利持仓之和超过交易所规定标准的，应当在下一交易日第一节交易结束前自行调整；逾期未进行调整或调整后仍不符合要求的，交易所可以强行平仓。</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第九条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客户所拥有的投机持仓和套利持仓之和超过交易所规定标准的，应当在下一交易日</w:t>
            </w:r>
            <w:r>
              <w:rPr>
                <w:rFonts w:hint="eastAsia" w:ascii="仿宋" w:hAnsi="仿宋" w:eastAsia="仿宋"/>
                <w:strike w:val="0"/>
                <w:dstrike w:val="0"/>
                <w:sz w:val="24"/>
                <w:highlight w:val="none"/>
              </w:rPr>
              <w:t>第一节交易结束</w:t>
            </w:r>
            <w:r>
              <w:rPr>
                <w:rFonts w:hint="eastAsia" w:ascii="仿宋" w:hAnsi="仿宋" w:eastAsia="仿宋"/>
                <w:sz w:val="24"/>
                <w:highlight w:val="none"/>
              </w:rPr>
              <w:t>前自行调整；逾期未进行调整或调整后仍不符合要求的，交易所可以强行平仓。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第十条</w:t>
            </w:r>
            <w:r>
              <w:rPr>
                <w:rFonts w:ascii="仿宋" w:hAnsi="仿宋" w:eastAsia="仿宋"/>
                <w:sz w:val="24"/>
                <w:highlight w:val="none"/>
              </w:rPr>
              <w:t xml:space="preserve"> </w:t>
            </w:r>
            <w:r>
              <w:rPr>
                <w:rFonts w:hint="eastAsia" w:ascii="仿宋" w:hAnsi="仿宋" w:eastAsia="仿宋"/>
                <w:sz w:val="24"/>
                <w:highlight w:val="none"/>
              </w:rPr>
              <w:t>非期货公司会员、客户在进行套利交易时，存在欺诈、市场操纵等违法违规行为的，交易所可以对其采取谈话提醒、警告、通报批评、暂停开仓、强行平仓等监管措施，并按照《郑州商品交易所违规处理办法》的有关规定处理。</w:t>
            </w:r>
            <w:r>
              <w:rPr>
                <w:rFonts w:ascii="仿宋" w:hAnsi="仿宋" w:eastAsia="仿宋"/>
                <w:sz w:val="24"/>
                <w:highlight w:val="none"/>
              </w:rPr>
              <w:t xml:space="preserve"> </w:t>
            </w:r>
          </w:p>
        </w:tc>
        <w:tc>
          <w:tcPr>
            <w:tcW w:w="4261" w:type="dxa"/>
            <w:noWrap w:val="0"/>
            <w:vAlign w:val="top"/>
          </w:tcPr>
          <w:p>
            <w:pPr>
              <w:ind w:firstLine="480"/>
              <w:rPr>
                <w:rFonts w:ascii="仿宋" w:hAnsi="仿宋" w:eastAsia="仿宋"/>
                <w:sz w:val="24"/>
                <w:highlight w:val="none"/>
              </w:rPr>
            </w:pPr>
            <w:r>
              <w:rPr>
                <w:rFonts w:hint="eastAsia" w:ascii="仿宋" w:hAnsi="仿宋" w:eastAsia="仿宋"/>
                <w:b/>
                <w:sz w:val="24"/>
                <w:highlight w:val="none"/>
              </w:rPr>
              <w:t>第十条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客户在进行套利交易时，存在欺诈、市场操纵等违法违规行为的，交易所可以对其采取谈话提醒、警告、通报批评、暂停开仓、强行平仓等监管措施，并按照《郑州商品交易所违规处理办法》的有关规定处理。</w:t>
            </w:r>
            <w:r>
              <w:rPr>
                <w:rFonts w:ascii="仿宋" w:hAnsi="仿宋" w:eastAsia="仿宋"/>
                <w:sz w:val="24"/>
                <w:highlight w:val="none"/>
              </w:rPr>
              <w:t xml:space="preserve"> </w:t>
            </w:r>
          </w:p>
        </w:tc>
      </w:tr>
    </w:tbl>
    <w:p>
      <w:pPr>
        <w:jc w:val="center"/>
        <w:rPr>
          <w:rFonts w:ascii="方正小标宋简体" w:hAnsi="宋体" w:eastAsia="方正小标宋简体" w:cs="宋体"/>
          <w:color w:val="000000"/>
          <w:kern w:val="0"/>
          <w:sz w:val="44"/>
          <w:szCs w:val="44"/>
          <w:highlight w:val="none"/>
        </w:rPr>
      </w:pPr>
      <w:r>
        <w:rPr>
          <w:highlight w:val="none"/>
        </w:rPr>
        <w:br w:type="page"/>
      </w:r>
      <w:r>
        <w:rPr>
          <w:rFonts w:hint="eastAsia" w:ascii="方正小标宋简体" w:hAnsi="宋体" w:eastAsia="方正小标宋简体" w:cs="宋体"/>
          <w:color w:val="000000"/>
          <w:kern w:val="0"/>
          <w:sz w:val="44"/>
          <w:szCs w:val="44"/>
          <w:highlight w:val="none"/>
        </w:rPr>
        <w:t>郑州商品交易所套利交易管理办法</w:t>
      </w:r>
    </w:p>
    <w:p>
      <w:pPr>
        <w:spacing w:beforeLines="100" w:afterLines="100" w:line="360" w:lineRule="auto"/>
        <w:ind w:firstLine="480" w:firstLineChars="200"/>
        <w:jc w:val="left"/>
        <w:rPr>
          <w:rFonts w:ascii="仿宋" w:hAnsi="仿宋" w:eastAsia="仿宋" w:cs="Arial"/>
          <w:bCs/>
          <w:color w:val="000000"/>
          <w:sz w:val="28"/>
          <w:szCs w:val="28"/>
          <w:highlight w:val="none"/>
        </w:rPr>
      </w:pPr>
      <w:bookmarkStart w:id="57" w:name="_Toc16873"/>
      <w:bookmarkStart w:id="58" w:name="_Toc394498370"/>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keepNext/>
        <w:keepLines/>
        <w:spacing w:beforeLines="50" w:afterLines="50" w:line="360" w:lineRule="auto"/>
        <w:jc w:val="center"/>
        <w:outlineLvl w:val="1"/>
        <w:rPr>
          <w:rFonts w:ascii="黑体" w:hAnsi="黑体" w:eastAsia="黑体" w:cs="Times New Roman"/>
          <w:bCs/>
          <w:kern w:val="0"/>
          <w:sz w:val="32"/>
          <w:szCs w:val="32"/>
          <w:highlight w:val="none"/>
        </w:rPr>
      </w:pPr>
      <w:r>
        <w:rPr>
          <w:rFonts w:hint="eastAsia" w:ascii="黑体" w:hAnsi="黑体" w:eastAsia="黑体" w:cs="Times New Roman"/>
          <w:bCs/>
          <w:kern w:val="0"/>
          <w:sz w:val="32"/>
          <w:szCs w:val="32"/>
          <w:highlight w:val="none"/>
        </w:rPr>
        <w:t>第一章 总 则</w:t>
      </w:r>
      <w:bookmarkEnd w:id="57"/>
      <w:bookmarkEnd w:id="58"/>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第一条</w:t>
      </w:r>
      <w:r>
        <w:rPr>
          <w:rFonts w:hint="eastAsia" w:ascii="宋体" w:hAnsi="宋体" w:eastAsia="宋体" w:cs="宋体"/>
          <w:kern w:val="0"/>
          <w:sz w:val="28"/>
          <w:szCs w:val="28"/>
          <w:highlight w:val="none"/>
        </w:rPr>
        <w:t xml:space="preserve"> 为规范套利交易业务管理，发挥期货市场功能，促进期货市场规范发展，根据《郑州商品交易所交易规则》等有关规定，制定本办法。</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第二条</w:t>
      </w:r>
      <w:r>
        <w:rPr>
          <w:rFonts w:hint="eastAsia" w:ascii="宋体" w:hAnsi="宋体" w:eastAsia="宋体" w:cs="宋体"/>
          <w:kern w:val="0"/>
          <w:sz w:val="28"/>
          <w:szCs w:val="28"/>
          <w:highlight w:val="none"/>
        </w:rPr>
        <w:t xml:space="preserve"> 会员、境外特殊参与者、境外中介机构、客户在郑州商品交易所（以下简称交易所）从事套利业务应当遵守本办法。</w:t>
      </w:r>
    </w:p>
    <w:p>
      <w:pPr>
        <w:keepNext/>
        <w:keepLines/>
        <w:spacing w:beforeLines="50" w:afterLines="50" w:line="360" w:lineRule="auto"/>
        <w:jc w:val="center"/>
        <w:outlineLvl w:val="1"/>
        <w:rPr>
          <w:rFonts w:ascii="黑体" w:hAnsi="黑体" w:eastAsia="黑体" w:cs="Times New Roman"/>
          <w:bCs/>
          <w:kern w:val="0"/>
          <w:sz w:val="32"/>
          <w:szCs w:val="32"/>
          <w:highlight w:val="none"/>
        </w:rPr>
      </w:pPr>
      <w:bookmarkStart w:id="59" w:name="_Toc22219"/>
      <w:bookmarkStart w:id="60" w:name="_Toc394498371"/>
      <w:r>
        <w:rPr>
          <w:rFonts w:hint="eastAsia" w:ascii="黑体" w:hAnsi="黑体" w:eastAsia="黑体" w:cs="Times New Roman"/>
          <w:bCs/>
          <w:kern w:val="0"/>
          <w:sz w:val="32"/>
          <w:szCs w:val="32"/>
          <w:highlight w:val="none"/>
        </w:rPr>
        <w:t>第二章 套利交易</w:t>
      </w:r>
      <w:bookmarkEnd w:id="59"/>
      <w:bookmarkEnd w:id="60"/>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第三条</w:t>
      </w:r>
      <w:r>
        <w:rPr>
          <w:rFonts w:hint="eastAsia" w:ascii="宋体" w:hAnsi="宋体" w:eastAsia="宋体" w:cs="宋体"/>
          <w:kern w:val="0"/>
          <w:sz w:val="28"/>
          <w:szCs w:val="28"/>
          <w:highlight w:val="none"/>
        </w:rPr>
        <w:t xml:space="preserve"> 套利交易分为期货套利、期权套利和期货与期权套利。</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期货套利包括跨期套利和跨品种套利。跨期套利是指非期货公司会员、境外特殊非经纪参与者、客户在同一期货品种不同合约月份进行数量相等、买卖方向相反的期货交易方式。跨品种套利是指非期货公司会员、境外特殊非经纪参与者、客户在不同期货品种合约间进行数量相等、买卖方向相反的期货交易方式。</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适用跨品种套利的具体品种由交易所公告。</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期权套利、期货与期权套利的方式适用《郑州商品交易所期权交易管理办法》有关规定。</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第四条</w:t>
      </w:r>
      <w:r>
        <w:rPr>
          <w:rFonts w:hint="eastAsia" w:ascii="宋体" w:hAnsi="宋体" w:eastAsia="宋体" w:cs="宋体"/>
          <w:kern w:val="0"/>
          <w:sz w:val="28"/>
          <w:szCs w:val="28"/>
          <w:highlight w:val="none"/>
        </w:rPr>
        <w:t xml:space="preserve"> 对于期货与期权套利，结算时由交易所自动确认。对于其他套利方式，非期货公司会员、境外特殊非经纪参与者、客户可以通过对历史持仓确认的方式建立套利持仓，也可以通过套利指令直接建立套利持仓。</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第五条</w:t>
      </w:r>
      <w:r>
        <w:rPr>
          <w:rFonts w:hint="eastAsia" w:ascii="宋体" w:hAnsi="宋体" w:eastAsia="宋体" w:cs="宋体"/>
          <w:kern w:val="0"/>
          <w:sz w:val="28"/>
          <w:szCs w:val="28"/>
          <w:highlight w:val="none"/>
        </w:rPr>
        <w:t xml:space="preserve"> 套利持仓实行限仓制度。对于期货合约，非期货公司会员、境外特殊非经纪参与者、客户所拥有的一般月份或交割月前一个月份投机持仓与套利持仓之和，不得超过同期期货合约投机持仓限仓标准的2倍，其中投机持仓不得超过相应投机持仓限仓标准。非期货公司会员、境外特殊非经纪参与者、客户所拥有的交割月份投机持仓与套利持仓之和，不得超过交割月投机持仓限仓标准。</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对于期权合约，非期货公司会员、境外特殊非经纪参与者、客户所拥有的按单边计算的某月份期权合约投机持仓与套利持仓之和，不得超过期权合约投机持仓限仓标准的2倍，其中投机持仓不得超过相应投机持仓限仓标准。</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第六条</w:t>
      </w:r>
      <w:r>
        <w:rPr>
          <w:rFonts w:hint="eastAsia" w:ascii="宋体" w:hAnsi="宋体" w:eastAsia="宋体" w:cs="宋体"/>
          <w:kern w:val="0"/>
          <w:sz w:val="28"/>
          <w:szCs w:val="28"/>
          <w:highlight w:val="none"/>
        </w:rPr>
        <w:t xml:space="preserve"> 某合约的套利持仓平仓后，另一合约对应的套利持仓自动调整为投机持仓。</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 xml:space="preserve">第七条 </w:t>
      </w:r>
      <w:r>
        <w:rPr>
          <w:rFonts w:hint="eastAsia" w:ascii="宋体" w:hAnsi="宋体" w:eastAsia="宋体" w:cs="宋体"/>
          <w:kern w:val="0"/>
          <w:sz w:val="28"/>
          <w:szCs w:val="28"/>
          <w:highlight w:val="none"/>
        </w:rPr>
        <w:t>期货套利持仓交易保证金单边收取，按照套利持仓组合内交易保证金较高的合约收取。</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期权套利、期货与期权套利持仓交易保证金标准按照《郑州商品交易所期权交易管理办法》的有关规定执行。</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套利持仓平仓时，先返还套利持仓的交易保证金，再收取未平仓合约的交易保证金。</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第八条</w:t>
      </w:r>
      <w:r>
        <w:rPr>
          <w:rFonts w:hint="eastAsia" w:ascii="宋体" w:hAnsi="宋体" w:eastAsia="宋体" w:cs="宋体"/>
          <w:kern w:val="0"/>
          <w:sz w:val="28"/>
          <w:szCs w:val="28"/>
          <w:highlight w:val="none"/>
        </w:rPr>
        <w:t xml:space="preserve"> 交易所可以对套利指令交易手续费标准进行调整。</w:t>
      </w:r>
    </w:p>
    <w:p>
      <w:pPr>
        <w:keepNext/>
        <w:keepLines/>
        <w:spacing w:beforeLines="50" w:afterLines="50" w:line="360" w:lineRule="auto"/>
        <w:jc w:val="center"/>
        <w:outlineLvl w:val="1"/>
        <w:rPr>
          <w:rFonts w:ascii="黑体" w:hAnsi="黑体" w:eastAsia="黑体" w:cs="Times New Roman"/>
          <w:bCs/>
          <w:kern w:val="0"/>
          <w:sz w:val="32"/>
          <w:szCs w:val="32"/>
          <w:highlight w:val="none"/>
        </w:rPr>
      </w:pPr>
      <w:bookmarkStart w:id="61" w:name="_Toc394498372"/>
      <w:bookmarkStart w:id="62" w:name="_Toc20376"/>
      <w:r>
        <w:rPr>
          <w:rFonts w:hint="eastAsia" w:ascii="黑体" w:hAnsi="黑体" w:eastAsia="黑体" w:cs="Times New Roman"/>
          <w:bCs/>
          <w:kern w:val="0"/>
          <w:sz w:val="32"/>
          <w:szCs w:val="32"/>
          <w:highlight w:val="none"/>
        </w:rPr>
        <w:t>第三章 监督管理</w:t>
      </w:r>
      <w:bookmarkEnd w:id="61"/>
      <w:bookmarkEnd w:id="62"/>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第九条</w:t>
      </w:r>
      <w:r>
        <w:rPr>
          <w:rFonts w:hint="eastAsia" w:ascii="宋体" w:hAnsi="宋体" w:eastAsia="宋体" w:cs="宋体"/>
          <w:kern w:val="0"/>
          <w:sz w:val="28"/>
          <w:szCs w:val="28"/>
          <w:highlight w:val="none"/>
        </w:rPr>
        <w:t xml:space="preserve"> 非期货公司会员、境外特殊非经纪参与者、客户所拥有的投机持仓和套利持仓之和超过交易所规定标准的，应当在下一交易日第一节交易结束前自行调整；逾期未进行调整或调整后仍不符合要求的，交易所可以强行平仓。</w:t>
      </w:r>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第十条</w:t>
      </w:r>
      <w:r>
        <w:rPr>
          <w:rFonts w:hint="eastAsia" w:ascii="宋体" w:hAnsi="宋体" w:eastAsia="宋体" w:cs="宋体"/>
          <w:kern w:val="0"/>
          <w:sz w:val="28"/>
          <w:szCs w:val="28"/>
          <w:highlight w:val="none"/>
        </w:rPr>
        <w:t xml:space="preserve"> 非期货公司会员、境外特殊非经纪参与者、客户在进行套利交易时，存在欺诈、市场操纵等违法违规行为的，交易所可以对其采取谈话提醒、警告、通报批评、暂停开仓、强行平仓等监管措施，并按照《郑州商品交易所违规处理办法》的有关规定处理。</w:t>
      </w:r>
    </w:p>
    <w:p>
      <w:pPr>
        <w:keepNext/>
        <w:keepLines/>
        <w:spacing w:beforeLines="50" w:afterLines="50" w:line="360" w:lineRule="auto"/>
        <w:jc w:val="center"/>
        <w:outlineLvl w:val="1"/>
        <w:rPr>
          <w:rFonts w:ascii="黑体" w:hAnsi="黑体" w:eastAsia="黑体" w:cs="Times New Roman"/>
          <w:bCs/>
          <w:kern w:val="0"/>
          <w:sz w:val="32"/>
          <w:szCs w:val="32"/>
          <w:highlight w:val="none"/>
        </w:rPr>
      </w:pPr>
      <w:bookmarkStart w:id="63" w:name="_Toc32522"/>
      <w:bookmarkStart w:id="64" w:name="_Toc394498373"/>
      <w:r>
        <w:rPr>
          <w:rFonts w:hint="eastAsia" w:ascii="黑体" w:hAnsi="黑体" w:eastAsia="黑体" w:cs="Times New Roman"/>
          <w:bCs/>
          <w:kern w:val="0"/>
          <w:sz w:val="32"/>
          <w:szCs w:val="32"/>
          <w:highlight w:val="none"/>
          <w:lang w:eastAsia="zh-CN"/>
        </w:rPr>
        <w:t>第四章</w:t>
      </w:r>
      <w:r>
        <w:rPr>
          <w:rFonts w:hint="eastAsia" w:ascii="黑体" w:hAnsi="黑体" w:eastAsia="黑体" w:cs="Times New Roman"/>
          <w:bCs/>
          <w:kern w:val="0"/>
          <w:sz w:val="32"/>
          <w:szCs w:val="32"/>
          <w:highlight w:val="none"/>
          <w:lang w:val="en-US" w:eastAsia="zh-CN"/>
        </w:rPr>
        <w:t xml:space="preserve">  </w:t>
      </w:r>
      <w:r>
        <w:rPr>
          <w:rFonts w:hint="eastAsia" w:ascii="黑体" w:hAnsi="黑体" w:eastAsia="黑体" w:cs="Times New Roman"/>
          <w:bCs/>
          <w:kern w:val="0"/>
          <w:sz w:val="32"/>
          <w:szCs w:val="32"/>
          <w:highlight w:val="none"/>
        </w:rPr>
        <w:t>附 则</w:t>
      </w:r>
      <w:bookmarkEnd w:id="63"/>
      <w:bookmarkEnd w:id="64"/>
    </w:p>
    <w:p>
      <w:pPr>
        <w:widowControl/>
        <w:snapToGrid w:val="0"/>
        <w:spacing w:line="360" w:lineRule="auto"/>
        <w:ind w:firstLine="560" w:firstLineChars="200"/>
        <w:rPr>
          <w:rFonts w:hint="eastAsia" w:ascii="宋体" w:hAnsi="宋体" w:eastAsia="宋体" w:cs="宋体"/>
          <w:kern w:val="0"/>
          <w:sz w:val="28"/>
          <w:szCs w:val="28"/>
          <w:highlight w:val="none"/>
        </w:rPr>
      </w:pPr>
      <w:r>
        <w:rPr>
          <w:rFonts w:hint="eastAsia" w:ascii="黑体" w:hAnsi="黑体" w:eastAsia="黑体" w:cs="黑体"/>
          <w:kern w:val="0"/>
          <w:sz w:val="28"/>
          <w:szCs w:val="28"/>
          <w:highlight w:val="none"/>
        </w:rPr>
        <w:t>第十一条</w:t>
      </w:r>
      <w:r>
        <w:rPr>
          <w:rFonts w:hint="eastAsia" w:ascii="宋体" w:hAnsi="宋体" w:eastAsia="宋体" w:cs="宋体"/>
          <w:kern w:val="0"/>
          <w:sz w:val="28"/>
          <w:szCs w:val="28"/>
          <w:highlight w:val="none"/>
        </w:rPr>
        <w:t xml:space="preserve"> 本办法解释权归郑州商品交易所。</w:t>
      </w:r>
    </w:p>
    <w:p>
      <w:pPr>
        <w:widowControl/>
        <w:snapToGrid w:val="0"/>
        <w:spacing w:line="360" w:lineRule="auto"/>
        <w:ind w:firstLine="560" w:firstLineChars="200"/>
        <w:rPr>
          <w:rFonts w:hint="eastAsia" w:ascii="宋体" w:hAnsi="宋体" w:eastAsia="宋体" w:cs="宋体"/>
          <w:sz w:val="28"/>
          <w:szCs w:val="28"/>
          <w:highlight w:val="none"/>
        </w:rPr>
      </w:pPr>
      <w:r>
        <w:rPr>
          <w:rFonts w:hint="eastAsia" w:ascii="黑体" w:hAnsi="黑体" w:eastAsia="黑体" w:cs="黑体"/>
          <w:kern w:val="0"/>
          <w:sz w:val="28"/>
          <w:szCs w:val="28"/>
          <w:highlight w:val="none"/>
        </w:rPr>
        <w:t>第十二条</w:t>
      </w:r>
      <w:r>
        <w:rPr>
          <w:rFonts w:hint="eastAsia" w:ascii="宋体" w:hAnsi="宋体" w:eastAsia="宋体" w:cs="宋体"/>
          <w:kern w:val="0"/>
          <w:sz w:val="28"/>
          <w:szCs w:val="28"/>
          <w:highlight w:val="none"/>
        </w:rPr>
        <w:t xml:space="preserve"> 本办法自</w:t>
      </w:r>
      <w:r>
        <w:rPr>
          <w:rFonts w:hint="eastAsia" w:ascii="宋体" w:hAnsi="宋体" w:eastAsia="宋体" w:cs="宋体"/>
          <w:kern w:val="0"/>
          <w:sz w:val="28"/>
          <w:szCs w:val="28"/>
          <w:highlight w:val="none"/>
          <w:lang w:val="en-US" w:eastAsia="zh-CN"/>
        </w:rPr>
        <w:t>2026</w:t>
      </w:r>
      <w:r>
        <w:rPr>
          <w:rFonts w:hint="eastAsia" w:ascii="宋体" w:hAnsi="宋体" w:eastAsia="宋体" w:cs="宋体"/>
          <w:kern w:val="0"/>
          <w:sz w:val="28"/>
          <w:szCs w:val="28"/>
          <w:highlight w:val="none"/>
        </w:rPr>
        <w:t>年</w:t>
      </w:r>
      <w:r>
        <w:rPr>
          <w:rFonts w:hint="default" w:ascii="宋体" w:hAnsi="宋体" w:cs="宋体"/>
          <w:kern w:val="0"/>
          <w:sz w:val="28"/>
          <w:szCs w:val="28"/>
          <w:highlight w:val="none"/>
          <w:lang w:val="en-US" w:eastAsia="zh-CN"/>
        </w:rPr>
        <w:t>5</w:t>
      </w:r>
      <w:r>
        <w:rPr>
          <w:rFonts w:hint="eastAsia" w:ascii="宋体" w:hAnsi="宋体" w:eastAsia="宋体" w:cs="宋体"/>
          <w:kern w:val="0"/>
          <w:sz w:val="28"/>
          <w:szCs w:val="28"/>
          <w:highlight w:val="none"/>
        </w:rPr>
        <w:t>月</w:t>
      </w:r>
      <w:r>
        <w:rPr>
          <w:rFonts w:hint="default" w:ascii="宋体" w:hAnsi="宋体" w:cs="宋体"/>
          <w:kern w:val="0"/>
          <w:sz w:val="28"/>
          <w:szCs w:val="28"/>
          <w:highlight w:val="none"/>
          <w:lang w:val="en-US" w:eastAsia="zh-CN"/>
        </w:rPr>
        <w:t>7</w:t>
      </w:r>
      <w:r>
        <w:rPr>
          <w:rFonts w:hint="eastAsia" w:ascii="宋体" w:hAnsi="宋体" w:eastAsia="宋体" w:cs="宋体"/>
          <w:kern w:val="0"/>
          <w:sz w:val="28"/>
          <w:szCs w:val="28"/>
          <w:highlight w:val="none"/>
        </w:rPr>
        <w:t>日起施行。</w:t>
      </w:r>
    </w:p>
    <w:p>
      <w:pPr>
        <w:rPr>
          <w:highlight w:val="none"/>
        </w:rPr>
      </w:pPr>
    </w:p>
    <w:p>
      <w:pPr>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br w:type="page"/>
      </w:r>
      <w:r>
        <w:rPr>
          <w:rFonts w:hint="eastAsia" w:ascii="黑体" w:hAnsi="黑体" w:eastAsia="黑体" w:cs="黑体"/>
          <w:sz w:val="32"/>
          <w:szCs w:val="32"/>
          <w:highlight w:val="none"/>
          <w:lang w:val="en-US" w:eastAsia="zh-CN"/>
        </w:rPr>
        <w:t>附件14</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郑州商品交易所异常交易行为管理办法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对《郑州商品交易所异常交易行为管理办法》作如下修订：</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二条修订为：“郑州商品交易所（以下简称交易所）对期货交易行为进行监管，发现异常情况的，可以启动异常交易行为处理程序，对有关会员、境外特殊参与者、境外中介机构或者客户采取相应自律监管措施。”</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三条修订为：“期货公司会员、境外特殊经纪参与者、境外中介机构应当切实履行客户交易行为管理职责，及时发现、及时报告、及时制止客户的异常交易行为，不得纵容、诱导、怂恿、支持客户进行异常交易。”</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四条修订为：“非期货公司会员、境外特殊非经纪参与者、客户参与期货交易应当遵守法律、法规、规章和交易所业务规则，接受交易所自律监管，自觉规范交易行为。客户应当接受期货公司会员、境外特殊经纪参与者、境外中介机构对其交易行为的合法合规性管理。”</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将第三章第十三条修订为：“客户自成交、频繁报撤单、大额报撤单行为达到处理标准的，交易所按照以下程序进行处理：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“（一）第一次达到处理标准的，交易所于当日对客户所在期货公司会员、境外特殊经纪参与者进行提示，要求其及时将交易所提示转达客户，对客户进行教育、引导、劝阻及制止；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“（二）第二次达到处理标准的，交易所将该客户列入重点监管名单；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“（三）第三次达到处理标准的，交易所于当日闭市后对该客户采取限制开仓的自律监管措施，限制开仓时间不少于1个月。”</w:t>
      </w:r>
    </w:p>
    <w:p>
      <w:pPr>
        <w:keepNext w:val="0"/>
        <w:keepLines w:val="0"/>
        <w:pageBreakBefore w:val="0"/>
        <w:widowControl/>
        <w:numPr>
          <w:ilvl w:val="0"/>
          <w:numId w:val="19"/>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五条修订为：“同一客户异常交易行为发生在两个以上期货公司会员、境外特殊经纪参与者的，交易所对自成交、频繁报撤单、大额报撤单发生次数最多的期货公司会员、境外特殊经纪参与者进行提示。”</w:t>
      </w:r>
    </w:p>
    <w:p>
      <w:pPr>
        <w:keepNext w:val="0"/>
        <w:keepLines w:val="0"/>
        <w:pageBreakBefore w:val="0"/>
        <w:widowControl/>
        <w:numPr>
          <w:ilvl w:val="0"/>
          <w:numId w:val="19"/>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将第三章第十六条修订为：“非期货公司会员、境外特殊非经纪参与者参与交易，自成交、频繁报撤单、大额报撤单行为达到处理标准的，交易所按照以下程序进行处理：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“（一）第一次达到处理标准的，交易所对该非期货公司会员、境外特殊非经纪参与者进行提示；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“（二）第二次达到处理标准的，交易所约见该非期货公司会员、境外特殊非经纪参与者高级管理人员谈话；</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“（三）第三次达到处理标准的，交易所于当日闭市后对该非期货公司会员、境外特殊非经纪参与者采取限制开仓的自律监管措施，限制开仓时间不少于3个月。”</w:t>
      </w:r>
    </w:p>
    <w:p>
      <w:pPr>
        <w:keepNext w:val="0"/>
        <w:keepLines w:val="0"/>
        <w:pageBreakBefore w:val="0"/>
        <w:widowControl/>
        <w:numPr>
          <w:ilvl w:val="0"/>
          <w:numId w:val="19"/>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将第四章第二十条修订为：“期货公司会员、境外特殊经纪参与者、境外中介机构应当密切关注客户的交易行为，积极防范客户在交易中可能出现的异常交易行为，引导客户理性、合规参与交易。</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“期货公司会员、境外特殊经纪参与者、境外中介机构发现客户出现本办法第五条规定的异常交易行为之一的，应当及时予以提醒、劝阻和制止。”</w:t>
      </w:r>
    </w:p>
    <w:p>
      <w:pPr>
        <w:keepNext w:val="0"/>
        <w:keepLines w:val="0"/>
        <w:pageBreakBefore w:val="0"/>
        <w:widowControl/>
        <w:numPr>
          <w:ilvl w:val="0"/>
          <w:numId w:val="19"/>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将第四章第二十一条修订为：“交易所对存在异常交易行为的客户采取自律监管措施的，期货公司会员、境外特殊经纪参与者、境外中介机构应当及时通知客户，并采取有效措施规范客户交易行为。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“客户出现本办法第五条所列异常交易行为之一的，交易所视情节轻重，可以对期货公司会员、境外特殊经纪参与者、境外中介机构采取提示、约见谈话、发出监管警示函、发出监管意见函等自律监管措施。”</w:t>
      </w:r>
    </w:p>
    <w:p>
      <w:pPr>
        <w:keepNext w:val="0"/>
        <w:keepLines w:val="0"/>
        <w:pageBreakBefore w:val="0"/>
        <w:widowControl/>
        <w:numPr>
          <w:ilvl w:val="0"/>
          <w:numId w:val="19"/>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二条修订为：“期货公司会员、境外特殊经纪参与者、境外中介机构具有下列情形之一的，交易所可以责令其改正，并采取提示、约见谈话、发出监管警示函、发出监管意见函等自律监管措施；情节严重的，依据《郑州商品交易所违规处理办法》有关规定进行处理：……”</w:t>
      </w:r>
    </w:p>
    <w:p>
      <w:pPr>
        <w:keepNext w:val="0"/>
        <w:keepLines w:val="0"/>
        <w:pageBreakBefore w:val="0"/>
        <w:widowControl/>
        <w:numPr>
          <w:ilvl w:val="0"/>
          <w:numId w:val="19"/>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二十三条修订为：“期货公司会员、境外特殊经纪参与者、境外中介机构未尽到相关义务，交易所已向同一期货公司会员、境外特殊经纪参与者、境外中介机构发出两次监管警示函的，第三次向该期货公司会员、境外特殊经纪参与者、境外中介机构发出监管意见函。”</w:t>
      </w:r>
    </w:p>
    <w:p>
      <w:pPr>
        <w:keepNext w:val="0"/>
        <w:keepLines w:val="0"/>
        <w:pageBreakBefore w:val="0"/>
        <w:widowControl/>
        <w:numPr>
          <w:ilvl w:val="0"/>
          <w:numId w:val="19"/>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将第五章第二十四条修订为：“除本办法另有规定外，非期货公司会员、境外特殊非经纪参与者按照客户的有关规定执行。”</w:t>
      </w:r>
    </w:p>
    <w:p>
      <w:pPr>
        <w:widowControl/>
        <w:jc w:val="center"/>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《郑州商品交易所异常交易行为管理办法》</w:t>
      </w:r>
    </w:p>
    <w:p>
      <w:pPr>
        <w:widowControl/>
        <w:jc w:val="center"/>
        <w:rPr>
          <w:rFonts w:hint="eastAsia" w:ascii="方正小标宋简体" w:hAnsi="方正小标宋简体" w:eastAsia="方正小标宋简体" w:cs="方正小标宋简体"/>
          <w:b w:val="0"/>
          <w:bCs/>
          <w:sz w:val="40"/>
          <w:szCs w:val="40"/>
          <w:highlight w:val="none"/>
          <w:lang w:val="en-US" w:eastAsia="zh-CN"/>
        </w:rPr>
      </w:pPr>
      <w:r>
        <w:rPr>
          <w:rFonts w:hint="eastAsia" w:ascii="方正小标宋简体" w:hAnsi="方正小标宋简体" w:eastAsia="方正小标宋简体" w:cs="方正小标宋简体"/>
          <w:b w:val="0"/>
          <w:bCs/>
          <w:sz w:val="40"/>
          <w:szCs w:val="40"/>
          <w:highlight w:val="none"/>
        </w:rPr>
        <w:t>修订对照表</w:t>
      </w:r>
    </w:p>
    <w:p>
      <w:pPr>
        <w:widowControl/>
        <w:spacing w:line="360" w:lineRule="auto"/>
        <w:jc w:val="center"/>
        <w:outlineLvl w:val="0"/>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noWrap w:val="0"/>
            <w:vAlign w:val="center"/>
          </w:tcPr>
          <w:p>
            <w:pPr>
              <w:ind w:firstLine="422"/>
              <w:jc w:val="center"/>
              <w:rPr>
                <w:rFonts w:ascii="仿宋" w:hAnsi="仿宋" w:eastAsia="仿宋"/>
                <w:b/>
                <w:sz w:val="24"/>
                <w:highlight w:val="none"/>
              </w:rPr>
            </w:pPr>
            <w:r>
              <w:rPr>
                <w:rFonts w:hint="eastAsia" w:ascii="仿宋" w:hAnsi="仿宋" w:eastAsia="仿宋"/>
                <w:b/>
                <w:sz w:val="24"/>
                <w:highlight w:val="none"/>
              </w:rPr>
              <w:t>现行</w:t>
            </w:r>
            <w:r>
              <w:rPr>
                <w:rFonts w:ascii="仿宋" w:hAnsi="仿宋" w:eastAsia="仿宋"/>
                <w:b/>
                <w:sz w:val="24"/>
                <w:highlight w:val="none"/>
              </w:rPr>
              <w:t>条文</w:t>
            </w:r>
          </w:p>
        </w:tc>
        <w:tc>
          <w:tcPr>
            <w:tcW w:w="4261" w:type="dxa"/>
            <w:noWrap w:val="0"/>
            <w:vAlign w:val="center"/>
          </w:tcPr>
          <w:p>
            <w:pPr>
              <w:ind w:firstLine="422"/>
              <w:jc w:val="center"/>
              <w:rPr>
                <w:rFonts w:ascii="仿宋" w:hAnsi="仿宋" w:eastAsia="仿宋"/>
                <w:b/>
                <w:sz w:val="24"/>
                <w:highlight w:val="none"/>
              </w:rPr>
            </w:pPr>
            <w:r>
              <w:rPr>
                <w:rFonts w:hint="eastAsia" w:ascii="仿宋" w:hAnsi="仿宋" w:eastAsia="仿宋"/>
                <w:b/>
                <w:sz w:val="24"/>
                <w:highlight w:val="none"/>
              </w:rPr>
              <w:t>修订</w:t>
            </w:r>
            <w:r>
              <w:rPr>
                <w:rFonts w:ascii="仿宋" w:hAnsi="仿宋" w:eastAsia="仿宋"/>
                <w:b/>
                <w:sz w:val="24"/>
                <w:highlight w:val="none"/>
              </w:rPr>
              <w:t>草案条文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widowControl/>
              <w:ind w:firstLine="420"/>
              <w:rPr>
                <w:rFonts w:ascii="仿宋" w:hAnsi="仿宋" w:eastAsia="仿宋"/>
                <w:sz w:val="24"/>
                <w:highlight w:val="none"/>
              </w:rPr>
            </w:pPr>
            <w:r>
              <w:rPr>
                <w:rFonts w:hint="eastAsia" w:ascii="仿宋" w:hAnsi="仿宋" w:eastAsia="仿宋"/>
                <w:b/>
                <w:sz w:val="24"/>
                <w:highlight w:val="none"/>
              </w:rPr>
              <w:t>第二条</w:t>
            </w:r>
            <w:r>
              <w:rPr>
                <w:rFonts w:hint="eastAsia" w:ascii="仿宋" w:hAnsi="仿宋" w:eastAsia="仿宋"/>
                <w:sz w:val="24"/>
                <w:highlight w:val="none"/>
              </w:rPr>
              <w:t xml:space="preserve"> 郑州商品交易所（以下简称交易所）对期货交易行为进行监管，发现异常情况的，可以启动异常交易行为处理程序，对有关会员、境外经纪机构或者客户采取相应自律监管措施。</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第二条</w:t>
            </w:r>
            <w:r>
              <w:rPr>
                <w:rFonts w:hint="eastAsia" w:ascii="仿宋" w:hAnsi="仿宋" w:eastAsia="仿宋"/>
                <w:sz w:val="24"/>
                <w:highlight w:val="none"/>
              </w:rPr>
              <w:t xml:space="preserve"> 郑州商品交易所（以下简称交易所）对期货交易行为进行监管，发现异常情况的，可以启动异常交易行为处理程序，对有关会员、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机构或者客户采取相应自律监管措施。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widowControl/>
              <w:ind w:firstLine="420"/>
              <w:rPr>
                <w:rFonts w:ascii="仿宋" w:hAnsi="仿宋" w:eastAsia="仿宋"/>
                <w:sz w:val="24"/>
                <w:highlight w:val="none"/>
              </w:rPr>
            </w:pPr>
            <w:r>
              <w:rPr>
                <w:rFonts w:hint="eastAsia" w:ascii="仿宋" w:hAnsi="仿宋" w:eastAsia="仿宋"/>
                <w:b/>
                <w:sz w:val="24"/>
                <w:highlight w:val="none"/>
              </w:rPr>
              <w:t>第三条</w:t>
            </w:r>
            <w:r>
              <w:rPr>
                <w:rFonts w:hint="eastAsia" w:ascii="仿宋" w:hAnsi="仿宋" w:eastAsia="仿宋"/>
                <w:sz w:val="24"/>
                <w:highlight w:val="none"/>
              </w:rPr>
              <w:t xml:space="preserve"> 期货公司会员、境外经纪机构应当切实履行客户交易行为管理职责，及时发现、及时报告、及时制止客户的异常交易行为，不得纵容、诱导、怂恿、支持客户进行异常交易。</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第三条</w:t>
            </w:r>
            <w:r>
              <w:rPr>
                <w:rFonts w:hint="eastAsia" w:ascii="仿宋" w:hAnsi="仿宋" w:eastAsia="仿宋"/>
                <w:sz w:val="24"/>
                <w:highlight w:val="none"/>
              </w:rPr>
              <w:t xml:space="preserve"> 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机构应当切实履行客户交易行为管理职责，及时发现、及时报告、及时制止客户的异常交易行为，不得纵容、诱导、怂恿、支持客户进行异常交易。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第四条</w:t>
            </w:r>
            <w:r>
              <w:rPr>
                <w:rFonts w:hint="eastAsia" w:ascii="仿宋" w:hAnsi="仿宋" w:eastAsia="仿宋"/>
                <w:sz w:val="24"/>
                <w:highlight w:val="none"/>
              </w:rPr>
              <w:t xml:space="preserve"> 非期货公司会员、客户参与期货交易应当遵守法律、法规、规章和交易所业务规则，接受交易所自律监管，自觉规范交易行为。客户应当接受期货公司会员、境外经纪机构对其交易行为的合法合规性管理。</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第四条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客户参与期货交易应当遵守法律、法规、规章和交易所业务规则，接受交易所自律监管，自觉规范交易行为。客户应当接受期货公司会员、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机构对其交易行为的合法合规性管理。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客户自成交、频繁报撤单、大额报撤单行为达到处理标准的，交易所按照以下程序进行处理：</w:t>
            </w:r>
          </w:p>
          <w:p>
            <w:pPr>
              <w:ind w:firstLine="420"/>
              <w:rPr>
                <w:rFonts w:ascii="仿宋" w:hAnsi="仿宋" w:eastAsia="仿宋"/>
                <w:sz w:val="24"/>
                <w:highlight w:val="none"/>
              </w:rPr>
            </w:pPr>
            <w:r>
              <w:rPr>
                <w:rFonts w:hint="eastAsia" w:ascii="仿宋" w:hAnsi="仿宋" w:eastAsia="仿宋"/>
                <w:sz w:val="24"/>
                <w:highlight w:val="none"/>
              </w:rPr>
              <w:t>（一）第一次达到处理标准的，交易所于当日对客户所在期货公司会员进行提示，要求其及时将交易所提示转达客户，对客户进行教育、引导、劝阻及制止；</w:t>
            </w:r>
          </w:p>
          <w:p>
            <w:pPr>
              <w:ind w:firstLine="420"/>
              <w:rPr>
                <w:rFonts w:ascii="仿宋" w:hAnsi="仿宋" w:eastAsia="仿宋"/>
                <w:sz w:val="24"/>
                <w:highlight w:val="none"/>
              </w:rPr>
            </w:pPr>
            <w:r>
              <w:rPr>
                <w:rFonts w:hint="eastAsia" w:ascii="仿宋" w:hAnsi="仿宋" w:eastAsia="仿宋"/>
                <w:sz w:val="24"/>
                <w:highlight w:val="none"/>
              </w:rPr>
              <w:t>（二）第二次达到处理标准的，交易所将该客户列入重点监管名单；</w:t>
            </w:r>
          </w:p>
          <w:p>
            <w:pPr>
              <w:ind w:firstLine="420"/>
              <w:rPr>
                <w:rFonts w:ascii="仿宋" w:hAnsi="仿宋" w:eastAsia="仿宋"/>
                <w:sz w:val="24"/>
                <w:highlight w:val="none"/>
              </w:rPr>
            </w:pPr>
            <w:r>
              <w:rPr>
                <w:rFonts w:hint="eastAsia" w:ascii="仿宋" w:hAnsi="仿宋" w:eastAsia="仿宋"/>
                <w:sz w:val="24"/>
                <w:highlight w:val="none"/>
              </w:rPr>
              <w:t>（三）第三次达到处理标准的，交易所于当日闭市后对该客户采取限制开仓的自律监管措施，限制开仓时间不少于1个月。</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第十三条</w:t>
            </w:r>
            <w:r>
              <w:rPr>
                <w:rFonts w:hint="eastAsia" w:ascii="仿宋" w:hAnsi="仿宋" w:eastAsia="仿宋"/>
                <w:sz w:val="24"/>
                <w:highlight w:val="none"/>
              </w:rPr>
              <w:t xml:space="preserve"> 客户自成交、频繁报撤单、大额报撤单行为达到处理标准的，交易所按照以下程序进行处理：</w:t>
            </w:r>
          </w:p>
          <w:p>
            <w:pPr>
              <w:ind w:firstLine="420"/>
              <w:rPr>
                <w:rFonts w:ascii="仿宋" w:hAnsi="仿宋" w:eastAsia="仿宋"/>
                <w:sz w:val="24"/>
                <w:highlight w:val="none"/>
              </w:rPr>
            </w:pPr>
            <w:r>
              <w:rPr>
                <w:rFonts w:hint="eastAsia" w:ascii="仿宋" w:hAnsi="仿宋" w:eastAsia="仿宋"/>
                <w:sz w:val="24"/>
                <w:highlight w:val="none"/>
              </w:rPr>
              <w:t>（一）第一次达到处理标准的，交易所于当日对客户所在期货公司会员、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进行提示，要求其及时将交易所提示转达客户，对客户进行教育、引导、劝阻及制止；</w:t>
            </w:r>
          </w:p>
          <w:p>
            <w:pPr>
              <w:ind w:firstLine="420"/>
              <w:rPr>
                <w:rFonts w:ascii="仿宋" w:hAnsi="仿宋" w:eastAsia="仿宋"/>
                <w:sz w:val="24"/>
                <w:highlight w:val="none"/>
              </w:rPr>
            </w:pPr>
            <w:r>
              <w:rPr>
                <w:rFonts w:hint="eastAsia" w:ascii="仿宋" w:hAnsi="仿宋" w:eastAsia="仿宋"/>
                <w:sz w:val="24"/>
                <w:highlight w:val="none"/>
              </w:rPr>
              <w:t>（二）第二次达到处理标准的，交易所将该客户列入重点监管名单；</w:t>
            </w:r>
          </w:p>
          <w:p>
            <w:pPr>
              <w:ind w:firstLine="420"/>
              <w:rPr>
                <w:rFonts w:ascii="仿宋" w:hAnsi="仿宋" w:eastAsia="仿宋"/>
                <w:sz w:val="24"/>
                <w:highlight w:val="none"/>
              </w:rPr>
            </w:pPr>
            <w:r>
              <w:rPr>
                <w:rFonts w:hint="eastAsia" w:ascii="仿宋" w:hAnsi="仿宋" w:eastAsia="仿宋"/>
                <w:sz w:val="24"/>
                <w:highlight w:val="none"/>
              </w:rPr>
              <w:t>（三）第三次达到处理标准的，交易所于当日闭市后对该客户采取限制开仓的自律监管措施，限制开仓时间不少于1个月。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第十五条</w:t>
            </w:r>
            <w:r>
              <w:rPr>
                <w:rFonts w:hint="eastAsia" w:ascii="仿宋" w:hAnsi="仿宋" w:eastAsia="仿宋"/>
                <w:sz w:val="24"/>
                <w:highlight w:val="none"/>
              </w:rPr>
              <w:t xml:space="preserve"> 同一客户异常交易行为发生在两个以上期货公司会员的，交易所对自成交、频繁报撤单、大额报撤单发生次数最多的期货公司会员进行提示。</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第十五条</w:t>
            </w:r>
            <w:r>
              <w:rPr>
                <w:rFonts w:hint="eastAsia" w:ascii="仿宋" w:hAnsi="仿宋" w:eastAsia="仿宋"/>
                <w:sz w:val="24"/>
                <w:highlight w:val="none"/>
              </w:rPr>
              <w:t xml:space="preserve"> 同一客户异常交易行为发生在两个以上期货公司会员、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的，交易所对自成交、频繁报撤单、大额报撤单发生次数最多的期货公司会员、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第十六条</w:t>
            </w:r>
            <w:r>
              <w:rPr>
                <w:rFonts w:hint="eastAsia" w:ascii="仿宋" w:hAnsi="仿宋" w:eastAsia="仿宋"/>
                <w:sz w:val="24"/>
                <w:highlight w:val="none"/>
              </w:rPr>
              <w:t xml:space="preserve"> 非期货公司会员参与交易，自成交、频繁报撤单、大额报撤单行为达到处理标准的，交易所按照以下程序进行处理：</w:t>
            </w:r>
          </w:p>
          <w:p>
            <w:pPr>
              <w:ind w:firstLine="420"/>
              <w:rPr>
                <w:rFonts w:ascii="仿宋" w:hAnsi="仿宋" w:eastAsia="仿宋"/>
                <w:sz w:val="24"/>
                <w:highlight w:val="none"/>
              </w:rPr>
            </w:pPr>
            <w:r>
              <w:rPr>
                <w:rFonts w:hint="eastAsia" w:ascii="仿宋" w:hAnsi="仿宋" w:eastAsia="仿宋"/>
                <w:sz w:val="24"/>
                <w:highlight w:val="none"/>
              </w:rPr>
              <w:t>（一）第一次达到处理标准的，交易所对该非期货公司会员进行提示；</w:t>
            </w:r>
          </w:p>
          <w:p>
            <w:pPr>
              <w:ind w:firstLine="420"/>
              <w:rPr>
                <w:rFonts w:ascii="仿宋" w:hAnsi="仿宋" w:eastAsia="仿宋"/>
                <w:sz w:val="24"/>
                <w:highlight w:val="none"/>
              </w:rPr>
            </w:pPr>
            <w:r>
              <w:rPr>
                <w:rFonts w:hint="eastAsia" w:ascii="仿宋" w:hAnsi="仿宋" w:eastAsia="仿宋"/>
                <w:sz w:val="24"/>
                <w:highlight w:val="none"/>
              </w:rPr>
              <w:t>（二）第二次达到处理标准的，交易所约见该非期货公司会员高级管理人员谈话；</w:t>
            </w:r>
          </w:p>
          <w:p>
            <w:pPr>
              <w:ind w:firstLine="420"/>
              <w:rPr>
                <w:rFonts w:ascii="仿宋" w:hAnsi="仿宋" w:eastAsia="仿宋"/>
                <w:sz w:val="24"/>
                <w:highlight w:val="none"/>
              </w:rPr>
            </w:pPr>
            <w:r>
              <w:rPr>
                <w:rFonts w:hint="eastAsia" w:ascii="仿宋" w:hAnsi="仿宋" w:eastAsia="仿宋"/>
                <w:sz w:val="24"/>
                <w:highlight w:val="none"/>
              </w:rPr>
              <w:t>（三）第三次达到处理标准的，交易所于当日闭市后对该非期货公司会员采取限制开仓的自律监管措施，限制开仓时间不少于3个月。</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第十六条</w:t>
            </w:r>
            <w:r>
              <w:rPr>
                <w:rFonts w:hint="eastAsia" w:ascii="仿宋" w:hAnsi="仿宋" w:eastAsia="仿宋"/>
                <w:sz w:val="24"/>
                <w:highlight w:val="none"/>
              </w:rPr>
              <w:t xml:space="preserve"> 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参与交易，自成交、频繁报撤单、大额报撤单行为达到处理标准的，交易所按照以下程序进行处理：</w:t>
            </w:r>
          </w:p>
          <w:p>
            <w:pPr>
              <w:ind w:firstLine="420"/>
              <w:rPr>
                <w:rFonts w:ascii="仿宋" w:hAnsi="仿宋" w:eastAsia="仿宋"/>
                <w:sz w:val="24"/>
                <w:highlight w:val="none"/>
              </w:rPr>
            </w:pPr>
            <w:r>
              <w:rPr>
                <w:rFonts w:hint="eastAsia" w:ascii="仿宋" w:hAnsi="仿宋" w:eastAsia="仿宋"/>
                <w:sz w:val="24"/>
                <w:highlight w:val="none"/>
              </w:rPr>
              <w:t>（一）第一次达到处理标准的，交易所对该非期货公司会员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进行提示；</w:t>
            </w:r>
          </w:p>
          <w:p>
            <w:pPr>
              <w:ind w:firstLine="420"/>
              <w:rPr>
                <w:rFonts w:ascii="仿宋" w:hAnsi="仿宋" w:eastAsia="仿宋"/>
                <w:sz w:val="24"/>
                <w:highlight w:val="none"/>
              </w:rPr>
            </w:pPr>
            <w:r>
              <w:rPr>
                <w:rFonts w:hint="eastAsia" w:ascii="仿宋" w:hAnsi="仿宋" w:eastAsia="仿宋"/>
                <w:sz w:val="24"/>
                <w:highlight w:val="none"/>
              </w:rPr>
              <w:t>（二）第二次达到处理标准的，交易所约见该非期货公司会员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高级管理人员谈话；</w:t>
            </w:r>
          </w:p>
          <w:p>
            <w:pPr>
              <w:ind w:firstLine="420"/>
              <w:rPr>
                <w:rFonts w:ascii="仿宋" w:hAnsi="仿宋" w:eastAsia="仿宋"/>
                <w:sz w:val="24"/>
                <w:highlight w:val="none"/>
              </w:rPr>
            </w:pPr>
            <w:r>
              <w:rPr>
                <w:rFonts w:hint="eastAsia" w:ascii="仿宋" w:hAnsi="仿宋" w:eastAsia="仿宋"/>
                <w:sz w:val="24"/>
                <w:highlight w:val="none"/>
              </w:rPr>
              <w:t>（三）第三次达到处理标准的，交易所于当日闭市后对该非期货公司会员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采取限制开仓的自律监管措施，限制开仓时间不少于3个月。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 xml:space="preserve">第二十条 </w:t>
            </w:r>
            <w:r>
              <w:rPr>
                <w:rFonts w:hint="eastAsia" w:ascii="仿宋" w:hAnsi="仿宋" w:eastAsia="仿宋"/>
                <w:sz w:val="24"/>
                <w:highlight w:val="none"/>
              </w:rPr>
              <w:t>期货公司会员、境外经纪机构应当密切关注客户的交易行为，积极防范客户在交易中可能出现的异常交易行为，引导客户理性、合规参与交易。</w:t>
            </w:r>
          </w:p>
          <w:p>
            <w:pPr>
              <w:ind w:firstLine="420"/>
              <w:rPr>
                <w:rFonts w:ascii="仿宋" w:hAnsi="仿宋" w:eastAsia="仿宋"/>
                <w:sz w:val="24"/>
                <w:highlight w:val="none"/>
              </w:rPr>
            </w:pPr>
            <w:r>
              <w:rPr>
                <w:rFonts w:hint="eastAsia" w:ascii="仿宋" w:hAnsi="仿宋" w:eastAsia="仿宋"/>
                <w:sz w:val="24"/>
                <w:highlight w:val="none"/>
              </w:rPr>
              <w:t>期货公司会员、境外经纪机构发现客户出现本办法第五条规定的异常交易行为之一的，应当及时予以提醒、劝阻和制止。</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第二十条</w:t>
            </w:r>
            <w:r>
              <w:rPr>
                <w:rFonts w:hint="eastAsia" w:ascii="仿宋" w:hAnsi="仿宋" w:eastAsia="仿宋"/>
                <w:sz w:val="24"/>
                <w:highlight w:val="none"/>
              </w:rPr>
              <w:t xml:space="preserve"> 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机构应当密切关注客户的交易行为，积极防范客户在交易中可能出现的异常交易行为，引导客户理性、合规参与交易。</w:t>
            </w:r>
          </w:p>
          <w:p>
            <w:pPr>
              <w:ind w:firstLine="420"/>
              <w:rPr>
                <w:rFonts w:ascii="仿宋" w:hAnsi="仿宋" w:eastAsia="仿宋"/>
                <w:sz w:val="24"/>
                <w:highlight w:val="none"/>
              </w:rPr>
            </w:pPr>
            <w:r>
              <w:rPr>
                <w:rFonts w:hint="eastAsia" w:ascii="仿宋" w:hAnsi="仿宋" w:eastAsia="仿宋"/>
                <w:sz w:val="24"/>
                <w:highlight w:val="none"/>
              </w:rPr>
              <w:t>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机构发现客户出现本办法第五条规定的异常交易行为之一的，应当及时予以提醒、劝阻和制止。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第二十一条</w:t>
            </w:r>
            <w:r>
              <w:rPr>
                <w:rFonts w:hint="eastAsia" w:ascii="仿宋" w:hAnsi="仿宋" w:eastAsia="仿宋"/>
                <w:sz w:val="24"/>
                <w:highlight w:val="none"/>
              </w:rPr>
              <w:t xml:space="preserve"> 交易所对存在异常交易行为的客户采取自律监管措施的，期货公司会员、境外经纪机构应当及时通知客户，并采取有效措施规范客户交易行为。</w:t>
            </w:r>
          </w:p>
          <w:p>
            <w:pPr>
              <w:ind w:firstLine="420"/>
              <w:rPr>
                <w:rFonts w:ascii="仿宋" w:hAnsi="仿宋" w:eastAsia="仿宋"/>
                <w:sz w:val="24"/>
                <w:highlight w:val="none"/>
              </w:rPr>
            </w:pPr>
            <w:r>
              <w:rPr>
                <w:rFonts w:hint="eastAsia" w:ascii="仿宋" w:hAnsi="仿宋" w:eastAsia="仿宋"/>
                <w:sz w:val="24"/>
                <w:highlight w:val="none"/>
              </w:rPr>
              <w:t>客户出现本办法第五条所列异常交易行为之一的，交易所视情节轻重，可以对期货公司会员、境外经纪机构采取提示、约见谈话、发出监管警示函、发出监管意见函等自律监管措施。</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第二十一条</w:t>
            </w:r>
            <w:r>
              <w:rPr>
                <w:rFonts w:hint="eastAsia" w:ascii="仿宋" w:hAnsi="仿宋" w:eastAsia="仿宋"/>
                <w:sz w:val="24"/>
                <w:highlight w:val="none"/>
              </w:rPr>
              <w:t xml:space="preserve"> 交易所对存在异常交易行为的客户采取自律监管措施的，期货公司会员、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机构应当及时通知客户，并采取有效措施规范客户交易行为。</w:t>
            </w:r>
          </w:p>
          <w:p>
            <w:pPr>
              <w:ind w:firstLine="420"/>
              <w:rPr>
                <w:rFonts w:ascii="仿宋" w:hAnsi="仿宋" w:eastAsia="仿宋"/>
                <w:sz w:val="24"/>
                <w:highlight w:val="none"/>
              </w:rPr>
            </w:pPr>
            <w:r>
              <w:rPr>
                <w:rFonts w:hint="eastAsia" w:ascii="仿宋" w:hAnsi="仿宋" w:eastAsia="仿宋"/>
                <w:sz w:val="24"/>
                <w:highlight w:val="none"/>
              </w:rPr>
              <w:t>客户出现本办法第五条所列异常交易行为之一的，交易所视情节轻重，可以对期货公司会员、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机构采取提示、约见谈话、发出监管警示函、发出监管意见函等自律监管措施。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第二十二条</w:t>
            </w:r>
            <w:r>
              <w:rPr>
                <w:rFonts w:hint="eastAsia" w:ascii="仿宋" w:hAnsi="仿宋" w:eastAsia="仿宋"/>
                <w:sz w:val="24"/>
                <w:highlight w:val="none"/>
              </w:rPr>
              <w:t xml:space="preserve"> 期货公司会员、境外经纪机构具有下列情形之一的，交易所可以责令其改正，并采取提示、约见谈话、发出监管警示函、发出监管意见函等自律监管措施；情节严重的，依据《郑州商品交易所违规处理办法》有关规定进行处理：</w:t>
            </w:r>
          </w:p>
          <w:p>
            <w:pPr>
              <w:ind w:firstLine="420"/>
              <w:rPr>
                <w:rFonts w:ascii="仿宋" w:hAnsi="仿宋" w:eastAsia="仿宋"/>
                <w:sz w:val="24"/>
                <w:highlight w:val="none"/>
              </w:rPr>
            </w:pPr>
            <w:r>
              <w:rPr>
                <w:rFonts w:ascii="仿宋" w:hAnsi="仿宋" w:eastAsia="仿宋"/>
                <w:sz w:val="24"/>
                <w:highlight w:val="none"/>
              </w:rPr>
              <w:t>……</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第二十二条</w:t>
            </w:r>
            <w:r>
              <w:rPr>
                <w:rFonts w:hint="eastAsia" w:ascii="仿宋" w:hAnsi="仿宋" w:eastAsia="仿宋"/>
                <w:sz w:val="24"/>
                <w:highlight w:val="none"/>
              </w:rPr>
              <w:t xml:space="preserve"> 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机构具有下列情形之一的，交易所可以责令其改正，并采取提示、约见谈话、发出监管警示函、发出监管意见函等自律监管措施；情节严重的，依据《郑州商品交易所违规处理办法》有关规定进行处理：</w:t>
            </w:r>
          </w:p>
          <w:p>
            <w:pPr>
              <w:ind w:firstLine="420"/>
              <w:rPr>
                <w:rFonts w:ascii="仿宋" w:hAnsi="仿宋" w:eastAsia="仿宋"/>
                <w:sz w:val="24"/>
                <w:highlight w:val="none"/>
              </w:rPr>
            </w:pP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第二十三条</w:t>
            </w:r>
            <w:r>
              <w:rPr>
                <w:rFonts w:hint="eastAsia" w:ascii="仿宋" w:hAnsi="仿宋" w:eastAsia="仿宋"/>
                <w:sz w:val="24"/>
                <w:highlight w:val="none"/>
              </w:rPr>
              <w:t xml:space="preserve"> 期货公司会员、境外经纪机构未尽到相关义务，交易所已向同一期货公司会员发出两次监管警示函的，第三次向该期货公司会员发出监管意见函。</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第二十三条</w:t>
            </w:r>
            <w:r>
              <w:rPr>
                <w:rFonts w:hint="eastAsia" w:ascii="仿宋" w:hAnsi="仿宋" w:eastAsia="仿宋"/>
                <w:sz w:val="24"/>
                <w:highlight w:val="none"/>
              </w:rPr>
              <w:t xml:space="preserve"> 期货公司会员、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机构未尽到相关义务，交易所已向同一期货公司会员、</w:t>
            </w:r>
            <w:r>
              <w:rPr>
                <w:rFonts w:hint="eastAsia" w:ascii="仿宋" w:hAnsi="仿宋" w:eastAsia="仿宋"/>
                <w:b/>
                <w:sz w:val="24"/>
                <w:highlight w:val="none"/>
                <w:u w:val="single"/>
              </w:rPr>
              <w:t>境外特殊经纪参与者、境外中介机构</w:t>
            </w:r>
            <w:r>
              <w:rPr>
                <w:rFonts w:hint="eastAsia" w:ascii="仿宋" w:hAnsi="仿宋" w:eastAsia="仿宋"/>
                <w:sz w:val="24"/>
                <w:highlight w:val="none"/>
              </w:rPr>
              <w:t>发出两次监管警示函的，第三次向该期货公司会员、</w:t>
            </w:r>
            <w:r>
              <w:rPr>
                <w:rFonts w:hint="eastAsia" w:ascii="仿宋" w:hAnsi="仿宋" w:eastAsia="仿宋"/>
                <w:b/>
                <w:sz w:val="24"/>
                <w:highlight w:val="none"/>
                <w:u w:val="single"/>
              </w:rPr>
              <w:t>境外特殊经纪参与者、境外中介机构</w:t>
            </w:r>
            <w:r>
              <w:rPr>
                <w:rFonts w:hint="eastAsia" w:ascii="仿宋" w:hAnsi="仿宋" w:eastAsia="仿宋"/>
                <w:sz w:val="24"/>
                <w:highlight w:val="none"/>
              </w:rPr>
              <w:t>发出监管意见函。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1335"/>
              </w:tabs>
              <w:ind w:firstLine="420"/>
              <w:rPr>
                <w:rFonts w:ascii="仿宋" w:hAnsi="仿宋" w:eastAsia="仿宋"/>
                <w:sz w:val="24"/>
                <w:highlight w:val="none"/>
              </w:rPr>
            </w:pPr>
            <w:r>
              <w:rPr>
                <w:rFonts w:hint="eastAsia" w:ascii="仿宋" w:hAnsi="仿宋" w:eastAsia="仿宋"/>
                <w:b/>
                <w:sz w:val="24"/>
                <w:highlight w:val="none"/>
              </w:rPr>
              <w:t>第二十四条</w:t>
            </w:r>
            <w:r>
              <w:rPr>
                <w:rFonts w:hint="eastAsia" w:ascii="仿宋" w:hAnsi="仿宋" w:eastAsia="仿宋"/>
                <w:sz w:val="24"/>
                <w:highlight w:val="none"/>
              </w:rPr>
              <w:t xml:space="preserve"> 除本办法另有规定外，非期货公司会员按照客户的有关规定执行。</w:t>
            </w:r>
          </w:p>
        </w:tc>
        <w:tc>
          <w:tcPr>
            <w:tcW w:w="4261" w:type="dxa"/>
            <w:noWrap w:val="0"/>
            <w:vAlign w:val="top"/>
          </w:tcPr>
          <w:p>
            <w:pPr>
              <w:ind w:firstLine="420"/>
              <w:rPr>
                <w:rFonts w:ascii="仿宋" w:hAnsi="仿宋" w:eastAsia="仿宋"/>
                <w:sz w:val="24"/>
                <w:highlight w:val="none"/>
              </w:rPr>
            </w:pPr>
            <w:r>
              <w:rPr>
                <w:rFonts w:hint="eastAsia" w:ascii="仿宋" w:hAnsi="仿宋" w:eastAsia="仿宋"/>
                <w:b/>
                <w:sz w:val="24"/>
                <w:highlight w:val="none"/>
              </w:rPr>
              <w:t>第二十四条</w:t>
            </w:r>
            <w:r>
              <w:rPr>
                <w:rFonts w:hint="eastAsia" w:ascii="仿宋" w:hAnsi="仿宋" w:eastAsia="仿宋"/>
                <w:sz w:val="24"/>
                <w:highlight w:val="none"/>
              </w:rPr>
              <w:t xml:space="preserve"> 除本办法另有规定外，非期货公司会员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按照客户的有关规定执行。</w:t>
            </w:r>
          </w:p>
        </w:tc>
      </w:tr>
    </w:tbl>
    <w:p>
      <w:pPr>
        <w:spacing w:after="240"/>
        <w:jc w:val="center"/>
        <w:rPr>
          <w:rFonts w:ascii="黑体" w:hAnsi="黑体" w:eastAsia="黑体"/>
          <w:kern w:val="0"/>
          <w:sz w:val="44"/>
          <w:szCs w:val="44"/>
          <w:highlight w:val="none"/>
        </w:rPr>
      </w:pPr>
      <w:r>
        <w:rPr>
          <w:highlight w:val="none"/>
        </w:rPr>
        <w:br w:type="page"/>
      </w:r>
      <w:r>
        <w:rPr>
          <w:rFonts w:hint="eastAsia" w:ascii="黑体" w:hAnsi="黑体" w:eastAsia="黑体"/>
          <w:kern w:val="0"/>
          <w:sz w:val="44"/>
          <w:szCs w:val="44"/>
          <w:highlight w:val="none"/>
        </w:rPr>
        <w:t>郑州商品交易所</w:t>
      </w:r>
      <w:r>
        <w:rPr>
          <w:rFonts w:hint="eastAsia" w:ascii="黑体" w:hAnsi="黑体" w:eastAsia="黑体"/>
          <w:kern w:val="0"/>
          <w:sz w:val="44"/>
          <w:szCs w:val="44"/>
          <w:highlight w:val="none"/>
          <w:lang w:eastAsia="zh-CN"/>
        </w:rPr>
        <w:t>异常交易行为</w:t>
      </w:r>
      <w:r>
        <w:rPr>
          <w:rFonts w:hint="eastAsia" w:ascii="黑体" w:hAnsi="黑体" w:eastAsia="黑体"/>
          <w:kern w:val="0"/>
          <w:sz w:val="44"/>
          <w:szCs w:val="44"/>
          <w:highlight w:val="none"/>
        </w:rPr>
        <w:t>管理办法</w:t>
      </w:r>
    </w:p>
    <w:p>
      <w:pPr>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（2026年4月7日郑州商品交易所第八届理事会第三十四次会议审议通过，2026年</w:t>
      </w:r>
      <w:r>
        <w:rPr>
          <w:rFonts w:hint="default" w:cs="Times New Roman"/>
          <w:sz w:val="24"/>
          <w:szCs w:val="24"/>
          <w:highlight w:val="none"/>
          <w:lang w:val="en-US"/>
        </w:rPr>
        <w:t>5</w:t>
      </w:r>
      <w:r>
        <w:rPr>
          <w:rFonts w:hint="default" w:ascii="Times New Roman" w:hAnsi="Times New Roman" w:cs="Times New Roman"/>
          <w:sz w:val="24"/>
          <w:szCs w:val="24"/>
          <w:highlight w:val="none"/>
        </w:rPr>
        <w:t>月</w:t>
      </w:r>
      <w:r>
        <w:rPr>
          <w:rFonts w:hint="default" w:cs="Times New Roman"/>
          <w:sz w:val="24"/>
          <w:szCs w:val="24"/>
          <w:highlight w:val="none"/>
          <w:lang w:val="en-US"/>
        </w:rPr>
        <w:t>7</w:t>
      </w:r>
      <w:r>
        <w:rPr>
          <w:rFonts w:hint="default" w:ascii="Times New Roman" w:hAnsi="Times New Roman" w:cs="Times New Roman"/>
          <w:sz w:val="24"/>
          <w:szCs w:val="24"/>
          <w:highlight w:val="none"/>
        </w:rPr>
        <w:t>日〔2026〕</w:t>
      </w:r>
      <w:r>
        <w:rPr>
          <w:rFonts w:hint="eastAsia" w:cs="Times New Roman"/>
          <w:sz w:val="24"/>
          <w:szCs w:val="24"/>
          <w:highlight w:val="none"/>
          <w:lang w:eastAsia="zh-CN"/>
        </w:rPr>
        <w:t>68号</w:t>
      </w:r>
      <w:r>
        <w:rPr>
          <w:rFonts w:hint="default" w:ascii="Times New Roman" w:hAnsi="Times New Roman" w:cs="Times New Roman"/>
          <w:sz w:val="24"/>
          <w:szCs w:val="24"/>
          <w:highlight w:val="none"/>
        </w:rPr>
        <w:t>公告发布，自发布之日起实施）</w:t>
      </w:r>
    </w:p>
    <w:p>
      <w:pPr>
        <w:ind w:firstLine="480" w:firstLineChars="200"/>
        <w:jc w:val="left"/>
        <w:rPr>
          <w:rFonts w:ascii="宋体" w:hAnsi="宋体"/>
          <w:sz w:val="24"/>
          <w:szCs w:val="24"/>
          <w:highlight w:val="none"/>
        </w:rPr>
      </w:pPr>
    </w:p>
    <w:p>
      <w:pPr>
        <w:jc w:val="center"/>
        <w:rPr>
          <w:rFonts w:ascii="黑体" w:hAnsi="黑体" w:eastAsia="黑体"/>
          <w:sz w:val="32"/>
          <w:szCs w:val="32"/>
          <w:highlight w:val="none"/>
        </w:rPr>
      </w:pPr>
      <w:r>
        <w:rPr>
          <w:rFonts w:hint="eastAsia" w:ascii="黑体" w:hAnsi="黑体" w:eastAsia="黑体"/>
          <w:sz w:val="32"/>
          <w:szCs w:val="32"/>
          <w:highlight w:val="none"/>
        </w:rPr>
        <w:t>第一章 总 则</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第一条</w:t>
      </w:r>
      <w:r>
        <w:rPr>
          <w:rFonts w:hint="eastAsia" w:ascii="宋体" w:hAnsi="宋体" w:eastAsia="宋体" w:cs="宋体"/>
          <w:sz w:val="28"/>
          <w:szCs w:val="28"/>
          <w:highlight w:val="none"/>
        </w:rPr>
        <w:t xml:space="preserve"> 为加强期货市场管理，规范期货交易行为，保障期货市场参与者合法权益，根据《郑州商品交易所交易规则》，制定本办法。</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第二条</w:t>
      </w:r>
      <w:r>
        <w:rPr>
          <w:rFonts w:hint="eastAsia" w:ascii="宋体" w:hAnsi="宋体" w:eastAsia="宋体" w:cs="宋体"/>
          <w:sz w:val="28"/>
          <w:szCs w:val="28"/>
          <w:highlight w:val="none"/>
        </w:rPr>
        <w:t xml:space="preserve"> 郑州商品交易所（以下简称交易所）对期货交易行为进行监管，发现异常情况的，可以启动异常交易行为处理程序，对有关会员、境外特殊参与者、境外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机构或者客户采取相应自律监管措施。</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第三条</w:t>
      </w:r>
      <w:r>
        <w:rPr>
          <w:rFonts w:hint="eastAsia" w:ascii="宋体" w:hAnsi="宋体" w:eastAsia="宋体" w:cs="宋体"/>
          <w:sz w:val="28"/>
          <w:szCs w:val="28"/>
          <w:highlight w:val="none"/>
        </w:rPr>
        <w:t xml:space="preserve"> 期货公司会员、境外特殊</w:t>
      </w:r>
      <w:r>
        <w:rPr>
          <w:rFonts w:hint="eastAsia" w:ascii="宋体" w:hAnsi="宋体" w:eastAsia="宋体" w:cs="宋体"/>
          <w:sz w:val="28"/>
          <w:szCs w:val="28"/>
          <w:highlight w:val="none"/>
          <w:lang w:eastAsia="zh-CN"/>
        </w:rPr>
        <w:t>经纪</w:t>
      </w:r>
      <w:r>
        <w:rPr>
          <w:rFonts w:hint="eastAsia" w:ascii="宋体" w:hAnsi="宋体" w:eastAsia="宋体" w:cs="宋体"/>
          <w:sz w:val="28"/>
          <w:szCs w:val="28"/>
          <w:highlight w:val="none"/>
        </w:rPr>
        <w:t>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机构应当切实履行客户交易行为管理职责，及时发现、及时报告、及时制止客户的异常交易行为，不得纵容、诱导、怂恿、支持客户进行异常交易。</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第四条</w:t>
      </w:r>
      <w:r>
        <w:rPr>
          <w:rFonts w:hint="eastAsia" w:ascii="宋体" w:hAnsi="宋体" w:eastAsia="宋体" w:cs="宋体"/>
          <w:sz w:val="28"/>
          <w:szCs w:val="28"/>
          <w:highlight w:val="none"/>
        </w:rPr>
        <w:t xml:space="preserve"> 非期货公司会员、境外特殊</w:t>
      </w:r>
      <w:r>
        <w:rPr>
          <w:rFonts w:hint="eastAsia" w:ascii="宋体" w:hAnsi="宋体" w:eastAsia="宋体" w:cs="宋体"/>
          <w:sz w:val="28"/>
          <w:szCs w:val="28"/>
          <w:highlight w:val="none"/>
          <w:lang w:eastAsia="zh-CN"/>
        </w:rPr>
        <w:t>非</w:t>
      </w:r>
      <w:r>
        <w:rPr>
          <w:rFonts w:hint="eastAsia" w:ascii="宋体" w:hAnsi="宋体" w:eastAsia="宋体" w:cs="宋体"/>
          <w:sz w:val="28"/>
          <w:szCs w:val="28"/>
          <w:highlight w:val="none"/>
        </w:rPr>
        <w:t>经纪参与者、客户参与期货交易应当遵守法律、法规、规章和交易所业务规则，接受交易所自律监管，自觉规范交易行为。客户应当接受期货公司会员、境外特殊经纪参与者、境外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机构对其交易行为的合法合规性管理。</w:t>
      </w:r>
    </w:p>
    <w:p>
      <w:pPr>
        <w:jc w:val="center"/>
        <w:rPr>
          <w:rFonts w:ascii="黑体" w:hAnsi="黑体" w:eastAsia="黑体"/>
          <w:sz w:val="32"/>
          <w:szCs w:val="32"/>
          <w:highlight w:val="none"/>
        </w:rPr>
      </w:pPr>
      <w:r>
        <w:rPr>
          <w:rFonts w:hint="eastAsia" w:ascii="黑体" w:hAnsi="黑体" w:eastAsia="黑体"/>
          <w:sz w:val="32"/>
          <w:szCs w:val="32"/>
          <w:highlight w:val="none"/>
        </w:rPr>
        <w:t>第二章 异常交易行为认定</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第五条</w:t>
      </w:r>
      <w:r>
        <w:rPr>
          <w:rFonts w:hint="eastAsia" w:ascii="宋体" w:hAnsi="宋体" w:eastAsia="宋体" w:cs="宋体"/>
          <w:sz w:val="28"/>
          <w:szCs w:val="28"/>
          <w:highlight w:val="none"/>
        </w:rPr>
        <w:t xml:space="preserve"> 期货交易出现以下情形之一的，交易所认定为异常交易行为：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（一）自成交行为，即以自己为交易对象进行自买自卖的行为；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（二）频繁报撤单行为，即频繁申报并撤销定单的行为；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（三）大额报撤单行为，即多次申报并撤销大额定单的行为；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（四）程序化交易扰乱交易秩序行为，即采取程序化交易方式下达交易指令，可能影响交易所系统安全或者正常交易秩序的行为；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（五）中国证监会规定或者交易所认定的其他行为。</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第六条</w:t>
      </w:r>
      <w:r>
        <w:rPr>
          <w:rFonts w:hint="eastAsia" w:ascii="宋体" w:hAnsi="宋体" w:eastAsia="宋体" w:cs="宋体"/>
          <w:sz w:val="28"/>
          <w:szCs w:val="28"/>
          <w:highlight w:val="none"/>
        </w:rPr>
        <w:t xml:space="preserve"> 客户或者一组实际控制关系账户合并计算后出现以下情形之一的，即达到自成交、频繁报撤单、大额报撤单等异常交易行为处理标准：</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（一）单个交易日在某一合约自成交5次以上；</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（二）单个交易日在某一合约撤销定单次数500次以上；或者当某个交易日某一合约出现涨（跌）停板后，当日在该合约涨（跌）停板价位买（卖）单撤销定单次数100次以上；</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（三）单个交易日在某一合约撤销定单次数50次以上且每次撤销定单量800手以上。</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第七条</w:t>
      </w:r>
      <w:r>
        <w:rPr>
          <w:rFonts w:hint="eastAsia" w:ascii="宋体" w:hAnsi="宋体" w:eastAsia="宋体" w:cs="宋体"/>
          <w:sz w:val="28"/>
          <w:szCs w:val="28"/>
          <w:highlight w:val="none"/>
        </w:rPr>
        <w:t xml:space="preserve"> 一组实际控制关系账户内的客户之间相互成交视为自成交。</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第八条</w:t>
      </w:r>
      <w:r>
        <w:rPr>
          <w:rFonts w:hint="eastAsia" w:ascii="宋体" w:hAnsi="宋体" w:eastAsia="宋体" w:cs="宋体"/>
          <w:sz w:val="28"/>
          <w:szCs w:val="28"/>
          <w:highlight w:val="none"/>
        </w:rPr>
        <w:t xml:space="preserve"> 套期保值交易产生的自成交、频繁报撤单、大额报撤单行为不构成异常交易行为。</w:t>
      </w:r>
    </w:p>
    <w:p>
      <w:pPr>
        <w:ind w:firstLine="560" w:firstLineChars="200"/>
        <w:jc w:val="left"/>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第九条</w:t>
      </w:r>
      <w:r>
        <w:rPr>
          <w:rFonts w:hint="eastAsia" w:ascii="宋体" w:hAnsi="宋体" w:eastAsia="宋体" w:cs="宋体"/>
          <w:sz w:val="28"/>
          <w:szCs w:val="28"/>
          <w:highlight w:val="none"/>
        </w:rPr>
        <w:t xml:space="preserve"> 市价指令、套利指令产生的自成交、频繁报撤单、大额报撤单行为不构成异常交易行为。</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第十条</w:t>
      </w:r>
      <w:r>
        <w:rPr>
          <w:rFonts w:hint="eastAsia" w:ascii="宋体" w:hAnsi="宋体" w:eastAsia="宋体" w:cs="宋体"/>
          <w:sz w:val="28"/>
          <w:szCs w:val="28"/>
          <w:highlight w:val="none"/>
        </w:rPr>
        <w:t xml:space="preserve"> 做市交易产生的频繁报撤单行为不构成异常交易行为。</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第十一条</w:t>
      </w:r>
      <w:r>
        <w:rPr>
          <w:rFonts w:hint="eastAsia" w:ascii="宋体" w:hAnsi="宋体" w:eastAsia="宋体" w:cs="宋体"/>
          <w:b/>
          <w:sz w:val="28"/>
          <w:szCs w:val="28"/>
          <w:highlight w:val="none"/>
        </w:rPr>
        <w:t xml:space="preserve"> </w:t>
      </w:r>
      <w:r>
        <w:rPr>
          <w:rFonts w:hint="eastAsia" w:ascii="宋体" w:hAnsi="宋体" w:eastAsia="宋体" w:cs="宋体"/>
          <w:sz w:val="28"/>
          <w:szCs w:val="28"/>
          <w:highlight w:val="none"/>
        </w:rPr>
        <w:t>除本办法第八条、第九条、第十条规定的情形外，实施申报费收费的合约上符合交易所公布情形的频繁报撤单行为不构成异常交易行为</w:t>
      </w:r>
      <w:r>
        <w:rPr>
          <w:rFonts w:hint="eastAsia" w:ascii="宋体" w:hAnsi="宋体" w:eastAsia="宋体" w:cs="宋体"/>
          <w:sz w:val="28"/>
          <w:szCs w:val="28"/>
          <w:highlight w:val="none"/>
          <w:lang w:eastAsia="zh-CN"/>
        </w:rPr>
        <w:t>。</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第十二条</w:t>
      </w:r>
      <w:r>
        <w:rPr>
          <w:rFonts w:hint="eastAsia" w:ascii="宋体" w:hAnsi="宋体" w:eastAsia="宋体" w:cs="宋体"/>
          <w:sz w:val="28"/>
          <w:szCs w:val="28"/>
          <w:highlight w:val="none"/>
        </w:rPr>
        <w:t xml:space="preserve"> 客户或者一组实际控制关系账户单个交易日在两个以上合约因自成交、频繁报撤单、大额报撤单达到异常交易行为处理标准的，同一种异常交易行为按照发生一次认定。</w:t>
      </w:r>
    </w:p>
    <w:p>
      <w:pPr>
        <w:jc w:val="center"/>
        <w:rPr>
          <w:rFonts w:ascii="仿宋" w:hAnsi="仿宋" w:eastAsia="仿宋"/>
          <w:sz w:val="32"/>
          <w:szCs w:val="32"/>
          <w:highlight w:val="none"/>
        </w:rPr>
      </w:pPr>
      <w:r>
        <w:rPr>
          <w:rFonts w:hint="eastAsia" w:ascii="黑体" w:hAnsi="黑体" w:eastAsia="黑体"/>
          <w:sz w:val="32"/>
          <w:szCs w:val="32"/>
          <w:highlight w:val="none"/>
        </w:rPr>
        <w:t>第三章 异常交易行为处理</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第十三条</w:t>
      </w:r>
      <w:r>
        <w:rPr>
          <w:rFonts w:hint="eastAsia" w:ascii="宋体" w:hAnsi="宋体" w:eastAsia="宋体" w:cs="宋体"/>
          <w:sz w:val="28"/>
          <w:szCs w:val="28"/>
          <w:highlight w:val="none"/>
        </w:rPr>
        <w:t xml:space="preserve"> 客户自成交、频繁报撤单、大额报撤单行为达到处理标准的，交易所按照以下程序进行处理：</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（一）第一次达到处理标准的，交易所于当日对客户所在期货公司会员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境外特殊经纪参与者进行提示，要求其及时将交易所提示转达客户，对客户进行教育、引导、劝阻及制止；</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（二）第二次达到处理标准的，交易所将该客户列入重点监管名单；</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（三）第三次达到处理标准的，交易所于当日闭市后对该客户采取限制开仓的自律监管措施，限制开仓时间不少于1个月。</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第十四条</w:t>
      </w:r>
      <w:r>
        <w:rPr>
          <w:rFonts w:hint="eastAsia" w:ascii="宋体" w:hAnsi="宋体" w:eastAsia="宋体" w:cs="宋体"/>
          <w:sz w:val="28"/>
          <w:szCs w:val="28"/>
          <w:highlight w:val="none"/>
        </w:rPr>
        <w:t xml:space="preserve"> 当某个交易日某一合约出现涨（跌）停板后，客户当日在涨（跌）停板价位买（卖）单撤销定单次数100次以上且撤销定单手数合计10000手以上的，视为频繁报撤单情节严重的行为，交易所于当日闭市后对该客户采取限制开仓的自律监管措施，限制开仓时间不少于1个月。</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第十五条</w:t>
      </w:r>
      <w:r>
        <w:rPr>
          <w:rFonts w:hint="eastAsia" w:ascii="宋体" w:hAnsi="宋体" w:eastAsia="宋体" w:cs="宋体"/>
          <w:sz w:val="28"/>
          <w:szCs w:val="28"/>
          <w:highlight w:val="none"/>
        </w:rPr>
        <w:t xml:space="preserve"> 同一客户异常交易行为发生在两个以上期货公司会员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境外特殊经纪参与者的，交易所对自成交、频繁报撤单、大额报撤单发生次数最多的期货公司会员、境外特殊经纪参与者进行提示。</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第十六条</w:t>
      </w:r>
      <w:r>
        <w:rPr>
          <w:rFonts w:hint="eastAsia" w:ascii="宋体" w:hAnsi="宋体" w:eastAsia="宋体" w:cs="宋体"/>
          <w:sz w:val="28"/>
          <w:szCs w:val="28"/>
          <w:highlight w:val="none"/>
        </w:rPr>
        <w:t xml:space="preserve"> 非期货公司会员、境外特殊</w:t>
      </w:r>
      <w:r>
        <w:rPr>
          <w:rFonts w:hint="eastAsia" w:ascii="宋体" w:hAnsi="宋体" w:eastAsia="宋体" w:cs="宋体"/>
          <w:sz w:val="28"/>
          <w:szCs w:val="28"/>
          <w:highlight w:val="none"/>
          <w:lang w:eastAsia="zh-CN"/>
        </w:rPr>
        <w:t>非</w:t>
      </w:r>
      <w:r>
        <w:rPr>
          <w:rFonts w:hint="eastAsia" w:ascii="宋体" w:hAnsi="宋体" w:eastAsia="宋体" w:cs="宋体"/>
          <w:sz w:val="28"/>
          <w:szCs w:val="28"/>
          <w:highlight w:val="none"/>
        </w:rPr>
        <w:t>经纪参与者参与交易，自成交、频繁报撤单、大额报撤单行为达到处理标准的，交易所按照以下程序进行处理：</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（一）第一次达到处理标准的，交易所对该非期货公司会员、境外特殊</w:t>
      </w:r>
      <w:r>
        <w:rPr>
          <w:rFonts w:hint="eastAsia" w:ascii="宋体" w:hAnsi="宋体" w:eastAsia="宋体" w:cs="宋体"/>
          <w:sz w:val="28"/>
          <w:szCs w:val="28"/>
          <w:highlight w:val="none"/>
          <w:lang w:eastAsia="zh-CN"/>
        </w:rPr>
        <w:t>非</w:t>
      </w:r>
      <w:r>
        <w:rPr>
          <w:rFonts w:hint="eastAsia" w:ascii="宋体" w:hAnsi="宋体" w:eastAsia="宋体" w:cs="宋体"/>
          <w:sz w:val="28"/>
          <w:szCs w:val="28"/>
          <w:highlight w:val="none"/>
        </w:rPr>
        <w:t>经纪参与者进行提示；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（二）第二次达到处理标准的，交易所约见该非期货公司会员、境外特殊</w:t>
      </w:r>
      <w:r>
        <w:rPr>
          <w:rFonts w:hint="eastAsia" w:ascii="宋体" w:hAnsi="宋体" w:eastAsia="宋体" w:cs="宋体"/>
          <w:sz w:val="28"/>
          <w:szCs w:val="28"/>
          <w:highlight w:val="none"/>
          <w:lang w:eastAsia="zh-CN"/>
        </w:rPr>
        <w:t>非</w:t>
      </w:r>
      <w:r>
        <w:rPr>
          <w:rFonts w:hint="eastAsia" w:ascii="宋体" w:hAnsi="宋体" w:eastAsia="宋体" w:cs="宋体"/>
          <w:sz w:val="28"/>
          <w:szCs w:val="28"/>
          <w:highlight w:val="none"/>
        </w:rPr>
        <w:t>经纪参与者高级管理人员谈话；</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（三）第三次达到处理标准的，交易所于当日闭市后对该非期货公司会员、境外特殊非经纪参与者采取限制开仓的自律监管措施，限制开仓时间不少于3个月。</w:t>
      </w:r>
    </w:p>
    <w:p>
      <w:pPr>
        <w:ind w:firstLine="618" w:firstLineChars="221"/>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第十七条</w:t>
      </w:r>
      <w:r>
        <w:rPr>
          <w:rFonts w:hint="eastAsia" w:ascii="宋体" w:hAnsi="宋体" w:eastAsia="宋体" w:cs="宋体"/>
          <w:sz w:val="28"/>
          <w:szCs w:val="28"/>
          <w:highlight w:val="none"/>
        </w:rPr>
        <w:t xml:space="preserve"> 一组实际控制关系账户出现自成交、频繁报撤单和大额报撤单行为，达到异常交易处理标准的，交易所按照本办法第十</w:t>
      </w:r>
      <w:r>
        <w:rPr>
          <w:rFonts w:hint="eastAsia" w:ascii="宋体" w:hAnsi="宋体" w:eastAsia="宋体" w:cs="宋体"/>
          <w:b w:val="0"/>
          <w:bCs/>
          <w:sz w:val="28"/>
          <w:szCs w:val="28"/>
          <w:highlight w:val="none"/>
        </w:rPr>
        <w:t>三</w:t>
      </w:r>
      <w:r>
        <w:rPr>
          <w:rFonts w:hint="eastAsia" w:ascii="宋体" w:hAnsi="宋体" w:eastAsia="宋体" w:cs="宋体"/>
          <w:sz w:val="28"/>
          <w:szCs w:val="28"/>
          <w:highlight w:val="none"/>
        </w:rPr>
        <w:t>条至第十六条的规定进行处理。</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第十八条</w:t>
      </w:r>
      <w:r>
        <w:rPr>
          <w:rFonts w:hint="eastAsia" w:ascii="宋体" w:hAnsi="宋体" w:eastAsia="宋体" w:cs="宋体"/>
          <w:sz w:val="28"/>
          <w:szCs w:val="28"/>
          <w:highlight w:val="none"/>
        </w:rPr>
        <w:t xml:space="preserve"> 客户采取程序化交易方式下达交易指令，可能影响交易所系统安全或者正常交易秩序的，交易所可以采取约见谈话、限制开仓等自律监管措施。</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第十九条</w:t>
      </w:r>
      <w:r>
        <w:rPr>
          <w:rFonts w:hint="eastAsia" w:ascii="宋体" w:hAnsi="宋体" w:eastAsia="宋体" w:cs="宋体"/>
          <w:sz w:val="28"/>
          <w:szCs w:val="28"/>
          <w:highlight w:val="none"/>
        </w:rPr>
        <w:t xml:space="preserve"> 客户出现异常交易行为的，除按照本办法规定的程序处理外，交易所视情节轻重还可以采取要求提交书面说明、书面警示、约见谈话、限制出金、限期平仓、限制开仓、强行平仓等自律监管措施；情节严重的，依据《郑州商品交易所违规处理办法》有关规定进行处理。</w:t>
      </w:r>
    </w:p>
    <w:p>
      <w:pPr>
        <w:jc w:val="center"/>
        <w:rPr>
          <w:rFonts w:ascii="黑体" w:hAnsi="黑体" w:eastAsia="黑体"/>
          <w:sz w:val="32"/>
          <w:szCs w:val="32"/>
          <w:highlight w:val="none"/>
        </w:rPr>
      </w:pPr>
      <w:r>
        <w:rPr>
          <w:rFonts w:hint="eastAsia" w:ascii="黑体" w:hAnsi="黑体" w:eastAsia="黑体"/>
          <w:sz w:val="32"/>
          <w:szCs w:val="32"/>
          <w:highlight w:val="none"/>
        </w:rPr>
        <w:t>第四章 监督责任</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第二十条</w:t>
      </w:r>
      <w:r>
        <w:rPr>
          <w:rFonts w:hint="eastAsia" w:ascii="宋体" w:hAnsi="宋体" w:eastAsia="宋体" w:cs="宋体"/>
          <w:sz w:val="28"/>
          <w:szCs w:val="28"/>
          <w:highlight w:val="none"/>
        </w:rPr>
        <w:t xml:space="preserve"> 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机构应当密切关注客户的交易行为，积极防范客户在交易中可能出现的异常交易行为，引导客户理性、合规参与交易。</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机构发现客户出现本办法第五条规定的异常交易行为之一的，应当及时予以提醒、劝阻和制止。</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第二十一条</w:t>
      </w:r>
      <w:r>
        <w:rPr>
          <w:rFonts w:hint="eastAsia" w:ascii="宋体" w:hAnsi="宋体" w:eastAsia="宋体" w:cs="宋体"/>
          <w:sz w:val="28"/>
          <w:szCs w:val="28"/>
          <w:highlight w:val="none"/>
        </w:rPr>
        <w:t xml:space="preserve"> 交易所对存在异常交易行为的客户采取自律监管措施的，期货公司会员、境外特殊经纪参与者、境外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机构应当及时通知客户，并采取有效措施规范客户交易行为。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客户出现本办法第五条规定的异常交易行为之一的，交易所视情节轻重，可以对期货公司会员、境外特殊经纪参与者、境外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机构采取提示、约见谈话、发出监管警示函、发出监管意见函等自律监管措施。</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第二十二条</w:t>
      </w:r>
      <w:r>
        <w:rPr>
          <w:rFonts w:hint="eastAsia" w:ascii="宋体" w:hAnsi="宋体" w:eastAsia="宋体" w:cs="宋体"/>
          <w:sz w:val="28"/>
          <w:szCs w:val="28"/>
          <w:highlight w:val="none"/>
        </w:rPr>
        <w:t xml:space="preserve"> 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机构具有下列情形之一的，交易所可以责令其改正，并采取提示、约见谈话、发出监管警示函、发出监管意见函等自律监管措施；情节严重的，依据《郑州商品交易所违规处理办法》有关规定进行处理：</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（一）未及时、准确地向客户传达、送达交易所有关自律监管措施；</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（二）未采取有效措施制止客户异常交易行为；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（三）纵容、诱导、怂恿、支持客户进行异常交易；</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（四）未按照交易所要求尽责对涉嫌违法违规行为协助调查或者存在拖延、隐瞒和故意遗漏等行为；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（五）交易所认定的其他情形。</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第二十三条</w:t>
      </w:r>
      <w:r>
        <w:rPr>
          <w:rFonts w:hint="eastAsia" w:ascii="宋体" w:hAnsi="宋体" w:eastAsia="宋体" w:cs="宋体"/>
          <w:sz w:val="28"/>
          <w:szCs w:val="28"/>
          <w:highlight w:val="none"/>
        </w:rPr>
        <w:t xml:space="preserve"> 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机构未尽到相关义务，交易所已向同一期货公司会员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境外特殊经纪参与者、境外中介机构发出两次监管警示函的，第三次向该期货公司会员、境外特殊经纪参与者、境外中介机构发出监管意见函。</w:t>
      </w:r>
    </w:p>
    <w:p>
      <w:pPr>
        <w:jc w:val="center"/>
        <w:rPr>
          <w:rFonts w:ascii="黑体" w:hAnsi="黑体" w:eastAsia="黑体"/>
          <w:sz w:val="32"/>
          <w:szCs w:val="32"/>
          <w:highlight w:val="none"/>
        </w:rPr>
      </w:pPr>
      <w:r>
        <w:rPr>
          <w:rFonts w:hint="eastAsia" w:ascii="黑体" w:hAnsi="黑体" w:eastAsia="黑体"/>
          <w:sz w:val="32"/>
          <w:szCs w:val="32"/>
          <w:highlight w:val="none"/>
        </w:rPr>
        <w:t>第五章 附 则</w:t>
      </w:r>
    </w:p>
    <w:p>
      <w:pPr>
        <w:ind w:firstLine="63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第二十四条</w:t>
      </w:r>
      <w:r>
        <w:rPr>
          <w:rFonts w:hint="eastAsia" w:ascii="宋体" w:hAnsi="宋体" w:eastAsia="宋体" w:cs="宋体"/>
          <w:sz w:val="28"/>
          <w:szCs w:val="28"/>
          <w:highlight w:val="none"/>
        </w:rPr>
        <w:t xml:space="preserve"> 除本办法另有规定外，非期货公司会员、境外特殊非经纪参与者按照客户的有关规定执行。</w:t>
      </w:r>
    </w:p>
    <w:p>
      <w:pPr>
        <w:ind w:firstLine="63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第二十五条</w:t>
      </w:r>
      <w:r>
        <w:rPr>
          <w:rFonts w:hint="eastAsia" w:ascii="宋体" w:hAnsi="宋体" w:eastAsia="宋体" w:cs="宋体"/>
          <w:sz w:val="28"/>
          <w:szCs w:val="28"/>
          <w:highlight w:val="none"/>
        </w:rPr>
        <w:t xml:space="preserve"> 本办法所称期货交易包括以期货合约和期权合约为交易标的的交易活动。</w:t>
      </w:r>
    </w:p>
    <w:p>
      <w:pPr>
        <w:ind w:firstLine="63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第二十六条</w:t>
      </w:r>
      <w:r>
        <w:rPr>
          <w:rFonts w:hint="eastAsia" w:ascii="宋体" w:hAnsi="宋体" w:eastAsia="宋体" w:cs="宋体"/>
          <w:sz w:val="28"/>
          <w:szCs w:val="28"/>
          <w:highlight w:val="none"/>
        </w:rPr>
        <w:t xml:space="preserve"> 本办法规定的异常交易行为次数、监管措施次数以一个自然年度为期间进行统计。</w:t>
      </w:r>
    </w:p>
    <w:p>
      <w:pPr>
        <w:ind w:firstLine="63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第二十七条</w:t>
      </w:r>
      <w:r>
        <w:rPr>
          <w:rFonts w:hint="eastAsia" w:ascii="宋体" w:hAnsi="宋体" w:eastAsia="宋体" w:cs="宋体"/>
          <w:sz w:val="28"/>
          <w:szCs w:val="28"/>
          <w:highlight w:val="none"/>
        </w:rPr>
        <w:t xml:space="preserve"> 本办法所称“以上”、“以下”包含本数。</w:t>
      </w:r>
    </w:p>
    <w:p>
      <w:pPr>
        <w:ind w:firstLine="63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第二十八条 </w:t>
      </w:r>
      <w:r>
        <w:rPr>
          <w:rFonts w:hint="eastAsia" w:ascii="宋体" w:hAnsi="宋体" w:eastAsia="宋体" w:cs="宋体"/>
          <w:sz w:val="28"/>
          <w:szCs w:val="28"/>
          <w:highlight w:val="none"/>
        </w:rPr>
        <w:t>本办法解释权属于郑州商品交易所。</w:t>
      </w:r>
    </w:p>
    <w:p>
      <w:pPr>
        <w:ind w:firstLine="630"/>
        <w:rPr>
          <w:rFonts w:hint="eastAsia" w:ascii="宋体" w:hAnsi="宋体" w:eastAsia="宋体" w:cs="宋体"/>
          <w:sz w:val="28"/>
          <w:szCs w:val="28"/>
          <w:highlight w:val="none"/>
        </w:rPr>
      </w:pPr>
      <w:r>
        <w:rPr>
          <w:rFonts w:hint="eastAsia" w:ascii="黑体" w:hAnsi="黑体" w:eastAsia="黑体" w:cs="黑体"/>
          <w:b w:val="0"/>
          <w:bCs/>
          <w:sz w:val="28"/>
          <w:szCs w:val="28"/>
          <w:highlight w:val="none"/>
        </w:rPr>
        <w:t xml:space="preserve">第二十九条 </w:t>
      </w:r>
      <w:r>
        <w:rPr>
          <w:rFonts w:hint="eastAsia" w:ascii="宋体" w:hAnsi="宋体" w:eastAsia="宋体" w:cs="宋体"/>
          <w:sz w:val="28"/>
          <w:szCs w:val="28"/>
          <w:highlight w:val="none"/>
        </w:rPr>
        <w:t>本办法自</w:t>
      </w:r>
      <w:r>
        <w:rPr>
          <w:rFonts w:hint="eastAsia" w:ascii="宋体" w:hAnsi="宋体" w:eastAsia="宋体" w:cs="宋体"/>
          <w:sz w:val="28"/>
          <w:szCs w:val="28"/>
          <w:highlight w:val="none"/>
          <w:lang w:val="en-US" w:eastAsia="zh-CN"/>
        </w:rPr>
        <w:t>2026</w:t>
      </w:r>
      <w:r>
        <w:rPr>
          <w:rFonts w:hint="eastAsia" w:ascii="宋体" w:hAnsi="宋体" w:eastAsia="宋体" w:cs="宋体"/>
          <w:sz w:val="28"/>
          <w:szCs w:val="28"/>
          <w:highlight w:val="none"/>
        </w:rPr>
        <w:t>年</w:t>
      </w:r>
      <w:r>
        <w:rPr>
          <w:rFonts w:hint="default" w:ascii="宋体" w:hAnsi="宋体" w:cs="宋体"/>
          <w:sz w:val="28"/>
          <w:szCs w:val="28"/>
          <w:highlight w:val="none"/>
          <w:lang w:val="en-US" w:eastAsia="zh-CN"/>
        </w:rPr>
        <w:t>5</w:t>
      </w:r>
      <w:r>
        <w:rPr>
          <w:rFonts w:hint="eastAsia" w:ascii="宋体" w:hAnsi="宋体" w:eastAsia="宋体" w:cs="宋体"/>
          <w:sz w:val="28"/>
          <w:szCs w:val="28"/>
          <w:highlight w:val="none"/>
        </w:rPr>
        <w:t>月</w:t>
      </w:r>
      <w:r>
        <w:rPr>
          <w:rFonts w:hint="default" w:ascii="宋体" w:hAnsi="宋体" w:cs="宋体"/>
          <w:sz w:val="28"/>
          <w:szCs w:val="28"/>
          <w:highlight w:val="none"/>
          <w:lang w:val="en-US" w:eastAsia="zh-CN"/>
        </w:rPr>
        <w:t>7</w:t>
      </w:r>
      <w:r>
        <w:rPr>
          <w:rFonts w:hint="eastAsia" w:ascii="宋体" w:hAnsi="宋体" w:eastAsia="宋体" w:cs="宋体"/>
          <w:sz w:val="28"/>
          <w:szCs w:val="28"/>
          <w:highlight w:val="none"/>
        </w:rPr>
        <w:t>日起施行。</w:t>
      </w:r>
    </w:p>
    <w:p>
      <w:pPr>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br w:type="page"/>
      </w:r>
      <w:r>
        <w:rPr>
          <w:rFonts w:hint="eastAsia" w:ascii="黑体" w:hAnsi="黑体" w:eastAsia="黑体" w:cs="黑体"/>
          <w:sz w:val="32"/>
          <w:szCs w:val="32"/>
          <w:highlight w:val="none"/>
          <w:lang w:val="en-US" w:eastAsia="zh-CN"/>
        </w:rPr>
        <w:t>附件15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郑州商品交易所违规处理办法</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对《郑州商品交易所违规处理办法》作如下修订：</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将第一章第二条修订为：“本办法所称违规行为是指期货市场参与者及其工作人员违反郑州商品交易所（以下简称交易所）章程、业务规则及其他有关规定的行为。</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“前款所称期货市场参与者包括：</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ind w:left="-23"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“（一）会员；</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ind w:left="-23"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“（二）境外特殊参与者；</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ind w:left="-23"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“（三）境外中介机构；……”</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将第二章第七条修订为：“交易所进行稽查时，可以行使下列职权：</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“（一）查阅、复制与期货交易有关的信息、资料；</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“（二）要求期货市场参与者提供年报、第三方审计报告等；要求境外特殊参与者、境外中介机构或者境外客户提供境外监管机构出具的监管报告；……”</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原第三章第十九条后增加第二十条：“境外特殊经纪参与者具有下列违反经纪业务管理规定行为之一的，责令改正，没收违规所得，交易所可以根据情节轻重给予警告、通报批评、公开谴责、强行平仓、暂停开仓交易12个月以下、暂停部分期货或者期权业务、取消其资格、宣布为‘市场禁止进入者’的纪律处分；没有违规所得或者违规所得不满10万元的，可以并处50万元以下的罚款；违规所得10万元以上的，可以并处违规所得1倍以上5倍以下的罚款：</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“（一）为未履行开户手续或者未按规定履行开户手续的客户进行期货交易的；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“（二）违反交易编码管理制度的；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“（三）未按规定履行审核义务，为不符合开户条件的客户办理开户手续的；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“（四）未按规定履行交易者适当性管理义务的；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“（五）未如实向客户说明期货交易的风险或者不签署风险说明书的；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“（六）未按规定为自己或者他人交易的；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“（七）未按客户的委托事项进行交易，故意阻止、延误或者改变客户下单指令，诱导、强制客户进行交易的；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“（八）未将客户交易指令下达至交易所，私下对冲的；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“（九）未将自有资金与客户资金分户存放的；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“（十）故意制造或者散布虚假的或者容易使人误解的信息进行误导的；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“（十一）泄露客户委托事项或者其他交易秘密的；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“（十二）未按规定向客户提供有关成交结果、资金结算报表的；</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“（十三）违反中国证监会和交易所对经纪业务管理规定的其他行为。”</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条修订为：“会员、境外特殊参与者具有下列行为之一的，责令改正，交易所可以根据情节轻重给予警告、通报批评、公开谴责、暂停开仓交易12个月以下、暂停部分期货或者期权业务、取消相应资格的纪律处分：</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“……（八）私下转让或者处分会员、境外特殊参与者资格或者交易席位的；</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“……（十三）未按规定履行境外中介机构备案义务的；……”</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一条修订为：“会员、境外特殊参与者无正当理由未在规定期限内执行强行平仓的，交易所可以根据情节轻重给予警告、通报批评、公开谴责、暂停开仓交易12个月以下、暂停部分期货或者期权业务的纪律处分，可以并处50万元以下的罚款。”</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将原第三章第二十三条修订为：“境外中介机构具有下列情形之一的，责令改正，交易所可以根据情节轻重给予警告、通报批评、公开谴责、取消境外中介机构备案的纪律处分：</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“……（三）违反交易所关于境外中介机构的其他规定。</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境外中介机构有上述情形之一且逾期未改正，或者涉嫌违法违规、出现重大风险，可能危及期货市场稳健运行、损害客户合法权益的，交易所可以要求期货公司会员、境外特殊经纪参与者暂停或者终止与该境外中介机构的委托业务。</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“境外中介机构被暂停或者终止与期货公司会员、境外特殊经纪参与者的委托代理业务后，不得代理新增客户或者开新仓；客户要求移仓至其他机构的，应当配合完成。”</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四条修订为：“会员、境外特殊参与者、境外中介机构或者客户在套期保值申报过程中提供或者协助提供虚假材料，或者违反交易所套期保值其他管理规定的，责令改正，没收违规所得，交易所可以根据情节轻重给予警告、通报批评、公开谴责、调整或者取消套期保值持仓额度、暂停受理套期保值额度申请、暂停开仓交易12个月以下、暂停部分期货或者期权业务、强行平仓、取消相应资格、宣布为‘市场禁止进入者’的纪律处分，可以并处其获准的套期保值持仓总金额5%以下的罚款。”</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五条修订为：“非期货公司会员、境外特殊非经纪参与者、做市商或者客户等期货市场参与者具有下列违反交易所持仓管理规定行为之一的，责令改正，没收违规所得，交易所可以根据情节轻重给予强行平仓、警告、通报批评、公开谴责、暂停开仓交易12个月以下、暂停部分期货或者期权业务、取消相应资格的纪律处分，可以并处其违规持仓总金额5%以下的罚款：</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“……期货公司会员、境外特殊经纪参与者或者境外中介机构未及时、准确、完整地向客户传达交易所持仓管理规定的，交易所可以参照适用前款规定给予相应纪律处分。”</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六条修订为：“非期货公司会员、境外特殊非经纪参与者、做市商或者客户等期货市场参与者利用不正当手段规避交易所交易限额制度，超限交易的，责令改正，没收违规所得，交易所可以根据情节轻重给予警告、通报批评、公开谴责、强行平仓、暂停开仓交易12个月以下、暂停部分期货或者期权业务、取消相应资格的纪律处分，可以并处50万元以下的罚款。”</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七条修订为：“非期货公司会员、境外特殊非经纪参与者、客户等期货市场参与者具有下列违反交易所实际控制关系账户管理规定行为之一的，责令改正，交易所可以根据情节轻重给予警告、通报批评、公开谴责、暂停开仓交易12个月以下、暂停部分期货或者期权业务、取消相应资格的纪律处分，可以并处50万元以下的罚款：</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“……会员、境外特殊经纪参与者、境外中介机构未履行对客户实际控制关系账户的管理职责，诱导或者协助客户提供虚假性材料、隐瞒事实真相的，交易所可以参照适用前款规定给予相应纪律处分。”</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三章第二十九条修订为：“会员、境外特殊参与者、境外中介机构、客户参与标准仓单业务时，违反交易所规定的，责令改正，交易所可以根据情节轻重给予警告、通报批评、公开谴责、暂停从事标准仓单业务、取消相应资格的纪律处分，可以并处50万元以下的罚款。”</w:t>
      </w:r>
    </w:p>
    <w:p>
      <w:pPr>
        <w:pStyle w:val="7"/>
        <w:keepNext w:val="0"/>
        <w:keepLines w:val="0"/>
        <w:pageBreakBefore w:val="0"/>
        <w:widowControl w:val="0"/>
        <w:numPr>
          <w:ilvl w:val="0"/>
          <w:numId w:val="20"/>
        </w:numPr>
        <w:shd w:val="clear" w:color="auto" w:fill="FFFFFF"/>
        <w:kinsoku/>
        <w:wordWrap/>
        <w:overflowPunct/>
        <w:topLinePunct w:val="0"/>
        <w:autoSpaceDE/>
        <w:autoSpaceDN/>
        <w:bidi w:val="0"/>
        <w:adjustRightInd w:val="0"/>
        <w:snapToGrid/>
        <w:spacing w:before="0" w:beforeAutospacing="0" w:after="0" w:afterAutospacing="0"/>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将原第四章第四十四条修订为：“交易所作出取消会员资格、取消境外特殊参与者资格、宣布为‘市场禁止进入者’的纪律处分应当由交易所理事会决定。”</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十三、将原第四章第五十条第三款修订为：“会员、境外特殊参与者、境外中介机构应当配合执行交易所对客户、做市商的纪律处分，划拨客户、做市商在该会员处的资金。”</w:t>
      </w:r>
    </w:p>
    <w:p>
      <w:pPr>
        <w:jc w:val="center"/>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《郑州商品交易所违规处理办法》</w:t>
      </w:r>
    </w:p>
    <w:p>
      <w:pPr>
        <w:jc w:val="center"/>
        <w:rPr>
          <w:rFonts w:hint="eastAsia" w:ascii="宋体" w:hAnsi="宋体" w:eastAsia="方正小标宋简体"/>
          <w:b/>
          <w:sz w:val="40"/>
          <w:szCs w:val="40"/>
          <w:highlight w:val="none"/>
          <w:lang w:val="en-US" w:eastAsia="zh-CN"/>
        </w:rPr>
      </w:pPr>
      <w:r>
        <w:rPr>
          <w:rFonts w:hint="eastAsia" w:ascii="方正小标宋简体" w:hAnsi="方正小标宋简体" w:eastAsia="方正小标宋简体" w:cs="方正小标宋简体"/>
          <w:b w:val="0"/>
          <w:bCs/>
          <w:sz w:val="40"/>
          <w:szCs w:val="40"/>
          <w:highlight w:val="none"/>
        </w:rPr>
        <w:t>修订对照表</w:t>
      </w:r>
    </w:p>
    <w:p>
      <w:pPr>
        <w:widowControl/>
        <w:spacing w:line="360" w:lineRule="auto"/>
        <w:jc w:val="center"/>
        <w:outlineLvl w:val="0"/>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66"/>
        <w:gridCol w:w="95"/>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500" w:type="pct"/>
            <w:gridSpan w:val="2"/>
            <w:noWrap w:val="0"/>
            <w:vAlign w:val="top"/>
          </w:tcPr>
          <w:p>
            <w:pPr>
              <w:autoSpaceDE w:val="0"/>
              <w:autoSpaceDN w:val="0"/>
              <w:adjustRightInd w:val="0"/>
              <w:jc w:val="center"/>
              <w:rPr>
                <w:rFonts w:ascii="仿宋" w:hAnsi="仿宋" w:eastAsia="仿宋"/>
                <w:b/>
                <w:color w:val="000000"/>
                <w:sz w:val="24"/>
                <w:highlight w:val="none"/>
              </w:rPr>
            </w:pPr>
            <w:r>
              <w:rPr>
                <w:rFonts w:hint="eastAsia" w:ascii="仿宋" w:hAnsi="仿宋" w:eastAsia="仿宋"/>
                <w:b/>
                <w:color w:val="000000"/>
                <w:sz w:val="24"/>
                <w:highlight w:val="none"/>
                <w:lang w:eastAsia="zh-CN"/>
              </w:rPr>
              <w:t>修订前</w:t>
            </w:r>
            <w:r>
              <w:rPr>
                <w:rFonts w:ascii="仿宋" w:hAnsi="仿宋" w:eastAsia="仿宋"/>
                <w:b/>
                <w:color w:val="000000"/>
                <w:sz w:val="24"/>
                <w:highlight w:val="none"/>
              </w:rPr>
              <w:t>条文</w:t>
            </w:r>
          </w:p>
        </w:tc>
        <w:tc>
          <w:tcPr>
            <w:tcW w:w="2500" w:type="pct"/>
            <w:noWrap w:val="0"/>
            <w:vAlign w:val="top"/>
          </w:tcPr>
          <w:p>
            <w:pPr>
              <w:autoSpaceDE w:val="0"/>
              <w:autoSpaceDN w:val="0"/>
              <w:adjustRightInd w:val="0"/>
              <w:jc w:val="center"/>
              <w:rPr>
                <w:rFonts w:ascii="仿宋" w:hAnsi="仿宋" w:eastAsia="仿宋"/>
                <w:b/>
                <w:color w:val="000000"/>
                <w:sz w:val="24"/>
                <w:highlight w:val="none"/>
              </w:rPr>
            </w:pPr>
            <w:r>
              <w:rPr>
                <w:rFonts w:ascii="仿宋" w:hAnsi="仿宋" w:eastAsia="仿宋"/>
                <w:b/>
                <w:color w:val="000000"/>
                <w:sz w:val="24"/>
                <w:highlight w:val="none"/>
              </w:rPr>
              <w:t>修订</w:t>
            </w:r>
            <w:r>
              <w:rPr>
                <w:rFonts w:hint="eastAsia" w:ascii="仿宋" w:hAnsi="仿宋" w:eastAsia="仿宋"/>
                <w:b/>
                <w:color w:val="000000"/>
                <w:sz w:val="24"/>
                <w:highlight w:val="none"/>
                <w:lang w:eastAsia="zh-CN"/>
              </w:rPr>
              <w:t>后</w:t>
            </w:r>
            <w:r>
              <w:rPr>
                <w:rFonts w:ascii="仿宋" w:hAnsi="仿宋" w:eastAsia="仿宋"/>
                <w:b/>
                <w:color w:val="000000"/>
                <w:sz w:val="24"/>
                <w:highlight w:val="none"/>
              </w:rPr>
              <w:t>条文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noWrap w:val="0"/>
            <w:vAlign w:val="top"/>
          </w:tcPr>
          <w:p>
            <w:pPr>
              <w:autoSpaceDE w:val="0"/>
              <w:autoSpaceDN w:val="0"/>
              <w:adjustRightInd w:val="0"/>
              <w:jc w:val="center"/>
              <w:rPr>
                <w:rFonts w:ascii="仿宋" w:hAnsi="仿宋" w:eastAsia="仿宋"/>
                <w:b/>
                <w:sz w:val="24"/>
                <w:highlight w:val="none"/>
              </w:rPr>
            </w:pPr>
            <w:r>
              <w:rPr>
                <w:rFonts w:hint="eastAsia" w:ascii="仿宋" w:hAnsi="仿宋" w:eastAsia="仿宋"/>
                <w:b/>
                <w:sz w:val="24"/>
                <w:highlight w:val="none"/>
              </w:rPr>
              <w:t>第一章 总 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b/>
                <w:highlight w:val="none"/>
              </w:rPr>
              <w:t>第二条</w:t>
            </w:r>
            <w:r>
              <w:rPr>
                <w:rFonts w:hint="eastAsia" w:ascii="仿宋" w:hAnsi="仿宋" w:eastAsia="仿宋"/>
                <w:highlight w:val="none"/>
              </w:rPr>
              <w:t xml:space="preserve"> 本办法所称违规行为是指期货市场参与者及其工作人员违反郑州商品交易所（以下简称交易所）章程、业务</w:t>
            </w:r>
            <w:r>
              <w:rPr>
                <w:rFonts w:ascii="仿宋" w:hAnsi="仿宋" w:eastAsia="仿宋"/>
                <w:highlight w:val="none"/>
              </w:rPr>
              <w:t>规则</w:t>
            </w:r>
            <w:r>
              <w:rPr>
                <w:rFonts w:hint="eastAsia" w:ascii="仿宋" w:hAnsi="仿宋" w:eastAsia="仿宋"/>
                <w:highlight w:val="none"/>
              </w:rPr>
              <w:t>及其他有关规定的行为。</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前款所称期货市场参与者包括：</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（一）会员；</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（二）境外经纪机构；</w:t>
            </w:r>
          </w:p>
          <w:p>
            <w:pPr>
              <w:pStyle w:val="7"/>
              <w:shd w:val="clear" w:color="auto" w:fill="FFFFFF"/>
              <w:adjustRightInd w:val="0"/>
              <w:spacing w:before="0" w:beforeAutospacing="0" w:after="0" w:afterAutospacing="0"/>
              <w:ind w:firstLine="480" w:firstLineChars="200"/>
              <w:rPr>
                <w:rFonts w:ascii="仿宋" w:hAnsi="仿宋" w:eastAsia="仿宋"/>
                <w:highlight w:val="none"/>
              </w:rPr>
            </w:pPr>
            <w:r>
              <w:rPr>
                <w:rFonts w:hint="eastAsia" w:ascii="仿宋" w:hAnsi="仿宋" w:eastAsia="仿宋"/>
                <w:highlight w:val="none"/>
              </w:rPr>
              <w:t>……</w:t>
            </w:r>
          </w:p>
        </w:tc>
        <w:tc>
          <w:tcPr>
            <w:tcW w:w="2556" w:type="pct"/>
            <w:gridSpan w:val="2"/>
            <w:noWrap w:val="0"/>
            <w:vAlign w:val="top"/>
          </w:tcPr>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b/>
                <w:highlight w:val="none"/>
              </w:rPr>
              <w:t>第二条</w:t>
            </w:r>
            <w:r>
              <w:rPr>
                <w:rFonts w:hint="eastAsia" w:ascii="仿宋" w:hAnsi="仿宋" w:eastAsia="仿宋"/>
                <w:highlight w:val="none"/>
              </w:rPr>
              <w:t xml:space="preserve"> 本办法所称违规行为是指期货市场参与者及其工作人员违反郑州商品交易所（以下简称交易所）章程、业务</w:t>
            </w:r>
            <w:r>
              <w:rPr>
                <w:rFonts w:ascii="仿宋" w:hAnsi="仿宋" w:eastAsia="仿宋"/>
                <w:highlight w:val="none"/>
              </w:rPr>
              <w:t>规则</w:t>
            </w:r>
            <w:r>
              <w:rPr>
                <w:rFonts w:hint="eastAsia" w:ascii="仿宋" w:hAnsi="仿宋" w:eastAsia="仿宋"/>
                <w:highlight w:val="none"/>
              </w:rPr>
              <w:t>及其他有关规定的行为。</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前款所称期货市场参与者包括：</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（一）会员；</w:t>
            </w:r>
          </w:p>
          <w:p>
            <w:pPr>
              <w:pStyle w:val="7"/>
              <w:shd w:val="clear" w:color="auto" w:fill="FFFFFF"/>
              <w:adjustRightInd w:val="0"/>
              <w:spacing w:before="0" w:beforeAutospacing="0" w:after="0" w:afterAutospacing="0"/>
              <w:ind w:left="-23" w:leftChars="-11" w:firstLine="472" w:firstLineChars="196"/>
              <w:rPr>
                <w:rFonts w:ascii="仿宋" w:hAnsi="仿宋" w:eastAsia="仿宋"/>
                <w:highlight w:val="none"/>
              </w:rPr>
            </w:pPr>
            <w:r>
              <w:rPr>
                <w:rFonts w:hint="eastAsia" w:ascii="仿宋" w:hAnsi="仿宋" w:eastAsia="仿宋" w:cs="Times New Roman"/>
                <w:b/>
                <w:kern w:val="2"/>
                <w:highlight w:val="none"/>
                <w:u w:val="single"/>
              </w:rPr>
              <w:t>（二）境外特殊参与者；</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w:t>
            </w:r>
            <w:r>
              <w:rPr>
                <w:rFonts w:hint="eastAsia" w:ascii="仿宋" w:hAnsi="仿宋" w:eastAsia="仿宋"/>
                <w:dstrike/>
                <w:highlight w:val="none"/>
              </w:rPr>
              <w:t>二</w:t>
            </w:r>
            <w:r>
              <w:rPr>
                <w:rFonts w:hint="eastAsia" w:ascii="仿宋" w:hAnsi="仿宋" w:eastAsia="仿宋"/>
                <w:b/>
                <w:highlight w:val="none"/>
                <w:u w:val="single"/>
              </w:rPr>
              <w:t>三</w:t>
            </w:r>
            <w:r>
              <w:rPr>
                <w:rFonts w:hint="eastAsia" w:ascii="仿宋" w:hAnsi="仿宋" w:eastAsia="仿宋"/>
                <w:highlight w:val="none"/>
              </w:rPr>
              <w:t>）境外</w:t>
            </w:r>
            <w:r>
              <w:rPr>
                <w:rFonts w:hint="eastAsia" w:ascii="仿宋" w:hAnsi="仿宋" w:eastAsia="仿宋" w:cs="Times New Roman"/>
                <w:dstrike/>
                <w:kern w:val="2"/>
                <w:highlight w:val="none"/>
              </w:rPr>
              <w:t>经纪</w:t>
            </w:r>
            <w:r>
              <w:rPr>
                <w:rFonts w:hint="eastAsia" w:ascii="仿宋" w:hAnsi="仿宋" w:eastAsia="仿宋" w:cs="Times New Roman"/>
                <w:b/>
                <w:kern w:val="2"/>
                <w:highlight w:val="none"/>
                <w:u w:val="single"/>
              </w:rPr>
              <w:t>中介</w:t>
            </w:r>
            <w:r>
              <w:rPr>
                <w:rFonts w:hint="eastAsia" w:ascii="仿宋" w:hAnsi="仿宋" w:eastAsia="仿宋"/>
                <w:highlight w:val="none"/>
              </w:rPr>
              <w:t>机构；</w:t>
            </w:r>
          </w:p>
          <w:p>
            <w:pPr>
              <w:pStyle w:val="7"/>
              <w:shd w:val="clear" w:color="auto" w:fill="FFFFFF"/>
              <w:adjustRightInd w:val="0"/>
              <w:spacing w:before="0" w:beforeAutospacing="0" w:after="0" w:afterAutospacing="0"/>
              <w:ind w:firstLine="480" w:firstLineChars="200"/>
              <w:rPr>
                <w:rFonts w:ascii="仿宋" w:hAnsi="仿宋" w:eastAsia="仿宋"/>
                <w:highlight w:val="none"/>
              </w:rPr>
            </w:pPr>
            <w:r>
              <w:rPr>
                <w:rFonts w:hint="eastAsia" w:ascii="仿宋" w:hAnsi="仿宋" w:eastAsia="仿宋"/>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noWrap w:val="0"/>
            <w:vAlign w:val="top"/>
          </w:tcPr>
          <w:p>
            <w:pPr>
              <w:autoSpaceDE w:val="0"/>
              <w:autoSpaceDN w:val="0"/>
              <w:adjustRightInd w:val="0"/>
              <w:jc w:val="center"/>
              <w:rPr>
                <w:rFonts w:ascii="仿宋" w:hAnsi="仿宋" w:eastAsia="仿宋"/>
                <w:color w:val="000000"/>
                <w:kern w:val="0"/>
                <w:sz w:val="24"/>
                <w:highlight w:val="none"/>
              </w:rPr>
            </w:pPr>
            <w:r>
              <w:rPr>
                <w:rFonts w:hint="eastAsia" w:ascii="仿宋" w:hAnsi="仿宋" w:eastAsia="仿宋"/>
                <w:b/>
                <w:sz w:val="24"/>
                <w:highlight w:val="none"/>
              </w:rPr>
              <w:t>第二章 稽 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b/>
                <w:highlight w:val="none"/>
              </w:rPr>
              <w:t>第七条</w:t>
            </w:r>
            <w:r>
              <w:rPr>
                <w:rFonts w:hint="eastAsia" w:ascii="仿宋" w:hAnsi="仿宋" w:eastAsia="仿宋"/>
                <w:highlight w:val="none"/>
              </w:rPr>
              <w:t xml:space="preserve"> 交易所进行稽查时，可以行使下列职权：</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（一）查阅、复制与期货交易有关的信息、资料；</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（二）要求期货市场参与者提供年报、第三方审计报告等；</w:t>
            </w:r>
            <w:r>
              <w:rPr>
                <w:rFonts w:ascii="仿宋" w:hAnsi="仿宋" w:eastAsia="仿宋"/>
                <w:highlight w:val="none"/>
              </w:rPr>
              <w:t>要求境外</w:t>
            </w:r>
            <w:r>
              <w:rPr>
                <w:rFonts w:hint="eastAsia" w:ascii="仿宋" w:hAnsi="仿宋" w:eastAsia="仿宋"/>
                <w:highlight w:val="none"/>
              </w:rPr>
              <w:t>经纪</w:t>
            </w:r>
            <w:r>
              <w:rPr>
                <w:rFonts w:ascii="仿宋" w:hAnsi="仿宋" w:eastAsia="仿宋"/>
                <w:highlight w:val="none"/>
              </w:rPr>
              <w:t>机构或者境外客户提供境外监管机构出具的监管报告；</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w:t>
            </w:r>
          </w:p>
        </w:tc>
        <w:tc>
          <w:tcPr>
            <w:tcW w:w="2556" w:type="pct"/>
            <w:gridSpan w:val="2"/>
            <w:noWrap w:val="0"/>
            <w:vAlign w:val="top"/>
          </w:tcPr>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b/>
                <w:highlight w:val="none"/>
              </w:rPr>
              <w:t>第七条</w:t>
            </w:r>
            <w:r>
              <w:rPr>
                <w:rFonts w:hint="eastAsia" w:ascii="仿宋" w:hAnsi="仿宋" w:eastAsia="仿宋"/>
                <w:highlight w:val="none"/>
              </w:rPr>
              <w:t xml:space="preserve"> 交易所进行稽查时，可以行使下列职权：</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（一）查阅、复制与期货交易有关的信息、资料；</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（二）要求期货市场参与者提供年报、第三方审计报告等；</w:t>
            </w:r>
            <w:r>
              <w:rPr>
                <w:rFonts w:ascii="仿宋" w:hAnsi="仿宋" w:eastAsia="仿宋"/>
                <w:highlight w:val="none"/>
              </w:rPr>
              <w:t>要求</w:t>
            </w:r>
            <w:r>
              <w:rPr>
                <w:rFonts w:hint="eastAsia" w:ascii="仿宋" w:hAnsi="仿宋" w:eastAsia="仿宋" w:cs="Times New Roman"/>
                <w:b/>
                <w:kern w:val="2"/>
                <w:highlight w:val="none"/>
                <w:u w:val="single"/>
              </w:rPr>
              <w:t>境外特殊参与者、</w:t>
            </w:r>
            <w:r>
              <w:rPr>
                <w:rFonts w:ascii="仿宋" w:hAnsi="仿宋" w:eastAsia="仿宋"/>
                <w:highlight w:val="none"/>
              </w:rPr>
              <w:t>境外</w:t>
            </w:r>
            <w:r>
              <w:rPr>
                <w:rFonts w:hint="eastAsia" w:ascii="仿宋" w:hAnsi="仿宋" w:eastAsia="仿宋" w:cs="Times New Roman"/>
                <w:dstrike/>
                <w:kern w:val="2"/>
                <w:highlight w:val="none"/>
              </w:rPr>
              <w:t>经纪</w:t>
            </w:r>
            <w:r>
              <w:rPr>
                <w:rFonts w:hint="eastAsia" w:ascii="仿宋" w:hAnsi="仿宋" w:eastAsia="仿宋" w:cs="Times New Roman"/>
                <w:b/>
                <w:kern w:val="2"/>
                <w:highlight w:val="none"/>
                <w:u w:val="single"/>
              </w:rPr>
              <w:t>中介</w:t>
            </w:r>
            <w:r>
              <w:rPr>
                <w:rFonts w:ascii="仿宋" w:hAnsi="仿宋" w:eastAsia="仿宋"/>
                <w:highlight w:val="none"/>
              </w:rPr>
              <w:t>机构或者境外客户提供境外监管机构出具的监管报告；</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noWrap w:val="0"/>
            <w:vAlign w:val="top"/>
          </w:tcPr>
          <w:p>
            <w:pPr>
              <w:autoSpaceDE w:val="0"/>
              <w:autoSpaceDN w:val="0"/>
              <w:adjustRightInd w:val="0"/>
              <w:jc w:val="center"/>
              <w:rPr>
                <w:rFonts w:ascii="仿宋" w:hAnsi="仿宋" w:eastAsia="仿宋"/>
                <w:color w:val="000000"/>
                <w:kern w:val="0"/>
                <w:sz w:val="24"/>
                <w:highlight w:val="none"/>
              </w:rPr>
            </w:pPr>
            <w:r>
              <w:rPr>
                <w:rFonts w:hint="eastAsia" w:ascii="仿宋" w:hAnsi="仿宋" w:eastAsia="仿宋"/>
                <w:b/>
                <w:sz w:val="24"/>
                <w:highlight w:val="none"/>
              </w:rPr>
              <w:t>第三章 违规处理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jc w:val="left"/>
              <w:rPr>
                <w:rFonts w:ascii="仿宋" w:hAnsi="仿宋" w:eastAsia="仿宋"/>
                <w:sz w:val="24"/>
                <w:highlight w:val="none"/>
              </w:rPr>
            </w:pPr>
          </w:p>
        </w:tc>
        <w:tc>
          <w:tcPr>
            <w:tcW w:w="2556" w:type="pct"/>
            <w:gridSpan w:val="2"/>
            <w:noWrap w:val="0"/>
            <w:vAlign w:val="top"/>
          </w:tcPr>
          <w:p>
            <w:pPr>
              <w:ind w:firstLine="472" w:firstLineChars="196"/>
              <w:rPr>
                <w:rFonts w:ascii="仿宋" w:hAnsi="仿宋" w:eastAsia="仿宋"/>
                <w:b/>
                <w:kern w:val="0"/>
                <w:sz w:val="24"/>
                <w:highlight w:val="none"/>
                <w:u w:val="single"/>
              </w:rPr>
            </w:pPr>
            <w:r>
              <w:rPr>
                <w:rFonts w:hint="eastAsia" w:ascii="仿宋" w:hAnsi="仿宋" w:eastAsia="仿宋"/>
                <w:b/>
                <w:bCs/>
                <w:kern w:val="0"/>
                <w:sz w:val="24"/>
                <w:highlight w:val="none"/>
                <w:u w:val="single"/>
              </w:rPr>
              <w:t>第二十条</w:t>
            </w:r>
            <w:r>
              <w:rPr>
                <w:rFonts w:ascii="仿宋" w:hAnsi="仿宋" w:eastAsia="仿宋"/>
                <w:b/>
                <w:bCs/>
                <w:kern w:val="0"/>
                <w:sz w:val="24"/>
                <w:highlight w:val="none"/>
                <w:u w:val="single"/>
              </w:rPr>
              <w:t xml:space="preserve"> </w:t>
            </w:r>
            <w:r>
              <w:rPr>
                <w:rFonts w:ascii="仿宋" w:hAnsi="仿宋" w:eastAsia="仿宋"/>
                <w:b/>
                <w:kern w:val="0"/>
                <w:sz w:val="24"/>
                <w:highlight w:val="none"/>
                <w:u w:val="single"/>
              </w:rPr>
              <w:t>境外特殊经纪参与者具有下列违反经纪业务管理规定行为之一的，责令改正</w:t>
            </w:r>
            <w:r>
              <w:rPr>
                <w:rFonts w:hint="eastAsia" w:ascii="仿宋" w:hAnsi="仿宋" w:eastAsia="仿宋"/>
                <w:b/>
                <w:bCs/>
                <w:sz w:val="24"/>
                <w:highlight w:val="none"/>
                <w:u w:val="single"/>
              </w:rPr>
              <w:t>，</w:t>
            </w:r>
            <w:r>
              <w:rPr>
                <w:rFonts w:hint="eastAsia" w:ascii="仿宋" w:hAnsi="仿宋" w:eastAsia="仿宋"/>
                <w:b/>
                <w:sz w:val="24"/>
                <w:highlight w:val="none"/>
                <w:u w:val="single"/>
              </w:rPr>
              <w:t>没收违规所得，</w:t>
            </w:r>
            <w:r>
              <w:rPr>
                <w:rFonts w:ascii="仿宋" w:hAnsi="仿宋" w:eastAsia="仿宋"/>
                <w:b/>
                <w:bCs/>
                <w:sz w:val="24"/>
                <w:highlight w:val="none"/>
                <w:u w:val="single"/>
              </w:rPr>
              <w:t>交易所可以</w:t>
            </w:r>
            <w:r>
              <w:rPr>
                <w:rFonts w:ascii="仿宋" w:hAnsi="仿宋" w:eastAsia="仿宋"/>
                <w:b/>
                <w:kern w:val="0"/>
                <w:sz w:val="24"/>
                <w:highlight w:val="none"/>
                <w:u w:val="single"/>
              </w:rPr>
              <w:t>根据情节轻重给予警告、通报批评、公开谴责、强行平仓、暂停开仓交易</w:t>
            </w:r>
            <w:r>
              <w:rPr>
                <w:rFonts w:hint="eastAsia" w:ascii="仿宋" w:hAnsi="仿宋" w:eastAsia="仿宋"/>
                <w:b/>
                <w:bCs/>
                <w:sz w:val="24"/>
                <w:highlight w:val="none"/>
                <w:u w:val="single"/>
              </w:rPr>
              <w:t>12</w:t>
            </w:r>
            <w:r>
              <w:rPr>
                <w:rFonts w:ascii="仿宋" w:hAnsi="仿宋" w:eastAsia="仿宋"/>
                <w:b/>
                <w:kern w:val="0"/>
                <w:sz w:val="24"/>
                <w:highlight w:val="none"/>
                <w:u w:val="single"/>
              </w:rPr>
              <w:t>个月</w:t>
            </w:r>
            <w:r>
              <w:rPr>
                <w:rFonts w:ascii="仿宋" w:hAnsi="仿宋" w:eastAsia="仿宋"/>
                <w:b/>
                <w:bCs/>
                <w:kern w:val="0"/>
                <w:sz w:val="24"/>
                <w:highlight w:val="none"/>
                <w:u w:val="single"/>
              </w:rPr>
              <w:t>以下</w:t>
            </w:r>
            <w:r>
              <w:rPr>
                <w:rFonts w:ascii="仿宋" w:hAnsi="仿宋" w:eastAsia="仿宋"/>
                <w:b/>
                <w:kern w:val="0"/>
                <w:sz w:val="24"/>
                <w:highlight w:val="none"/>
                <w:u w:val="single"/>
              </w:rPr>
              <w:t>、</w:t>
            </w:r>
            <w:r>
              <w:rPr>
                <w:rFonts w:ascii="仿宋" w:hAnsi="仿宋" w:eastAsia="仿宋"/>
                <w:b/>
                <w:bCs/>
                <w:kern w:val="0"/>
                <w:sz w:val="24"/>
                <w:highlight w:val="none"/>
                <w:u w:val="single"/>
              </w:rPr>
              <w:t>暂停部分期货或者期权业务、</w:t>
            </w:r>
            <w:r>
              <w:rPr>
                <w:rFonts w:ascii="仿宋" w:hAnsi="仿宋" w:eastAsia="仿宋"/>
                <w:b/>
                <w:kern w:val="0"/>
                <w:sz w:val="24"/>
                <w:highlight w:val="none"/>
                <w:u w:val="single"/>
              </w:rPr>
              <w:t>取消其资格、宣布为“市场禁止进入者”的</w:t>
            </w:r>
            <w:r>
              <w:rPr>
                <w:rFonts w:ascii="仿宋" w:hAnsi="仿宋" w:eastAsia="仿宋"/>
                <w:b/>
                <w:bCs/>
                <w:sz w:val="24"/>
                <w:highlight w:val="none"/>
                <w:u w:val="single"/>
              </w:rPr>
              <w:t>纪律处分</w:t>
            </w:r>
            <w:r>
              <w:rPr>
                <w:rFonts w:ascii="仿宋" w:hAnsi="仿宋" w:eastAsia="仿宋"/>
                <w:b/>
                <w:bCs/>
                <w:kern w:val="0"/>
                <w:sz w:val="24"/>
                <w:highlight w:val="none"/>
                <w:u w:val="single"/>
              </w:rPr>
              <w:t>；</w:t>
            </w:r>
            <w:r>
              <w:rPr>
                <w:rFonts w:ascii="仿宋" w:hAnsi="仿宋" w:eastAsia="仿宋"/>
                <w:b/>
                <w:kern w:val="0"/>
                <w:sz w:val="24"/>
                <w:highlight w:val="none"/>
                <w:u w:val="single"/>
              </w:rPr>
              <w:t>没有违规所得或者违规所得</w:t>
            </w:r>
            <w:r>
              <w:rPr>
                <w:rFonts w:ascii="仿宋" w:hAnsi="仿宋" w:eastAsia="仿宋"/>
                <w:b/>
                <w:bCs/>
                <w:kern w:val="0"/>
                <w:sz w:val="24"/>
                <w:highlight w:val="none"/>
                <w:u w:val="single"/>
              </w:rPr>
              <w:t>不满</w:t>
            </w:r>
            <w:r>
              <w:rPr>
                <w:rFonts w:ascii="仿宋" w:hAnsi="仿宋" w:eastAsia="仿宋"/>
                <w:b/>
                <w:sz w:val="24"/>
                <w:highlight w:val="none"/>
                <w:u w:val="single"/>
              </w:rPr>
              <w:t>10</w:t>
            </w:r>
            <w:r>
              <w:rPr>
                <w:rFonts w:ascii="仿宋" w:hAnsi="仿宋" w:eastAsia="仿宋"/>
                <w:b/>
                <w:kern w:val="0"/>
                <w:sz w:val="24"/>
                <w:highlight w:val="none"/>
                <w:u w:val="single"/>
              </w:rPr>
              <w:t>万元的，可以并处</w:t>
            </w:r>
            <w:r>
              <w:rPr>
                <w:rFonts w:hint="eastAsia" w:ascii="仿宋" w:hAnsi="仿宋" w:eastAsia="仿宋"/>
                <w:b/>
                <w:bCs/>
                <w:sz w:val="24"/>
                <w:highlight w:val="none"/>
                <w:u w:val="single"/>
              </w:rPr>
              <w:t>50</w:t>
            </w:r>
            <w:r>
              <w:rPr>
                <w:rFonts w:ascii="仿宋" w:hAnsi="仿宋" w:eastAsia="仿宋"/>
                <w:b/>
                <w:kern w:val="0"/>
                <w:sz w:val="24"/>
                <w:highlight w:val="none"/>
                <w:u w:val="single"/>
              </w:rPr>
              <w:t>万元</w:t>
            </w:r>
            <w:r>
              <w:rPr>
                <w:rFonts w:ascii="仿宋" w:hAnsi="仿宋" w:eastAsia="仿宋"/>
                <w:b/>
                <w:bCs/>
                <w:kern w:val="0"/>
                <w:sz w:val="24"/>
                <w:highlight w:val="none"/>
                <w:u w:val="single"/>
              </w:rPr>
              <w:t>以下</w:t>
            </w:r>
            <w:r>
              <w:rPr>
                <w:rFonts w:ascii="仿宋" w:hAnsi="仿宋" w:eastAsia="仿宋"/>
                <w:b/>
                <w:kern w:val="0"/>
                <w:sz w:val="24"/>
                <w:highlight w:val="none"/>
                <w:u w:val="single"/>
              </w:rPr>
              <w:t>的罚款</w:t>
            </w:r>
            <w:r>
              <w:rPr>
                <w:rFonts w:hint="eastAsia" w:ascii="仿宋" w:hAnsi="仿宋" w:eastAsia="仿宋"/>
                <w:b/>
                <w:sz w:val="24"/>
                <w:highlight w:val="none"/>
                <w:u w:val="single"/>
              </w:rPr>
              <w:t>；违规所得</w:t>
            </w:r>
            <w:r>
              <w:rPr>
                <w:rFonts w:ascii="仿宋" w:hAnsi="仿宋" w:eastAsia="仿宋"/>
                <w:b/>
                <w:sz w:val="24"/>
                <w:highlight w:val="none"/>
                <w:u w:val="single"/>
              </w:rPr>
              <w:t>10</w:t>
            </w:r>
            <w:r>
              <w:rPr>
                <w:rFonts w:hint="eastAsia" w:ascii="仿宋" w:hAnsi="仿宋" w:eastAsia="仿宋"/>
                <w:b/>
                <w:sz w:val="24"/>
                <w:highlight w:val="none"/>
                <w:u w:val="single"/>
              </w:rPr>
              <w:t>万元以上的，可以并处违规所得</w:t>
            </w:r>
            <w:r>
              <w:rPr>
                <w:rFonts w:hint="eastAsia" w:ascii="仿宋" w:hAnsi="仿宋" w:eastAsia="仿宋"/>
                <w:b/>
                <w:color w:val="000000"/>
                <w:kern w:val="0"/>
                <w:sz w:val="24"/>
                <w:highlight w:val="none"/>
                <w:u w:val="single"/>
              </w:rPr>
              <w:t>1</w:t>
            </w:r>
            <w:r>
              <w:rPr>
                <w:rFonts w:ascii="仿宋" w:hAnsi="仿宋" w:eastAsia="仿宋"/>
                <w:b/>
                <w:color w:val="000000"/>
                <w:kern w:val="0"/>
                <w:sz w:val="24"/>
                <w:highlight w:val="none"/>
                <w:u w:val="single"/>
              </w:rPr>
              <w:t>倍以上</w:t>
            </w:r>
            <w:r>
              <w:rPr>
                <w:rFonts w:hint="eastAsia" w:ascii="仿宋" w:hAnsi="仿宋" w:eastAsia="仿宋"/>
                <w:b/>
                <w:color w:val="000000"/>
                <w:kern w:val="0"/>
                <w:sz w:val="24"/>
                <w:highlight w:val="none"/>
                <w:u w:val="single"/>
              </w:rPr>
              <w:t>5</w:t>
            </w:r>
            <w:r>
              <w:rPr>
                <w:rFonts w:ascii="仿宋" w:hAnsi="仿宋" w:eastAsia="仿宋"/>
                <w:b/>
                <w:color w:val="000000"/>
                <w:kern w:val="0"/>
                <w:sz w:val="24"/>
                <w:highlight w:val="none"/>
                <w:u w:val="single"/>
              </w:rPr>
              <w:t>倍</w:t>
            </w:r>
            <w:r>
              <w:rPr>
                <w:rFonts w:hint="eastAsia" w:ascii="仿宋" w:hAnsi="仿宋" w:eastAsia="仿宋"/>
                <w:b/>
                <w:sz w:val="24"/>
                <w:highlight w:val="none"/>
                <w:u w:val="single"/>
              </w:rPr>
              <w:t>以下的罚款</w:t>
            </w:r>
            <w:r>
              <w:rPr>
                <w:rFonts w:ascii="仿宋" w:hAnsi="仿宋" w:eastAsia="仿宋"/>
                <w:b/>
                <w:kern w:val="0"/>
                <w:sz w:val="24"/>
                <w:highlight w:val="none"/>
                <w:u w:val="single"/>
              </w:rPr>
              <w:t>：</w:t>
            </w:r>
          </w:p>
          <w:p>
            <w:pPr>
              <w:rPr>
                <w:rFonts w:ascii="仿宋" w:hAnsi="仿宋" w:eastAsia="仿宋"/>
                <w:b/>
                <w:kern w:val="0"/>
                <w:sz w:val="24"/>
                <w:highlight w:val="none"/>
                <w:u w:val="single"/>
              </w:rPr>
            </w:pPr>
            <w:r>
              <w:rPr>
                <w:rFonts w:ascii="仿宋" w:hAnsi="仿宋" w:eastAsia="仿宋"/>
                <w:b/>
                <w:kern w:val="0"/>
                <w:sz w:val="24"/>
                <w:highlight w:val="none"/>
                <w:u w:val="single"/>
              </w:rPr>
              <w:t>（一）为未履行开户手续或者未按规定履行开户手续的客户进行期货交易的；</w:t>
            </w:r>
          </w:p>
          <w:p>
            <w:pPr>
              <w:rPr>
                <w:rFonts w:ascii="仿宋" w:hAnsi="仿宋" w:eastAsia="仿宋"/>
                <w:b/>
                <w:kern w:val="0"/>
                <w:sz w:val="24"/>
                <w:highlight w:val="none"/>
                <w:u w:val="single"/>
              </w:rPr>
            </w:pPr>
            <w:r>
              <w:rPr>
                <w:rFonts w:ascii="仿宋" w:hAnsi="仿宋" w:eastAsia="仿宋"/>
                <w:b/>
                <w:kern w:val="0"/>
                <w:sz w:val="24"/>
                <w:highlight w:val="none"/>
                <w:u w:val="single"/>
              </w:rPr>
              <w:t>（二）违反交易编码管理制度的；</w:t>
            </w:r>
          </w:p>
          <w:p>
            <w:pPr>
              <w:rPr>
                <w:rFonts w:ascii="仿宋" w:hAnsi="仿宋" w:eastAsia="仿宋"/>
                <w:b/>
                <w:kern w:val="0"/>
                <w:sz w:val="24"/>
                <w:highlight w:val="none"/>
                <w:u w:val="single"/>
              </w:rPr>
            </w:pPr>
            <w:r>
              <w:rPr>
                <w:rFonts w:ascii="仿宋" w:hAnsi="仿宋" w:eastAsia="仿宋"/>
                <w:b/>
                <w:kern w:val="0"/>
                <w:sz w:val="24"/>
                <w:highlight w:val="none"/>
                <w:u w:val="single"/>
              </w:rPr>
              <w:t>（三）未按规定履行审核义务，为不符合开户条件的客户办理开户手续的；</w:t>
            </w:r>
          </w:p>
          <w:p>
            <w:pPr>
              <w:rPr>
                <w:rFonts w:ascii="仿宋" w:hAnsi="仿宋" w:eastAsia="仿宋"/>
                <w:b/>
                <w:bCs/>
                <w:kern w:val="0"/>
                <w:sz w:val="24"/>
                <w:highlight w:val="none"/>
                <w:u w:val="single"/>
              </w:rPr>
            </w:pPr>
            <w:r>
              <w:rPr>
                <w:rFonts w:ascii="仿宋" w:hAnsi="仿宋" w:eastAsia="仿宋"/>
                <w:b/>
                <w:bCs/>
                <w:kern w:val="0"/>
                <w:sz w:val="24"/>
                <w:highlight w:val="none"/>
                <w:u w:val="single"/>
              </w:rPr>
              <w:t>（</w:t>
            </w:r>
            <w:r>
              <w:rPr>
                <w:rFonts w:hint="eastAsia" w:ascii="仿宋" w:hAnsi="仿宋" w:eastAsia="仿宋"/>
                <w:b/>
                <w:bCs/>
                <w:kern w:val="0"/>
                <w:sz w:val="24"/>
                <w:highlight w:val="none"/>
                <w:u w:val="single"/>
              </w:rPr>
              <w:t>四</w:t>
            </w:r>
            <w:r>
              <w:rPr>
                <w:rFonts w:ascii="仿宋" w:hAnsi="仿宋" w:eastAsia="仿宋"/>
                <w:b/>
                <w:bCs/>
                <w:kern w:val="0"/>
                <w:sz w:val="24"/>
                <w:highlight w:val="none"/>
                <w:u w:val="single"/>
              </w:rPr>
              <w:t>）</w:t>
            </w:r>
            <w:r>
              <w:rPr>
                <w:rFonts w:ascii="仿宋" w:hAnsi="仿宋" w:eastAsia="仿宋"/>
                <w:b/>
                <w:bCs/>
                <w:sz w:val="24"/>
                <w:highlight w:val="none"/>
                <w:u w:val="single"/>
              </w:rPr>
              <w:t>未按规定履行交易者适当性管理义务的；</w:t>
            </w:r>
          </w:p>
          <w:p>
            <w:pPr>
              <w:rPr>
                <w:rFonts w:ascii="仿宋" w:hAnsi="仿宋" w:eastAsia="仿宋"/>
                <w:b/>
                <w:kern w:val="0"/>
                <w:sz w:val="24"/>
                <w:highlight w:val="none"/>
                <w:u w:val="single"/>
              </w:rPr>
            </w:pPr>
            <w:r>
              <w:rPr>
                <w:rFonts w:ascii="仿宋" w:hAnsi="仿宋" w:eastAsia="仿宋"/>
                <w:b/>
                <w:kern w:val="0"/>
                <w:sz w:val="24"/>
                <w:highlight w:val="none"/>
                <w:u w:val="single"/>
              </w:rPr>
              <w:t>（</w:t>
            </w:r>
            <w:r>
              <w:rPr>
                <w:rFonts w:hint="eastAsia" w:ascii="仿宋" w:hAnsi="仿宋" w:eastAsia="仿宋"/>
                <w:b/>
                <w:kern w:val="0"/>
                <w:sz w:val="24"/>
                <w:highlight w:val="none"/>
                <w:u w:val="single"/>
              </w:rPr>
              <w:t>五</w:t>
            </w:r>
            <w:r>
              <w:rPr>
                <w:rFonts w:ascii="仿宋" w:hAnsi="仿宋" w:eastAsia="仿宋"/>
                <w:b/>
                <w:kern w:val="0"/>
                <w:sz w:val="24"/>
                <w:highlight w:val="none"/>
                <w:u w:val="single"/>
              </w:rPr>
              <w:t>）未如实向客户说明期货交易的风险或者不签署风险说明书的；</w:t>
            </w:r>
          </w:p>
          <w:p>
            <w:pPr>
              <w:rPr>
                <w:rFonts w:ascii="仿宋" w:hAnsi="仿宋" w:eastAsia="仿宋"/>
                <w:b/>
                <w:kern w:val="0"/>
                <w:sz w:val="24"/>
                <w:highlight w:val="none"/>
                <w:u w:val="single"/>
              </w:rPr>
            </w:pPr>
            <w:r>
              <w:rPr>
                <w:rFonts w:hint="eastAsia" w:ascii="仿宋" w:hAnsi="仿宋" w:eastAsia="仿宋"/>
                <w:b/>
                <w:kern w:val="0"/>
                <w:sz w:val="24"/>
                <w:highlight w:val="none"/>
                <w:u w:val="single"/>
              </w:rPr>
              <w:t>（六）</w:t>
            </w:r>
            <w:r>
              <w:rPr>
                <w:rFonts w:hint="eastAsia" w:ascii="仿宋" w:hAnsi="仿宋" w:eastAsia="仿宋"/>
                <w:b/>
                <w:bCs/>
                <w:sz w:val="24"/>
                <w:highlight w:val="none"/>
                <w:u w:val="single"/>
              </w:rPr>
              <w:t>未按规定</w:t>
            </w:r>
            <w:r>
              <w:rPr>
                <w:rFonts w:hint="eastAsia" w:ascii="仿宋" w:hAnsi="仿宋" w:eastAsia="仿宋"/>
                <w:b/>
                <w:kern w:val="0"/>
                <w:sz w:val="24"/>
                <w:highlight w:val="none"/>
                <w:u w:val="single"/>
              </w:rPr>
              <w:t>为自己或者他人交易的；</w:t>
            </w:r>
          </w:p>
          <w:p>
            <w:pPr>
              <w:rPr>
                <w:rFonts w:ascii="仿宋" w:hAnsi="仿宋" w:eastAsia="仿宋"/>
                <w:b/>
                <w:kern w:val="0"/>
                <w:sz w:val="24"/>
                <w:highlight w:val="none"/>
                <w:u w:val="single"/>
              </w:rPr>
            </w:pPr>
            <w:r>
              <w:rPr>
                <w:rFonts w:ascii="仿宋" w:hAnsi="仿宋" w:eastAsia="仿宋"/>
                <w:b/>
                <w:kern w:val="0"/>
                <w:sz w:val="24"/>
                <w:highlight w:val="none"/>
                <w:u w:val="single"/>
              </w:rPr>
              <w:t>（</w:t>
            </w:r>
            <w:r>
              <w:rPr>
                <w:rFonts w:hint="eastAsia" w:ascii="仿宋" w:hAnsi="仿宋" w:eastAsia="仿宋"/>
                <w:b/>
                <w:kern w:val="0"/>
                <w:sz w:val="24"/>
                <w:highlight w:val="none"/>
                <w:u w:val="single"/>
              </w:rPr>
              <w:t>七</w:t>
            </w:r>
            <w:r>
              <w:rPr>
                <w:rFonts w:ascii="仿宋" w:hAnsi="仿宋" w:eastAsia="仿宋"/>
                <w:b/>
                <w:kern w:val="0"/>
                <w:sz w:val="24"/>
                <w:highlight w:val="none"/>
                <w:u w:val="single"/>
              </w:rPr>
              <w:t>）未按客户的委托事项进行交易，故意阻止、延误或者改变客户下单指令，诱导、强制客户进行交易的；</w:t>
            </w:r>
          </w:p>
          <w:p>
            <w:pPr>
              <w:rPr>
                <w:rFonts w:ascii="仿宋" w:hAnsi="仿宋" w:eastAsia="仿宋"/>
                <w:b/>
                <w:kern w:val="0"/>
                <w:sz w:val="24"/>
                <w:highlight w:val="none"/>
                <w:u w:val="single"/>
              </w:rPr>
            </w:pPr>
            <w:r>
              <w:rPr>
                <w:rFonts w:ascii="仿宋" w:hAnsi="仿宋" w:eastAsia="仿宋"/>
                <w:b/>
                <w:kern w:val="0"/>
                <w:sz w:val="24"/>
                <w:highlight w:val="none"/>
                <w:u w:val="single"/>
              </w:rPr>
              <w:t>（</w:t>
            </w:r>
            <w:r>
              <w:rPr>
                <w:rFonts w:hint="eastAsia" w:ascii="仿宋" w:hAnsi="仿宋" w:eastAsia="仿宋"/>
                <w:b/>
                <w:kern w:val="0"/>
                <w:sz w:val="24"/>
                <w:highlight w:val="none"/>
                <w:u w:val="single"/>
              </w:rPr>
              <w:t>八</w:t>
            </w:r>
            <w:r>
              <w:rPr>
                <w:rFonts w:ascii="仿宋" w:hAnsi="仿宋" w:eastAsia="仿宋"/>
                <w:b/>
                <w:kern w:val="0"/>
                <w:sz w:val="24"/>
                <w:highlight w:val="none"/>
                <w:u w:val="single"/>
              </w:rPr>
              <w:t>）未将客户交易指令下达至交易所</w:t>
            </w:r>
            <w:r>
              <w:rPr>
                <w:rFonts w:ascii="仿宋" w:hAnsi="仿宋" w:eastAsia="仿宋"/>
                <w:b/>
                <w:bCs/>
                <w:kern w:val="0"/>
                <w:sz w:val="24"/>
                <w:highlight w:val="none"/>
                <w:u w:val="single"/>
              </w:rPr>
              <w:t>，私下对冲</w:t>
            </w:r>
            <w:r>
              <w:rPr>
                <w:rFonts w:ascii="仿宋" w:hAnsi="仿宋" w:eastAsia="仿宋"/>
                <w:b/>
                <w:kern w:val="0"/>
                <w:sz w:val="24"/>
                <w:highlight w:val="none"/>
                <w:u w:val="single"/>
              </w:rPr>
              <w:t>的；</w:t>
            </w:r>
          </w:p>
          <w:p>
            <w:pPr>
              <w:rPr>
                <w:rFonts w:ascii="仿宋" w:hAnsi="仿宋" w:eastAsia="仿宋"/>
                <w:b/>
                <w:kern w:val="0"/>
                <w:sz w:val="24"/>
                <w:highlight w:val="none"/>
                <w:u w:val="single"/>
              </w:rPr>
            </w:pPr>
            <w:r>
              <w:rPr>
                <w:rFonts w:ascii="仿宋" w:hAnsi="仿宋" w:eastAsia="仿宋"/>
                <w:b/>
                <w:kern w:val="0"/>
                <w:sz w:val="24"/>
                <w:highlight w:val="none"/>
                <w:u w:val="single"/>
              </w:rPr>
              <w:t>（</w:t>
            </w:r>
            <w:r>
              <w:rPr>
                <w:rFonts w:hint="eastAsia" w:ascii="仿宋" w:hAnsi="仿宋" w:eastAsia="仿宋"/>
                <w:b/>
                <w:kern w:val="0"/>
                <w:sz w:val="24"/>
                <w:highlight w:val="none"/>
                <w:u w:val="single"/>
              </w:rPr>
              <w:t>九</w:t>
            </w:r>
            <w:r>
              <w:rPr>
                <w:rFonts w:ascii="仿宋" w:hAnsi="仿宋" w:eastAsia="仿宋"/>
                <w:b/>
                <w:kern w:val="0"/>
                <w:sz w:val="24"/>
                <w:highlight w:val="none"/>
                <w:u w:val="single"/>
              </w:rPr>
              <w:t>）未将自有资金与客户资金分户存放的；</w:t>
            </w:r>
          </w:p>
          <w:p>
            <w:pPr>
              <w:rPr>
                <w:rFonts w:ascii="仿宋" w:hAnsi="仿宋" w:eastAsia="仿宋"/>
                <w:b/>
                <w:kern w:val="0"/>
                <w:sz w:val="24"/>
                <w:highlight w:val="none"/>
                <w:u w:val="single"/>
              </w:rPr>
            </w:pPr>
            <w:r>
              <w:rPr>
                <w:rFonts w:ascii="仿宋" w:hAnsi="仿宋" w:eastAsia="仿宋"/>
                <w:b/>
                <w:kern w:val="0"/>
                <w:sz w:val="24"/>
                <w:highlight w:val="none"/>
                <w:u w:val="single"/>
              </w:rPr>
              <w:t>（</w:t>
            </w:r>
            <w:r>
              <w:rPr>
                <w:rFonts w:hint="eastAsia" w:ascii="仿宋" w:hAnsi="仿宋" w:eastAsia="仿宋"/>
                <w:b/>
                <w:kern w:val="0"/>
                <w:sz w:val="24"/>
                <w:highlight w:val="none"/>
                <w:u w:val="single"/>
              </w:rPr>
              <w:t>十</w:t>
            </w:r>
            <w:r>
              <w:rPr>
                <w:rFonts w:ascii="仿宋" w:hAnsi="仿宋" w:eastAsia="仿宋"/>
                <w:b/>
                <w:kern w:val="0"/>
                <w:sz w:val="24"/>
                <w:highlight w:val="none"/>
                <w:u w:val="single"/>
              </w:rPr>
              <w:t>）故意制造</w:t>
            </w:r>
            <w:r>
              <w:rPr>
                <w:rFonts w:ascii="仿宋" w:hAnsi="仿宋" w:eastAsia="仿宋"/>
                <w:b/>
                <w:bCs/>
                <w:sz w:val="24"/>
                <w:highlight w:val="none"/>
                <w:u w:val="single"/>
              </w:rPr>
              <w:t>或者</w:t>
            </w:r>
            <w:r>
              <w:rPr>
                <w:rFonts w:ascii="仿宋" w:hAnsi="仿宋" w:eastAsia="仿宋"/>
                <w:b/>
                <w:kern w:val="0"/>
                <w:sz w:val="24"/>
                <w:highlight w:val="none"/>
                <w:u w:val="single"/>
              </w:rPr>
              <w:t>散布虚假的或者容易使人误解的信息进行误导的；</w:t>
            </w:r>
          </w:p>
          <w:p>
            <w:pPr>
              <w:rPr>
                <w:rFonts w:ascii="仿宋" w:hAnsi="仿宋" w:eastAsia="仿宋"/>
                <w:b/>
                <w:kern w:val="0"/>
                <w:sz w:val="24"/>
                <w:highlight w:val="none"/>
                <w:u w:val="single"/>
              </w:rPr>
            </w:pPr>
            <w:r>
              <w:rPr>
                <w:rFonts w:ascii="仿宋" w:hAnsi="仿宋" w:eastAsia="仿宋"/>
                <w:b/>
                <w:kern w:val="0"/>
                <w:sz w:val="24"/>
                <w:highlight w:val="none"/>
                <w:u w:val="single"/>
              </w:rPr>
              <w:t>（十</w:t>
            </w:r>
            <w:r>
              <w:rPr>
                <w:rFonts w:hint="eastAsia" w:ascii="仿宋" w:hAnsi="仿宋" w:eastAsia="仿宋"/>
                <w:b/>
                <w:kern w:val="0"/>
                <w:sz w:val="24"/>
                <w:highlight w:val="none"/>
                <w:u w:val="single"/>
              </w:rPr>
              <w:t>一</w:t>
            </w:r>
            <w:r>
              <w:rPr>
                <w:rFonts w:ascii="仿宋" w:hAnsi="仿宋" w:eastAsia="仿宋"/>
                <w:b/>
                <w:kern w:val="0"/>
                <w:sz w:val="24"/>
                <w:highlight w:val="none"/>
                <w:u w:val="single"/>
              </w:rPr>
              <w:t>）泄露客户委托事项或者其他交易秘密的；</w:t>
            </w:r>
          </w:p>
          <w:p>
            <w:pPr>
              <w:rPr>
                <w:rFonts w:ascii="仿宋" w:hAnsi="仿宋" w:eastAsia="仿宋"/>
                <w:b/>
                <w:kern w:val="0"/>
                <w:sz w:val="24"/>
                <w:highlight w:val="none"/>
                <w:u w:val="single"/>
              </w:rPr>
            </w:pPr>
            <w:r>
              <w:rPr>
                <w:rFonts w:ascii="仿宋" w:hAnsi="仿宋" w:eastAsia="仿宋"/>
                <w:b/>
                <w:kern w:val="0"/>
                <w:sz w:val="24"/>
                <w:highlight w:val="none"/>
                <w:u w:val="single"/>
              </w:rPr>
              <w:t>（十</w:t>
            </w:r>
            <w:r>
              <w:rPr>
                <w:rFonts w:hint="eastAsia" w:ascii="仿宋" w:hAnsi="仿宋" w:eastAsia="仿宋"/>
                <w:b/>
                <w:kern w:val="0"/>
                <w:sz w:val="24"/>
                <w:highlight w:val="none"/>
                <w:u w:val="single"/>
              </w:rPr>
              <w:t>二</w:t>
            </w:r>
            <w:r>
              <w:rPr>
                <w:rFonts w:ascii="仿宋" w:hAnsi="仿宋" w:eastAsia="仿宋"/>
                <w:b/>
                <w:kern w:val="0"/>
                <w:sz w:val="24"/>
                <w:highlight w:val="none"/>
                <w:u w:val="single"/>
              </w:rPr>
              <w:t>）未按规定向客户提供有关成交</w:t>
            </w:r>
            <w:r>
              <w:rPr>
                <w:rFonts w:ascii="仿宋" w:hAnsi="仿宋" w:eastAsia="仿宋"/>
                <w:b/>
                <w:bCs/>
                <w:sz w:val="24"/>
                <w:highlight w:val="none"/>
                <w:u w:val="single"/>
              </w:rPr>
              <w:t>结果</w:t>
            </w:r>
            <w:r>
              <w:rPr>
                <w:rFonts w:ascii="仿宋" w:hAnsi="仿宋" w:eastAsia="仿宋"/>
                <w:b/>
                <w:kern w:val="0"/>
                <w:sz w:val="24"/>
                <w:highlight w:val="none"/>
                <w:u w:val="single"/>
              </w:rPr>
              <w:t>、资金结算报表的；</w:t>
            </w:r>
          </w:p>
          <w:p>
            <w:pPr>
              <w:rPr>
                <w:rFonts w:ascii="仿宋" w:hAnsi="仿宋" w:eastAsia="仿宋"/>
                <w:color w:val="000000"/>
                <w:kern w:val="0"/>
                <w:sz w:val="24"/>
                <w:highlight w:val="none"/>
              </w:rPr>
            </w:pPr>
            <w:r>
              <w:rPr>
                <w:rFonts w:ascii="仿宋" w:hAnsi="仿宋" w:eastAsia="仿宋"/>
                <w:b/>
                <w:kern w:val="0"/>
                <w:sz w:val="24"/>
                <w:highlight w:val="none"/>
                <w:u w:val="single"/>
              </w:rPr>
              <w:t>（十三）违反中国证监会和交易所</w:t>
            </w:r>
            <w:r>
              <w:rPr>
                <w:rFonts w:ascii="仿宋" w:hAnsi="仿宋" w:eastAsia="仿宋"/>
                <w:b/>
                <w:bCs/>
                <w:kern w:val="0"/>
                <w:sz w:val="24"/>
                <w:highlight w:val="none"/>
                <w:u w:val="single"/>
              </w:rPr>
              <w:t>对</w:t>
            </w:r>
            <w:r>
              <w:rPr>
                <w:rFonts w:ascii="仿宋" w:hAnsi="仿宋" w:eastAsia="仿宋"/>
                <w:b/>
                <w:kern w:val="0"/>
                <w:sz w:val="24"/>
                <w:highlight w:val="none"/>
                <w:u w:val="single"/>
              </w:rPr>
              <w:t>经纪业务管理规定的其他行为。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b/>
                <w:highlight w:val="none"/>
              </w:rPr>
              <w:t>第二十条</w:t>
            </w:r>
            <w:r>
              <w:rPr>
                <w:rFonts w:hint="eastAsia" w:ascii="仿宋" w:hAnsi="仿宋" w:eastAsia="仿宋"/>
                <w:highlight w:val="none"/>
              </w:rPr>
              <w:t xml:space="preserve"> 会员具有下列行为之一的</w:t>
            </w:r>
            <w:r>
              <w:rPr>
                <w:rFonts w:ascii="仿宋" w:hAnsi="仿宋" w:eastAsia="仿宋"/>
                <w:highlight w:val="none"/>
              </w:rPr>
              <w:t>,责令改正，</w:t>
            </w:r>
            <w:r>
              <w:rPr>
                <w:rFonts w:hint="eastAsia" w:ascii="仿宋" w:hAnsi="仿宋" w:eastAsia="仿宋"/>
                <w:highlight w:val="none"/>
              </w:rPr>
              <w:t>交易所可以根据情节轻重给予警告、通报批评、公开谴责、暂停开仓交易</w:t>
            </w:r>
            <w:r>
              <w:rPr>
                <w:rFonts w:ascii="仿宋" w:hAnsi="仿宋" w:eastAsia="仿宋"/>
                <w:highlight w:val="none"/>
              </w:rPr>
              <w:t>12个月以下</w:t>
            </w:r>
            <w:r>
              <w:rPr>
                <w:rFonts w:hint="eastAsia" w:ascii="仿宋" w:hAnsi="仿宋" w:eastAsia="仿宋"/>
                <w:highlight w:val="none"/>
              </w:rPr>
              <w:t>、暂停部分期货</w:t>
            </w:r>
            <w:r>
              <w:rPr>
                <w:rFonts w:ascii="仿宋" w:hAnsi="仿宋" w:eastAsia="仿宋"/>
                <w:highlight w:val="none"/>
              </w:rPr>
              <w:t>或者期权</w:t>
            </w:r>
            <w:r>
              <w:rPr>
                <w:rFonts w:hint="eastAsia" w:ascii="仿宋" w:hAnsi="仿宋" w:eastAsia="仿宋"/>
                <w:highlight w:val="none"/>
              </w:rPr>
              <w:t>业务、取消会员资格的纪律处分：</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（八）私下转让或者处分会员资格或者交易席位的；</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（十三）未按规定履行境外经纪机构备案义务的；</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w:t>
            </w:r>
          </w:p>
        </w:tc>
        <w:tc>
          <w:tcPr>
            <w:tcW w:w="2556" w:type="pct"/>
            <w:gridSpan w:val="2"/>
            <w:noWrap w:val="0"/>
            <w:vAlign w:val="top"/>
          </w:tcPr>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b/>
                <w:highlight w:val="none"/>
              </w:rPr>
              <w:t>第二十</w:t>
            </w:r>
            <w:r>
              <w:rPr>
                <w:rFonts w:hint="eastAsia" w:ascii="仿宋" w:hAnsi="仿宋" w:eastAsia="仿宋"/>
                <w:b/>
                <w:highlight w:val="none"/>
                <w:u w:val="single"/>
              </w:rPr>
              <w:t>一</w:t>
            </w:r>
            <w:r>
              <w:rPr>
                <w:rFonts w:hint="eastAsia" w:ascii="仿宋" w:hAnsi="仿宋" w:eastAsia="仿宋"/>
                <w:b/>
                <w:highlight w:val="none"/>
              </w:rPr>
              <w:t>条</w:t>
            </w:r>
            <w:r>
              <w:rPr>
                <w:rFonts w:hint="eastAsia" w:ascii="仿宋" w:hAnsi="仿宋" w:eastAsia="仿宋"/>
                <w:highlight w:val="none"/>
              </w:rPr>
              <w:t xml:space="preserve"> 会员</w:t>
            </w:r>
            <w:r>
              <w:rPr>
                <w:rFonts w:hint="eastAsia" w:ascii="仿宋" w:hAnsi="仿宋" w:eastAsia="仿宋"/>
                <w:b/>
                <w:highlight w:val="none"/>
                <w:u w:val="single"/>
              </w:rPr>
              <w:t>、境外特殊参与者</w:t>
            </w:r>
            <w:r>
              <w:rPr>
                <w:rFonts w:hint="eastAsia" w:ascii="仿宋" w:hAnsi="仿宋" w:eastAsia="仿宋"/>
                <w:highlight w:val="none"/>
              </w:rPr>
              <w:t>具有下列行为之一的</w:t>
            </w:r>
            <w:r>
              <w:rPr>
                <w:rFonts w:ascii="仿宋" w:hAnsi="仿宋" w:eastAsia="仿宋"/>
                <w:highlight w:val="none"/>
              </w:rPr>
              <w:t>,责令改正，</w:t>
            </w:r>
            <w:r>
              <w:rPr>
                <w:rFonts w:hint="eastAsia" w:ascii="仿宋" w:hAnsi="仿宋" w:eastAsia="仿宋"/>
                <w:highlight w:val="none"/>
              </w:rPr>
              <w:t>交易所可以根据情节轻重给予警告、通报批评、公开谴责、暂停开仓交易</w:t>
            </w:r>
            <w:r>
              <w:rPr>
                <w:rFonts w:ascii="仿宋" w:hAnsi="仿宋" w:eastAsia="仿宋"/>
                <w:highlight w:val="none"/>
              </w:rPr>
              <w:t>12个月以下</w:t>
            </w:r>
            <w:r>
              <w:rPr>
                <w:rFonts w:hint="eastAsia" w:ascii="仿宋" w:hAnsi="仿宋" w:eastAsia="仿宋"/>
                <w:highlight w:val="none"/>
              </w:rPr>
              <w:t>、暂停部分期货</w:t>
            </w:r>
            <w:r>
              <w:rPr>
                <w:rFonts w:ascii="仿宋" w:hAnsi="仿宋" w:eastAsia="仿宋"/>
                <w:highlight w:val="none"/>
              </w:rPr>
              <w:t>或者期权</w:t>
            </w:r>
            <w:r>
              <w:rPr>
                <w:rFonts w:hint="eastAsia" w:ascii="仿宋" w:hAnsi="仿宋" w:eastAsia="仿宋"/>
                <w:highlight w:val="none"/>
              </w:rPr>
              <w:t>业务、取消</w:t>
            </w:r>
            <w:r>
              <w:rPr>
                <w:rFonts w:hint="eastAsia" w:ascii="仿宋" w:hAnsi="仿宋" w:eastAsia="仿宋" w:cs="Times New Roman"/>
                <w:dstrike/>
                <w:kern w:val="2"/>
                <w:highlight w:val="none"/>
              </w:rPr>
              <w:t>会员</w:t>
            </w:r>
            <w:r>
              <w:rPr>
                <w:rFonts w:hint="eastAsia" w:ascii="仿宋" w:hAnsi="仿宋" w:eastAsia="仿宋"/>
                <w:b/>
                <w:highlight w:val="none"/>
                <w:u w:val="single"/>
              </w:rPr>
              <w:t>相应</w:t>
            </w:r>
            <w:r>
              <w:rPr>
                <w:rFonts w:hint="eastAsia" w:ascii="仿宋" w:hAnsi="仿宋" w:eastAsia="仿宋"/>
                <w:highlight w:val="none"/>
              </w:rPr>
              <w:t>资格的纪律处分：</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（八）私下转让或者处分会员</w:t>
            </w:r>
            <w:r>
              <w:rPr>
                <w:rFonts w:hint="eastAsia" w:ascii="仿宋" w:hAnsi="仿宋" w:eastAsia="仿宋"/>
                <w:b/>
                <w:highlight w:val="none"/>
                <w:u w:val="single"/>
              </w:rPr>
              <w:t>、境外特殊参与者</w:t>
            </w:r>
            <w:r>
              <w:rPr>
                <w:rFonts w:hint="eastAsia" w:ascii="仿宋" w:hAnsi="仿宋" w:eastAsia="仿宋"/>
                <w:highlight w:val="none"/>
              </w:rPr>
              <w:t>资格或者交易席位的；</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（十三）未按规定履行境外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机构备案义务的；</w:t>
            </w:r>
          </w:p>
          <w:p>
            <w:pPr>
              <w:pStyle w:val="7"/>
              <w:shd w:val="clear" w:color="auto" w:fill="FFFFFF"/>
              <w:adjustRightInd w:val="0"/>
              <w:spacing w:before="0" w:beforeAutospacing="0" w:after="0" w:afterAutospacing="0"/>
              <w:ind w:left="-23" w:leftChars="-11" w:firstLine="480" w:firstLineChars="200"/>
              <w:rPr>
                <w:rFonts w:ascii="仿宋" w:hAnsi="仿宋" w:eastAsia="仿宋"/>
                <w:highlight w:val="none"/>
              </w:rPr>
            </w:pPr>
            <w:r>
              <w:rPr>
                <w:rFonts w:hint="eastAsia" w:ascii="仿宋" w:hAnsi="仿宋" w:eastAsia="仿宋"/>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ind w:left="-22" w:firstLine="420"/>
              <w:rPr>
                <w:rFonts w:ascii="仿宋" w:hAnsi="仿宋" w:eastAsia="仿宋"/>
                <w:highlight w:val="none"/>
              </w:rPr>
            </w:pPr>
            <w:r>
              <w:rPr>
                <w:rFonts w:hint="eastAsia" w:ascii="仿宋" w:hAnsi="仿宋" w:eastAsia="仿宋"/>
                <w:b/>
                <w:highlight w:val="none"/>
              </w:rPr>
              <w:t xml:space="preserve">第二十一条 </w:t>
            </w:r>
            <w:r>
              <w:rPr>
                <w:rFonts w:hint="eastAsia" w:ascii="仿宋" w:hAnsi="仿宋" w:eastAsia="仿宋"/>
                <w:highlight w:val="none"/>
              </w:rPr>
              <w:t>会员无正当理由未在规定期限内执行强行平仓的，交易所可以根据情节轻重给予警告、通报批评、公开谴责、暂停开仓交易</w:t>
            </w:r>
            <w:r>
              <w:rPr>
                <w:rFonts w:ascii="仿宋" w:hAnsi="仿宋" w:eastAsia="仿宋"/>
                <w:highlight w:val="none"/>
              </w:rPr>
              <w:t>12个月以下</w:t>
            </w:r>
            <w:r>
              <w:rPr>
                <w:rFonts w:hint="eastAsia" w:ascii="仿宋" w:hAnsi="仿宋" w:eastAsia="仿宋"/>
                <w:highlight w:val="none"/>
              </w:rPr>
              <w:t>、</w:t>
            </w:r>
            <w:r>
              <w:rPr>
                <w:rFonts w:ascii="仿宋" w:hAnsi="仿宋" w:eastAsia="仿宋"/>
                <w:highlight w:val="none"/>
              </w:rPr>
              <w:t>暂停部分期货或者期权业务的纪律处分，可</w:t>
            </w:r>
            <w:r>
              <w:rPr>
                <w:rFonts w:hint="eastAsia" w:ascii="仿宋" w:hAnsi="仿宋" w:eastAsia="仿宋"/>
                <w:highlight w:val="none"/>
              </w:rPr>
              <w:t>以并处5</w:t>
            </w:r>
            <w:r>
              <w:rPr>
                <w:rFonts w:ascii="仿宋" w:hAnsi="仿宋" w:eastAsia="仿宋"/>
                <w:highlight w:val="none"/>
              </w:rPr>
              <w:t>0万元以下的罚款。</w:t>
            </w:r>
          </w:p>
        </w:tc>
        <w:tc>
          <w:tcPr>
            <w:tcW w:w="2556" w:type="pct"/>
            <w:gridSpan w:val="2"/>
            <w:noWrap w:val="0"/>
            <w:vAlign w:val="top"/>
          </w:tcPr>
          <w:p>
            <w:pPr>
              <w:adjustRightInd w:val="0"/>
              <w:ind w:left="-21" w:leftChars="-10" w:firstLine="472" w:firstLineChars="196"/>
              <w:jc w:val="left"/>
              <w:rPr>
                <w:rFonts w:ascii="仿宋" w:hAnsi="仿宋" w:eastAsia="仿宋"/>
                <w:color w:val="000000"/>
                <w:sz w:val="24"/>
                <w:highlight w:val="none"/>
              </w:rPr>
            </w:pPr>
            <w:r>
              <w:rPr>
                <w:rFonts w:hint="eastAsia" w:ascii="仿宋" w:hAnsi="仿宋" w:eastAsia="仿宋"/>
                <w:b/>
                <w:sz w:val="24"/>
                <w:highlight w:val="none"/>
              </w:rPr>
              <w:t>第二十</w:t>
            </w:r>
            <w:r>
              <w:rPr>
                <w:rFonts w:hint="eastAsia" w:ascii="仿宋" w:hAnsi="仿宋" w:eastAsia="仿宋"/>
                <w:b/>
                <w:dstrike/>
                <w:sz w:val="24"/>
                <w:highlight w:val="none"/>
              </w:rPr>
              <w:t>一</w:t>
            </w:r>
            <w:r>
              <w:rPr>
                <w:rFonts w:hint="eastAsia" w:ascii="仿宋" w:hAnsi="仿宋" w:eastAsia="仿宋"/>
                <w:b/>
                <w:sz w:val="24"/>
                <w:highlight w:val="none"/>
                <w:u w:val="single"/>
              </w:rPr>
              <w:t>二</w:t>
            </w:r>
            <w:r>
              <w:rPr>
                <w:rFonts w:hint="eastAsia" w:ascii="仿宋" w:hAnsi="仿宋" w:eastAsia="仿宋"/>
                <w:b/>
                <w:sz w:val="24"/>
                <w:highlight w:val="none"/>
              </w:rPr>
              <w:t xml:space="preserve">条 </w:t>
            </w:r>
            <w:r>
              <w:rPr>
                <w:rFonts w:hint="eastAsia" w:ascii="仿宋" w:hAnsi="仿宋" w:eastAsia="仿宋"/>
                <w:sz w:val="24"/>
                <w:highlight w:val="none"/>
              </w:rPr>
              <w:t>会员</w:t>
            </w:r>
            <w:r>
              <w:rPr>
                <w:rFonts w:hint="eastAsia" w:ascii="仿宋" w:hAnsi="仿宋" w:eastAsia="仿宋"/>
                <w:b/>
                <w:sz w:val="24"/>
                <w:highlight w:val="none"/>
                <w:u w:val="single"/>
              </w:rPr>
              <w:t>、境外特殊参与者</w:t>
            </w:r>
            <w:r>
              <w:rPr>
                <w:rFonts w:hint="eastAsia" w:ascii="仿宋" w:hAnsi="仿宋" w:eastAsia="仿宋"/>
                <w:sz w:val="24"/>
                <w:highlight w:val="none"/>
              </w:rPr>
              <w:t>无正当理由未在规定期限内执行强行平仓的，交易所可以根据情节轻重给予警告、通报批评、公开谴责、暂停开仓交易</w:t>
            </w:r>
            <w:r>
              <w:rPr>
                <w:rFonts w:ascii="仿宋" w:hAnsi="仿宋" w:eastAsia="仿宋"/>
                <w:sz w:val="24"/>
                <w:highlight w:val="none"/>
              </w:rPr>
              <w:t>12个月以下</w:t>
            </w:r>
            <w:r>
              <w:rPr>
                <w:rFonts w:hint="eastAsia" w:ascii="仿宋" w:hAnsi="仿宋" w:eastAsia="仿宋"/>
                <w:sz w:val="24"/>
                <w:highlight w:val="none"/>
              </w:rPr>
              <w:t>、</w:t>
            </w:r>
            <w:r>
              <w:rPr>
                <w:rFonts w:ascii="仿宋" w:hAnsi="仿宋" w:eastAsia="仿宋"/>
                <w:sz w:val="24"/>
                <w:highlight w:val="none"/>
              </w:rPr>
              <w:t>暂停部分期货或者期权业务的纪律处分，可</w:t>
            </w:r>
            <w:r>
              <w:rPr>
                <w:rFonts w:hint="eastAsia" w:ascii="仿宋" w:hAnsi="仿宋" w:eastAsia="仿宋"/>
                <w:sz w:val="24"/>
                <w:highlight w:val="none"/>
              </w:rPr>
              <w:t>以并处5</w:t>
            </w:r>
            <w:r>
              <w:rPr>
                <w:rFonts w:ascii="仿宋" w:hAnsi="仿宋" w:eastAsia="仿宋"/>
                <w:sz w:val="24"/>
                <w:highlight w:val="none"/>
              </w:rPr>
              <w:t>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spacing w:before="0" w:beforeAutospacing="0" w:after="0" w:afterAutospacing="0"/>
              <w:ind w:left="-23" w:leftChars="-11" w:firstLine="472" w:firstLineChars="196"/>
              <w:rPr>
                <w:rFonts w:ascii="仿宋" w:hAnsi="仿宋" w:eastAsia="仿宋"/>
                <w:highlight w:val="none"/>
              </w:rPr>
            </w:pPr>
            <w:r>
              <w:rPr>
                <w:rFonts w:hint="eastAsia" w:ascii="仿宋" w:hAnsi="仿宋" w:eastAsia="仿宋"/>
                <w:b/>
                <w:highlight w:val="none"/>
              </w:rPr>
              <w:t>第二十三条</w:t>
            </w:r>
            <w:r>
              <w:rPr>
                <w:rFonts w:hint="eastAsia" w:ascii="仿宋" w:hAnsi="仿宋" w:eastAsia="仿宋"/>
                <w:highlight w:val="none"/>
              </w:rPr>
              <w:t xml:space="preserve"> 境外经纪机构具有下列情形之一的，责令改正，交易所可以根据情节轻重给予警告、通报批评、公开谴责、取消境外经纪机构备案的纪律处分：</w:t>
            </w:r>
          </w:p>
          <w:p>
            <w:pPr>
              <w:pStyle w:val="7"/>
              <w:shd w:val="clear" w:color="auto" w:fill="FFFFFF"/>
              <w:adjustRightInd w:val="0"/>
              <w:spacing w:before="0" w:beforeAutospacing="0" w:after="0" w:afterAutospacing="0"/>
              <w:ind w:firstLine="480" w:firstLineChars="200"/>
              <w:rPr>
                <w:rFonts w:ascii="仿宋" w:hAnsi="仿宋" w:eastAsia="仿宋"/>
                <w:highlight w:val="none"/>
              </w:rPr>
            </w:pPr>
            <w:r>
              <w:rPr>
                <w:rFonts w:hint="eastAsia" w:ascii="仿宋" w:hAnsi="仿宋" w:eastAsia="仿宋"/>
                <w:highlight w:val="none"/>
              </w:rPr>
              <w:t>……</w:t>
            </w:r>
          </w:p>
          <w:p>
            <w:pPr>
              <w:pStyle w:val="7"/>
              <w:shd w:val="clear" w:color="auto" w:fill="FFFFFF"/>
              <w:adjustRightInd w:val="0"/>
              <w:spacing w:before="0" w:beforeAutospacing="0" w:after="0" w:afterAutospacing="0"/>
              <w:ind w:firstLine="480" w:firstLineChars="200"/>
              <w:rPr>
                <w:rFonts w:ascii="仿宋" w:hAnsi="仿宋" w:eastAsia="仿宋"/>
                <w:highlight w:val="none"/>
              </w:rPr>
            </w:pPr>
            <w:r>
              <w:rPr>
                <w:rFonts w:hint="eastAsia" w:ascii="仿宋" w:hAnsi="仿宋" w:eastAsia="仿宋"/>
                <w:highlight w:val="none"/>
              </w:rPr>
              <w:t>（三）违反交易所关于境外经纪机构的其他规定。</w:t>
            </w:r>
          </w:p>
          <w:p>
            <w:pPr>
              <w:pStyle w:val="7"/>
              <w:shd w:val="clear" w:color="auto" w:fill="FFFFFF"/>
              <w:adjustRightInd w:val="0"/>
              <w:spacing w:before="0" w:beforeAutospacing="0" w:after="0" w:afterAutospacing="0"/>
              <w:ind w:left="-23" w:firstLine="363"/>
              <w:rPr>
                <w:rFonts w:ascii="仿宋" w:hAnsi="仿宋" w:eastAsia="仿宋"/>
                <w:highlight w:val="none"/>
              </w:rPr>
            </w:pPr>
            <w:r>
              <w:rPr>
                <w:rFonts w:hint="eastAsia" w:ascii="仿宋" w:hAnsi="仿宋" w:eastAsia="仿宋"/>
                <w:highlight w:val="none"/>
              </w:rPr>
              <w:t>境外经纪机构有上述情形之一且逾期未改正，或者涉嫌违法违规、出现重大风险，可能危及期货市场稳健运行、损害客户合法权益的，交易所可以要求期货公司会员暂停或者终止与该境外经纪机构的委托业务。</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境外经纪机构被暂停或者终止与期货公司会员的委托代理业务后，不得代理新增客户或者开新仓；客户要求移仓至其他机构的，应当配合完成。</w:t>
            </w:r>
          </w:p>
          <w:p>
            <w:pPr>
              <w:pStyle w:val="7"/>
              <w:shd w:val="clear" w:color="auto" w:fill="FFFFFF"/>
              <w:adjustRightInd w:val="0"/>
              <w:spacing w:before="0" w:beforeAutospacing="0" w:after="0" w:afterAutospacing="0"/>
              <w:rPr>
                <w:rFonts w:ascii="仿宋" w:hAnsi="仿宋" w:eastAsia="仿宋" w:cs="Times New Roman"/>
                <w:color w:val="333333"/>
                <w:highlight w:val="none"/>
              </w:rPr>
            </w:pPr>
          </w:p>
        </w:tc>
        <w:tc>
          <w:tcPr>
            <w:tcW w:w="2556" w:type="pct"/>
            <w:gridSpan w:val="2"/>
            <w:noWrap w:val="0"/>
            <w:vAlign w:val="top"/>
          </w:tcPr>
          <w:p>
            <w:pPr>
              <w:pStyle w:val="7"/>
              <w:shd w:val="clear" w:color="auto" w:fill="FFFFFF"/>
              <w:adjustRightInd w:val="0"/>
              <w:spacing w:before="0" w:beforeAutospacing="0" w:after="0" w:afterAutospacing="0"/>
              <w:ind w:left="-23" w:leftChars="-11" w:firstLine="472" w:firstLineChars="196"/>
              <w:rPr>
                <w:rFonts w:ascii="仿宋" w:hAnsi="仿宋" w:eastAsia="仿宋"/>
                <w:highlight w:val="none"/>
              </w:rPr>
            </w:pPr>
            <w:r>
              <w:rPr>
                <w:rFonts w:hint="eastAsia" w:ascii="仿宋" w:hAnsi="仿宋" w:eastAsia="仿宋"/>
                <w:b/>
                <w:highlight w:val="none"/>
              </w:rPr>
              <w:t>第二十</w:t>
            </w:r>
            <w:r>
              <w:rPr>
                <w:rFonts w:hint="eastAsia" w:ascii="仿宋" w:hAnsi="仿宋" w:eastAsia="仿宋"/>
                <w:b/>
                <w:dstrike/>
                <w:highlight w:val="none"/>
              </w:rPr>
              <w:t>三</w:t>
            </w:r>
            <w:r>
              <w:rPr>
                <w:rFonts w:hint="eastAsia" w:ascii="仿宋" w:hAnsi="仿宋" w:eastAsia="仿宋"/>
                <w:b/>
                <w:highlight w:val="none"/>
                <w:u w:val="single"/>
              </w:rPr>
              <w:t>四</w:t>
            </w:r>
            <w:r>
              <w:rPr>
                <w:rFonts w:hint="eastAsia" w:ascii="仿宋" w:hAnsi="仿宋" w:eastAsia="仿宋"/>
                <w:b/>
                <w:highlight w:val="none"/>
              </w:rPr>
              <w:t>条</w:t>
            </w:r>
            <w:r>
              <w:rPr>
                <w:rFonts w:hint="eastAsia" w:ascii="仿宋" w:hAnsi="仿宋" w:eastAsia="仿宋"/>
                <w:highlight w:val="none"/>
              </w:rPr>
              <w:t xml:space="preserve"> 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机构具有下列情形之一的，责令改正，交易所可以根据情节轻重给予警告、通报批评、公开谴责、取消境外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机构备案的纪律处分：</w:t>
            </w:r>
          </w:p>
          <w:p>
            <w:pPr>
              <w:pStyle w:val="7"/>
              <w:shd w:val="clear" w:color="auto" w:fill="FFFFFF"/>
              <w:adjustRightInd w:val="0"/>
              <w:spacing w:before="0" w:beforeAutospacing="0" w:after="0" w:afterAutospacing="0"/>
              <w:ind w:firstLine="480" w:firstLineChars="200"/>
              <w:rPr>
                <w:rFonts w:ascii="仿宋" w:hAnsi="仿宋" w:eastAsia="仿宋"/>
                <w:highlight w:val="none"/>
              </w:rPr>
            </w:pPr>
            <w:r>
              <w:rPr>
                <w:rFonts w:hint="eastAsia" w:ascii="仿宋" w:hAnsi="仿宋" w:eastAsia="仿宋"/>
                <w:highlight w:val="none"/>
              </w:rPr>
              <w:t>……</w:t>
            </w:r>
          </w:p>
          <w:p>
            <w:pPr>
              <w:pStyle w:val="7"/>
              <w:shd w:val="clear" w:color="auto" w:fill="FFFFFF"/>
              <w:adjustRightInd w:val="0"/>
              <w:spacing w:before="0" w:beforeAutospacing="0" w:after="0" w:afterAutospacing="0"/>
              <w:ind w:firstLine="480" w:firstLineChars="200"/>
              <w:rPr>
                <w:rFonts w:ascii="仿宋" w:hAnsi="仿宋" w:eastAsia="仿宋"/>
                <w:highlight w:val="none"/>
              </w:rPr>
            </w:pPr>
            <w:r>
              <w:rPr>
                <w:rFonts w:hint="eastAsia" w:ascii="仿宋" w:hAnsi="仿宋" w:eastAsia="仿宋"/>
                <w:highlight w:val="none"/>
              </w:rPr>
              <w:t>（三）违反交易所关于境外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机构的其他规定。</w:t>
            </w:r>
          </w:p>
          <w:p>
            <w:pPr>
              <w:pStyle w:val="7"/>
              <w:shd w:val="clear" w:color="auto" w:fill="FFFFFF"/>
              <w:adjustRightInd w:val="0"/>
              <w:spacing w:before="0" w:beforeAutospacing="0" w:after="0" w:afterAutospacing="0"/>
              <w:ind w:left="-23" w:firstLine="363"/>
              <w:rPr>
                <w:rFonts w:ascii="仿宋" w:hAnsi="仿宋" w:eastAsia="仿宋"/>
                <w:highlight w:val="none"/>
              </w:rPr>
            </w:pPr>
            <w:r>
              <w:rPr>
                <w:rFonts w:hint="eastAsia" w:ascii="仿宋" w:hAnsi="仿宋" w:eastAsia="仿宋"/>
                <w:highlight w:val="none"/>
              </w:rPr>
              <w:t>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机构有上述情形之一且逾期未改正，或者涉嫌违法违规、出现重大风险，可能危及期货市场稳健运行、损害客户合法权益的，交易所可以要求期货公司会员</w:t>
            </w:r>
            <w:r>
              <w:rPr>
                <w:rFonts w:hint="eastAsia" w:ascii="仿宋" w:hAnsi="仿宋" w:eastAsia="仿宋"/>
                <w:b/>
                <w:highlight w:val="none"/>
                <w:u w:val="single"/>
              </w:rPr>
              <w:t>、境外特殊经纪参与者</w:t>
            </w:r>
            <w:r>
              <w:rPr>
                <w:rFonts w:hint="eastAsia" w:ascii="仿宋" w:hAnsi="仿宋" w:eastAsia="仿宋"/>
                <w:highlight w:val="none"/>
              </w:rPr>
              <w:t>暂停或者终止与该境外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机构的委托业务。</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机构被暂停或者终止与期货公司会员</w:t>
            </w:r>
            <w:r>
              <w:rPr>
                <w:rFonts w:hint="eastAsia" w:ascii="仿宋" w:hAnsi="仿宋" w:eastAsia="仿宋"/>
                <w:b/>
                <w:highlight w:val="none"/>
                <w:u w:val="single"/>
              </w:rPr>
              <w:t>、境外特殊经纪参与者</w:t>
            </w:r>
            <w:r>
              <w:rPr>
                <w:rFonts w:hint="eastAsia" w:ascii="仿宋" w:hAnsi="仿宋" w:eastAsia="仿宋"/>
                <w:highlight w:val="none"/>
              </w:rPr>
              <w:t>的委托代理业务后，不得代理新增客户或者开新仓；客户要求移仓至其他机构的，应当配合完成。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ind w:left="-22" w:firstLine="420"/>
              <w:rPr>
                <w:rFonts w:ascii="仿宋" w:hAnsi="仿宋" w:eastAsia="仿宋"/>
                <w:highlight w:val="none"/>
              </w:rPr>
            </w:pPr>
            <w:r>
              <w:rPr>
                <w:rFonts w:hint="eastAsia" w:ascii="仿宋" w:hAnsi="仿宋" w:eastAsia="仿宋"/>
                <w:b/>
                <w:highlight w:val="none"/>
              </w:rPr>
              <w:t>第二十四条</w:t>
            </w:r>
            <w:r>
              <w:rPr>
                <w:rFonts w:hint="eastAsia" w:ascii="仿宋" w:hAnsi="仿宋" w:eastAsia="仿宋"/>
                <w:highlight w:val="none"/>
              </w:rPr>
              <w:t xml:space="preserve"> 会员、境外经纪机构或者客户在套期保值申报过程中提供或者协助提供虚假材料，或者违反交易所套期保值其他管理规定的，责令改正，没收违规所得，交易所可以根据情节轻重给予警告、通报批评、公开谴责、调整或者取消套期保值持仓额度、暂停受理套期保值额度申请、暂停开仓交易</w:t>
            </w:r>
            <w:r>
              <w:rPr>
                <w:rFonts w:ascii="仿宋" w:hAnsi="仿宋" w:eastAsia="仿宋"/>
                <w:highlight w:val="none"/>
              </w:rPr>
              <w:t>12个月以下、</w:t>
            </w:r>
            <w:r>
              <w:rPr>
                <w:rFonts w:hint="eastAsia" w:ascii="仿宋" w:hAnsi="仿宋" w:eastAsia="仿宋"/>
                <w:highlight w:val="none"/>
              </w:rPr>
              <w:t>暂停部分期货或者期权业务、强行平仓、取消相应资格、宣布为“市场禁止进入者”的纪律处分，可以并处其获准的套期保值持仓总金额</w:t>
            </w:r>
            <w:r>
              <w:rPr>
                <w:rFonts w:ascii="仿宋" w:hAnsi="仿宋" w:eastAsia="仿宋"/>
                <w:highlight w:val="none"/>
              </w:rPr>
              <w:t>5%以下的罚款</w:t>
            </w:r>
            <w:r>
              <w:rPr>
                <w:rFonts w:hint="eastAsia" w:ascii="仿宋" w:hAnsi="仿宋" w:eastAsia="仿宋"/>
                <w:highlight w:val="none"/>
              </w:rPr>
              <w:t>。</w:t>
            </w:r>
          </w:p>
        </w:tc>
        <w:tc>
          <w:tcPr>
            <w:tcW w:w="2556" w:type="pct"/>
            <w:gridSpan w:val="2"/>
            <w:noWrap w:val="0"/>
            <w:vAlign w:val="top"/>
          </w:tcPr>
          <w:p>
            <w:pPr>
              <w:pStyle w:val="7"/>
              <w:shd w:val="clear" w:color="auto" w:fill="FFFFFF"/>
              <w:adjustRightInd w:val="0"/>
              <w:ind w:left="-22" w:firstLine="420"/>
              <w:rPr>
                <w:rFonts w:ascii="仿宋" w:hAnsi="仿宋" w:eastAsia="仿宋"/>
                <w:highlight w:val="none"/>
              </w:rPr>
            </w:pPr>
            <w:r>
              <w:rPr>
                <w:rFonts w:hint="eastAsia" w:ascii="仿宋" w:hAnsi="仿宋" w:eastAsia="仿宋"/>
                <w:b/>
                <w:highlight w:val="none"/>
              </w:rPr>
              <w:t>第二十</w:t>
            </w:r>
            <w:r>
              <w:rPr>
                <w:rFonts w:hint="eastAsia" w:ascii="仿宋" w:hAnsi="仿宋" w:eastAsia="仿宋"/>
                <w:b/>
                <w:dstrike/>
                <w:highlight w:val="none"/>
              </w:rPr>
              <w:t>四</w:t>
            </w:r>
            <w:r>
              <w:rPr>
                <w:rFonts w:hint="eastAsia" w:ascii="仿宋" w:hAnsi="仿宋" w:eastAsia="仿宋"/>
                <w:b/>
                <w:highlight w:val="none"/>
                <w:u w:val="single"/>
              </w:rPr>
              <w:t>五</w:t>
            </w:r>
            <w:r>
              <w:rPr>
                <w:rFonts w:hint="eastAsia" w:ascii="仿宋" w:hAnsi="仿宋" w:eastAsia="仿宋"/>
                <w:b/>
                <w:highlight w:val="none"/>
              </w:rPr>
              <w:t>条</w:t>
            </w:r>
            <w:r>
              <w:rPr>
                <w:rFonts w:hint="eastAsia" w:ascii="仿宋" w:hAnsi="仿宋" w:eastAsia="仿宋"/>
                <w:highlight w:val="none"/>
              </w:rPr>
              <w:t xml:space="preserve"> 会员</w:t>
            </w:r>
            <w:r>
              <w:rPr>
                <w:rFonts w:hint="eastAsia" w:ascii="仿宋" w:hAnsi="仿宋" w:eastAsia="仿宋"/>
                <w:b/>
                <w:highlight w:val="none"/>
                <w:u w:val="single"/>
              </w:rPr>
              <w:t>、境外特殊参与者</w:t>
            </w:r>
            <w:r>
              <w:rPr>
                <w:rFonts w:hint="eastAsia" w:ascii="仿宋" w:hAnsi="仿宋" w:eastAsia="仿宋"/>
                <w:highlight w:val="none"/>
              </w:rPr>
              <w:t>、境外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或者客户在套期保值申报过程中提供或者协助提供虚假材料，或者违反交易所套期保值其他管理规定的，责令改正，没收违规所得，交易所可以根据情节轻重给予警告、通报批评、公开谴责、调整或者取消套期保值持仓额度、暂停受理套期保值额度申请、暂停开仓交易</w:t>
            </w:r>
            <w:r>
              <w:rPr>
                <w:rFonts w:ascii="仿宋" w:hAnsi="仿宋" w:eastAsia="仿宋"/>
                <w:highlight w:val="none"/>
              </w:rPr>
              <w:t>12个月以下、</w:t>
            </w:r>
            <w:r>
              <w:rPr>
                <w:rFonts w:hint="eastAsia" w:ascii="仿宋" w:hAnsi="仿宋" w:eastAsia="仿宋"/>
                <w:highlight w:val="none"/>
              </w:rPr>
              <w:t>暂停部分期货或者期权业务、强行平仓、取消相应资格、宣布为“市场禁止进入者”的纪律处分，可以并处其获准的套期保值持仓总金额</w:t>
            </w:r>
            <w:r>
              <w:rPr>
                <w:rFonts w:ascii="仿宋" w:hAnsi="仿宋" w:eastAsia="仿宋"/>
                <w:highlight w:val="none"/>
              </w:rPr>
              <w:t>5%以下的罚款</w:t>
            </w:r>
            <w:r>
              <w:rPr>
                <w:rFonts w:hint="eastAsia" w:ascii="仿宋" w:hAnsi="仿宋" w:eastAsia="仿宋"/>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b/>
                <w:highlight w:val="none"/>
              </w:rPr>
              <w:t>第二十五条</w:t>
            </w:r>
            <w:r>
              <w:rPr>
                <w:rFonts w:hint="eastAsia" w:ascii="仿宋" w:hAnsi="仿宋" w:eastAsia="仿宋"/>
                <w:highlight w:val="none"/>
              </w:rPr>
              <w:t xml:space="preserve"> 非期货公司会员、做市商或者客户等期货市场参与者具有下列违反交易所持仓管理规定行为之一的，责令改正，没收违规所得，交易所可以根据情节轻重给予强行平仓、警告、通报批评、公开谴责、暂停开仓交易</w:t>
            </w:r>
            <w:r>
              <w:rPr>
                <w:rFonts w:ascii="仿宋" w:hAnsi="仿宋" w:eastAsia="仿宋"/>
                <w:highlight w:val="none"/>
              </w:rPr>
              <w:t>12个月以下</w:t>
            </w:r>
            <w:r>
              <w:rPr>
                <w:rFonts w:hint="eastAsia" w:ascii="仿宋" w:hAnsi="仿宋" w:eastAsia="仿宋"/>
                <w:highlight w:val="none"/>
              </w:rPr>
              <w:t>、暂停部分期货或者期权业务、取消相应资格的纪律处分，可以并处其违规持仓总金额</w:t>
            </w:r>
            <w:r>
              <w:rPr>
                <w:rFonts w:ascii="仿宋" w:hAnsi="仿宋" w:eastAsia="仿宋"/>
                <w:highlight w:val="none"/>
              </w:rPr>
              <w:t>5%以下的罚款</w:t>
            </w:r>
            <w:r>
              <w:rPr>
                <w:rFonts w:hint="eastAsia" w:ascii="仿宋" w:hAnsi="仿宋" w:eastAsia="仿宋"/>
                <w:highlight w:val="none"/>
              </w:rPr>
              <w:t>：</w:t>
            </w:r>
          </w:p>
          <w:p>
            <w:pPr>
              <w:pStyle w:val="7"/>
              <w:shd w:val="clear" w:color="auto" w:fill="FFFFFF"/>
              <w:adjustRightInd w:val="0"/>
              <w:spacing w:before="0" w:beforeAutospacing="0" w:after="0" w:afterAutospacing="0"/>
              <w:ind w:firstLine="480" w:firstLineChars="200"/>
              <w:rPr>
                <w:rFonts w:ascii="仿宋" w:hAnsi="仿宋" w:eastAsia="仿宋"/>
                <w:highlight w:val="none"/>
              </w:rPr>
            </w:pPr>
            <w:r>
              <w:rPr>
                <w:rFonts w:hint="eastAsia" w:ascii="仿宋" w:hAnsi="仿宋" w:eastAsia="仿宋"/>
                <w:highlight w:val="none"/>
              </w:rPr>
              <w:t>……</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期货公司会员或者境外经纪机构未及时、准确、完整地向客户传达交易所持仓管理规定的，交易所可以参照适用前款规定给予相应纪律处分。</w:t>
            </w:r>
          </w:p>
          <w:p>
            <w:pPr>
              <w:jc w:val="left"/>
              <w:rPr>
                <w:rFonts w:ascii="仿宋" w:hAnsi="仿宋" w:eastAsia="仿宋"/>
                <w:sz w:val="24"/>
                <w:highlight w:val="none"/>
              </w:rPr>
            </w:pPr>
          </w:p>
        </w:tc>
        <w:tc>
          <w:tcPr>
            <w:tcW w:w="2556" w:type="pct"/>
            <w:gridSpan w:val="2"/>
            <w:noWrap w:val="0"/>
            <w:vAlign w:val="top"/>
          </w:tcPr>
          <w:p>
            <w:pPr>
              <w:pStyle w:val="7"/>
              <w:shd w:val="clear" w:color="auto" w:fill="FFFFFF"/>
              <w:adjustRightInd w:val="0"/>
              <w:spacing w:before="0" w:beforeAutospacing="0" w:after="0" w:afterAutospacing="0"/>
              <w:ind w:left="-23" w:firstLine="420"/>
              <w:rPr>
                <w:rFonts w:ascii="仿宋" w:hAnsi="仿宋" w:eastAsia="仿宋"/>
                <w:highlight w:val="none"/>
              </w:rPr>
            </w:pPr>
            <w:bookmarkStart w:id="65" w:name="OLE_LINK50"/>
            <w:bookmarkStart w:id="66" w:name="OLE_LINK8"/>
            <w:bookmarkStart w:id="67" w:name="OLE_LINK48"/>
            <w:bookmarkStart w:id="68" w:name="OLE_LINK49"/>
            <w:r>
              <w:rPr>
                <w:rFonts w:hint="eastAsia" w:ascii="仿宋" w:hAnsi="仿宋" w:eastAsia="仿宋"/>
                <w:b/>
                <w:highlight w:val="none"/>
              </w:rPr>
              <w:t>第二十</w:t>
            </w:r>
            <w:r>
              <w:rPr>
                <w:rFonts w:hint="eastAsia" w:ascii="仿宋" w:hAnsi="仿宋" w:eastAsia="仿宋"/>
                <w:b/>
                <w:dstrike/>
                <w:highlight w:val="none"/>
              </w:rPr>
              <w:t>五</w:t>
            </w:r>
            <w:r>
              <w:rPr>
                <w:rFonts w:hint="eastAsia" w:ascii="仿宋" w:hAnsi="仿宋" w:eastAsia="仿宋"/>
                <w:b/>
                <w:highlight w:val="none"/>
                <w:u w:val="single"/>
              </w:rPr>
              <w:t>六</w:t>
            </w:r>
            <w:r>
              <w:rPr>
                <w:rFonts w:hint="eastAsia" w:ascii="仿宋" w:hAnsi="仿宋" w:eastAsia="仿宋"/>
                <w:b/>
                <w:highlight w:val="none"/>
              </w:rPr>
              <w:t>条</w:t>
            </w:r>
            <w:bookmarkStart w:id="69" w:name="OLE_LINK72"/>
            <w:bookmarkStart w:id="70" w:name="OLE_LINK73"/>
            <w:bookmarkStart w:id="71" w:name="OLE_LINK71"/>
            <w:r>
              <w:rPr>
                <w:rFonts w:hint="eastAsia" w:ascii="仿宋" w:hAnsi="仿宋" w:eastAsia="仿宋"/>
                <w:highlight w:val="none"/>
              </w:rPr>
              <w:t xml:space="preserve"> 非期货公司会员</w:t>
            </w:r>
            <w:r>
              <w:rPr>
                <w:rFonts w:hint="eastAsia" w:ascii="仿宋" w:hAnsi="仿宋" w:eastAsia="仿宋"/>
                <w:b/>
                <w:highlight w:val="none"/>
                <w:u w:val="single"/>
              </w:rPr>
              <w:t>、境外特殊非经纪参与者</w:t>
            </w:r>
            <w:r>
              <w:rPr>
                <w:rFonts w:hint="eastAsia" w:ascii="仿宋" w:hAnsi="仿宋" w:eastAsia="仿宋"/>
                <w:highlight w:val="none"/>
              </w:rPr>
              <w:t>、做市商或者客户等期货市场参与者具有下列违反交易所持仓管理规定行为之一的，责令改正，没收违规所得，交易所可以根据情节轻重给予强行平仓、警告、通报批评、公开谴责、暂停开仓交易</w:t>
            </w:r>
            <w:r>
              <w:rPr>
                <w:rFonts w:ascii="仿宋" w:hAnsi="仿宋" w:eastAsia="仿宋"/>
                <w:highlight w:val="none"/>
              </w:rPr>
              <w:t>12个月以下</w:t>
            </w:r>
            <w:r>
              <w:rPr>
                <w:rFonts w:hint="eastAsia" w:ascii="仿宋" w:hAnsi="仿宋" w:eastAsia="仿宋"/>
                <w:highlight w:val="none"/>
              </w:rPr>
              <w:t>、暂停部分期货或者期权业务、取消相应资格的纪律处分，可以并处其违规持仓总金额</w:t>
            </w:r>
            <w:r>
              <w:rPr>
                <w:rFonts w:ascii="仿宋" w:hAnsi="仿宋" w:eastAsia="仿宋"/>
                <w:highlight w:val="none"/>
              </w:rPr>
              <w:t>5%以下的罚款</w:t>
            </w:r>
            <w:r>
              <w:rPr>
                <w:rFonts w:hint="eastAsia" w:ascii="仿宋" w:hAnsi="仿宋" w:eastAsia="仿宋"/>
                <w:highlight w:val="none"/>
              </w:rPr>
              <w:t>：</w:t>
            </w:r>
          </w:p>
          <w:bookmarkEnd w:id="65"/>
          <w:bookmarkEnd w:id="66"/>
          <w:bookmarkEnd w:id="67"/>
          <w:bookmarkEnd w:id="68"/>
          <w:bookmarkEnd w:id="69"/>
          <w:bookmarkEnd w:id="70"/>
          <w:bookmarkEnd w:id="71"/>
          <w:p>
            <w:pPr>
              <w:pStyle w:val="7"/>
              <w:shd w:val="clear" w:color="auto" w:fill="FFFFFF"/>
              <w:adjustRightInd w:val="0"/>
              <w:spacing w:before="0" w:beforeAutospacing="0" w:after="0" w:afterAutospacing="0"/>
              <w:ind w:firstLine="480" w:firstLineChars="200"/>
              <w:rPr>
                <w:rFonts w:ascii="仿宋" w:hAnsi="仿宋" w:eastAsia="仿宋"/>
                <w:highlight w:val="none"/>
              </w:rPr>
            </w:pPr>
            <w:r>
              <w:rPr>
                <w:rFonts w:hint="eastAsia" w:ascii="仿宋" w:hAnsi="仿宋" w:eastAsia="仿宋"/>
                <w:highlight w:val="none"/>
              </w:rPr>
              <w:t>……</w:t>
            </w:r>
          </w:p>
          <w:p>
            <w:pPr>
              <w:pStyle w:val="7"/>
              <w:shd w:val="clear" w:color="auto" w:fill="FFFFFF"/>
              <w:adjustRightInd w:val="0"/>
              <w:spacing w:before="0" w:beforeAutospacing="0" w:after="0" w:afterAutospacing="0"/>
              <w:ind w:left="-23" w:firstLine="420"/>
              <w:rPr>
                <w:rFonts w:ascii="仿宋" w:hAnsi="仿宋" w:eastAsia="仿宋"/>
                <w:highlight w:val="none"/>
              </w:rPr>
            </w:pPr>
            <w:r>
              <w:rPr>
                <w:rFonts w:hint="eastAsia" w:ascii="仿宋" w:hAnsi="仿宋" w:eastAsia="仿宋"/>
                <w:highlight w:val="none"/>
              </w:rPr>
              <w:t>期货公司会员</w:t>
            </w:r>
            <w:r>
              <w:rPr>
                <w:rFonts w:hint="eastAsia" w:ascii="仿宋" w:hAnsi="仿宋" w:eastAsia="仿宋"/>
                <w:b/>
                <w:highlight w:val="none"/>
                <w:u w:val="single"/>
              </w:rPr>
              <w:t>、境外特殊经纪参与者</w:t>
            </w:r>
            <w:r>
              <w:rPr>
                <w:rFonts w:hint="eastAsia" w:ascii="仿宋" w:hAnsi="仿宋" w:eastAsia="仿宋"/>
                <w:highlight w:val="none"/>
              </w:rPr>
              <w:t>或者境外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机构未及时、准确、完整地向客户传达交易所持仓管理规定的，交易所可以参照适用前款规定给予相应纪律处分。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ind w:left="-22" w:firstLine="420"/>
              <w:rPr>
                <w:rFonts w:ascii="仿宋" w:hAnsi="仿宋" w:eastAsia="仿宋"/>
                <w:highlight w:val="none"/>
              </w:rPr>
            </w:pPr>
            <w:r>
              <w:rPr>
                <w:rFonts w:hint="eastAsia" w:ascii="仿宋" w:hAnsi="仿宋" w:eastAsia="仿宋"/>
                <w:b/>
                <w:highlight w:val="none"/>
              </w:rPr>
              <w:t>第二十六</w:t>
            </w:r>
            <w:r>
              <w:rPr>
                <w:rFonts w:ascii="仿宋" w:hAnsi="仿宋" w:eastAsia="仿宋"/>
                <w:b/>
                <w:highlight w:val="none"/>
              </w:rPr>
              <w:t>条</w:t>
            </w:r>
            <w:r>
              <w:rPr>
                <w:rFonts w:ascii="仿宋" w:hAnsi="仿宋" w:eastAsia="仿宋"/>
                <w:highlight w:val="none"/>
              </w:rPr>
              <w:t xml:space="preserve"> </w:t>
            </w:r>
            <w:r>
              <w:rPr>
                <w:rFonts w:hint="eastAsia" w:ascii="仿宋" w:hAnsi="仿宋" w:eastAsia="仿宋"/>
                <w:highlight w:val="none"/>
              </w:rPr>
              <w:t>非期货公司会员、做市商或者客户等期货市场参与者利用不正当手段规避交易所交易限额制度，超限交易的，责令改正，</w:t>
            </w:r>
            <w:r>
              <w:rPr>
                <w:rFonts w:ascii="仿宋" w:hAnsi="仿宋" w:eastAsia="仿宋"/>
                <w:highlight w:val="none"/>
              </w:rPr>
              <w:t>没收违规所得</w:t>
            </w:r>
            <w:r>
              <w:rPr>
                <w:rFonts w:hint="eastAsia" w:ascii="仿宋" w:hAnsi="仿宋" w:eastAsia="仿宋"/>
                <w:highlight w:val="none"/>
              </w:rPr>
              <w:t>，交易所可以根据情节轻重给予警告、通报批评、公开谴责、强行平仓、暂停开仓交易</w:t>
            </w:r>
            <w:r>
              <w:rPr>
                <w:rFonts w:ascii="仿宋" w:hAnsi="仿宋" w:eastAsia="仿宋"/>
                <w:highlight w:val="none"/>
              </w:rPr>
              <w:t>12个月以下、暂停部分期货或者期权业务</w:t>
            </w:r>
            <w:r>
              <w:rPr>
                <w:rFonts w:hint="eastAsia" w:ascii="仿宋" w:hAnsi="仿宋" w:eastAsia="仿宋"/>
                <w:highlight w:val="none"/>
              </w:rPr>
              <w:t>、</w:t>
            </w:r>
            <w:r>
              <w:rPr>
                <w:rFonts w:ascii="仿宋" w:hAnsi="仿宋" w:eastAsia="仿宋"/>
                <w:highlight w:val="none"/>
              </w:rPr>
              <w:t>取消相应资格的纪律处分，可以</w:t>
            </w:r>
            <w:r>
              <w:rPr>
                <w:rFonts w:hint="eastAsia" w:ascii="仿宋" w:hAnsi="仿宋" w:eastAsia="仿宋"/>
                <w:highlight w:val="none"/>
              </w:rPr>
              <w:t>并处</w:t>
            </w:r>
            <w:r>
              <w:rPr>
                <w:rFonts w:ascii="仿宋" w:hAnsi="仿宋" w:eastAsia="仿宋"/>
                <w:highlight w:val="none"/>
              </w:rPr>
              <w:t>50万元以下的罚款。</w:t>
            </w:r>
          </w:p>
        </w:tc>
        <w:tc>
          <w:tcPr>
            <w:tcW w:w="2556" w:type="pct"/>
            <w:gridSpan w:val="2"/>
            <w:noWrap w:val="0"/>
            <w:vAlign w:val="top"/>
          </w:tcPr>
          <w:p>
            <w:pPr>
              <w:adjustRightInd w:val="0"/>
              <w:ind w:left="-21" w:leftChars="-10" w:firstLine="472" w:firstLineChars="196"/>
              <w:jc w:val="left"/>
              <w:rPr>
                <w:rFonts w:ascii="仿宋" w:hAnsi="仿宋" w:eastAsia="仿宋"/>
                <w:sz w:val="24"/>
                <w:highlight w:val="none"/>
              </w:rPr>
            </w:pPr>
            <w:r>
              <w:rPr>
                <w:rFonts w:hint="eastAsia" w:ascii="仿宋" w:hAnsi="仿宋" w:eastAsia="仿宋"/>
                <w:b/>
                <w:sz w:val="24"/>
                <w:highlight w:val="none"/>
              </w:rPr>
              <w:t>第二十</w:t>
            </w:r>
            <w:r>
              <w:rPr>
                <w:rFonts w:hint="eastAsia" w:ascii="仿宋" w:hAnsi="仿宋" w:eastAsia="仿宋"/>
                <w:b/>
                <w:dstrike/>
                <w:sz w:val="24"/>
                <w:highlight w:val="none"/>
              </w:rPr>
              <w:t>六</w:t>
            </w:r>
            <w:r>
              <w:rPr>
                <w:rFonts w:hint="eastAsia" w:ascii="仿宋" w:hAnsi="仿宋" w:eastAsia="仿宋"/>
                <w:b/>
                <w:sz w:val="24"/>
                <w:highlight w:val="none"/>
                <w:u w:val="single"/>
              </w:rPr>
              <w:t>七</w:t>
            </w:r>
            <w:r>
              <w:rPr>
                <w:rFonts w:ascii="仿宋" w:hAnsi="仿宋" w:eastAsia="仿宋"/>
                <w:b/>
                <w:sz w:val="24"/>
                <w:highlight w:val="none"/>
              </w:rPr>
              <w:t>条</w:t>
            </w:r>
            <w:r>
              <w:rPr>
                <w:rFonts w:ascii="仿宋" w:hAnsi="仿宋" w:eastAsia="仿宋"/>
                <w:sz w:val="24"/>
                <w:highlight w:val="none"/>
              </w:rPr>
              <w:t xml:space="preserve"> </w:t>
            </w:r>
            <w:r>
              <w:rPr>
                <w:rFonts w:hint="eastAsia" w:ascii="仿宋" w:hAnsi="仿宋" w:eastAsia="仿宋"/>
                <w:sz w:val="24"/>
                <w:highlight w:val="none"/>
              </w:rPr>
              <w:t>非期货公司会员</w:t>
            </w:r>
            <w:r>
              <w:rPr>
                <w:rFonts w:hint="eastAsia" w:ascii="仿宋" w:hAnsi="仿宋" w:eastAsia="仿宋"/>
                <w:b/>
                <w:sz w:val="24"/>
                <w:highlight w:val="none"/>
                <w:u w:val="single"/>
              </w:rPr>
              <w:t>、境外特殊非经纪参与者</w:t>
            </w:r>
            <w:r>
              <w:rPr>
                <w:rFonts w:hint="eastAsia" w:ascii="仿宋" w:hAnsi="仿宋" w:eastAsia="仿宋"/>
                <w:sz w:val="24"/>
                <w:highlight w:val="none"/>
              </w:rPr>
              <w:t>、做市商或者客户等期货市场参与者利用不正当手段规避交易所交易限额制度，超限交易的，责令改正，</w:t>
            </w:r>
            <w:r>
              <w:rPr>
                <w:rFonts w:ascii="仿宋" w:hAnsi="仿宋" w:eastAsia="仿宋"/>
                <w:sz w:val="24"/>
                <w:highlight w:val="none"/>
              </w:rPr>
              <w:t>没收违规所得</w:t>
            </w:r>
            <w:r>
              <w:rPr>
                <w:rFonts w:hint="eastAsia" w:ascii="仿宋" w:hAnsi="仿宋" w:eastAsia="仿宋"/>
                <w:sz w:val="24"/>
                <w:highlight w:val="none"/>
              </w:rPr>
              <w:t>，交易所可以根据情节轻重给予警告、通报批评、公开谴责、强行平仓、暂停开仓交易</w:t>
            </w:r>
            <w:r>
              <w:rPr>
                <w:rFonts w:ascii="仿宋" w:hAnsi="仿宋" w:eastAsia="仿宋"/>
                <w:sz w:val="24"/>
                <w:highlight w:val="none"/>
              </w:rPr>
              <w:t>12个月以下、暂停部分期货或者期权业务</w:t>
            </w:r>
            <w:r>
              <w:rPr>
                <w:rFonts w:hint="eastAsia" w:ascii="仿宋" w:hAnsi="仿宋" w:eastAsia="仿宋"/>
                <w:sz w:val="24"/>
                <w:highlight w:val="none"/>
              </w:rPr>
              <w:t>、</w:t>
            </w:r>
            <w:r>
              <w:rPr>
                <w:rFonts w:ascii="仿宋" w:hAnsi="仿宋" w:eastAsia="仿宋"/>
                <w:sz w:val="24"/>
                <w:highlight w:val="none"/>
              </w:rPr>
              <w:t>取消相应资格的纪律处分，可以</w:t>
            </w:r>
            <w:r>
              <w:rPr>
                <w:rFonts w:hint="eastAsia" w:ascii="仿宋" w:hAnsi="仿宋" w:eastAsia="仿宋"/>
                <w:sz w:val="24"/>
                <w:highlight w:val="none"/>
              </w:rPr>
              <w:t>并处</w:t>
            </w:r>
            <w:r>
              <w:rPr>
                <w:rFonts w:ascii="仿宋" w:hAnsi="仿宋" w:eastAsia="仿宋"/>
                <w:sz w:val="24"/>
                <w:highlight w:val="none"/>
              </w:rPr>
              <w:t>50万元以下的罚款。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b/>
                <w:highlight w:val="none"/>
              </w:rPr>
              <w:t>第二十七条</w:t>
            </w:r>
            <w:r>
              <w:rPr>
                <w:rFonts w:hint="eastAsia" w:ascii="仿宋" w:hAnsi="仿宋" w:eastAsia="仿宋"/>
                <w:highlight w:val="none"/>
              </w:rPr>
              <w:t xml:space="preserve"> 非期货公司会员、客户等期货市场参与者具有下列违反交易所实际控制关系账户管理规定行为之一的，责令改正，交易所可以根据情节轻重给予警告、通报批评、公开谴责、暂停开仓交易</w:t>
            </w:r>
            <w:r>
              <w:rPr>
                <w:rFonts w:ascii="仿宋" w:hAnsi="仿宋" w:eastAsia="仿宋"/>
                <w:highlight w:val="none"/>
              </w:rPr>
              <w:t>12个月以下、暂停部分期货或者期权</w:t>
            </w:r>
            <w:r>
              <w:rPr>
                <w:rFonts w:hint="eastAsia" w:ascii="仿宋" w:hAnsi="仿宋" w:eastAsia="仿宋"/>
                <w:highlight w:val="none"/>
              </w:rPr>
              <w:t>业务、取消相应资格的纪律处分，可以并处50万元以下的罚款：</w:t>
            </w:r>
          </w:p>
          <w:p>
            <w:pPr>
              <w:pStyle w:val="7"/>
              <w:shd w:val="clear" w:color="auto" w:fill="FFFFFF"/>
              <w:adjustRightInd w:val="0"/>
              <w:spacing w:before="0" w:beforeAutospacing="0" w:after="0" w:afterAutospacing="0"/>
              <w:ind w:left="-22" w:firstLine="315"/>
              <w:rPr>
                <w:rFonts w:ascii="仿宋" w:hAnsi="仿宋" w:eastAsia="仿宋"/>
                <w:highlight w:val="none"/>
              </w:rPr>
            </w:pPr>
            <w:r>
              <w:rPr>
                <w:rFonts w:hint="eastAsia" w:ascii="仿宋" w:hAnsi="仿宋" w:eastAsia="仿宋"/>
                <w:highlight w:val="none"/>
              </w:rPr>
              <w:t>……</w:t>
            </w:r>
          </w:p>
          <w:p>
            <w:pPr>
              <w:ind w:firstLine="480" w:firstLineChars="200"/>
              <w:jc w:val="left"/>
              <w:rPr>
                <w:rFonts w:ascii="仿宋" w:hAnsi="仿宋" w:eastAsia="仿宋"/>
                <w:dstrike/>
                <w:color w:val="333333"/>
                <w:sz w:val="24"/>
                <w:highlight w:val="none"/>
              </w:rPr>
            </w:pPr>
            <w:r>
              <w:rPr>
                <w:rFonts w:hint="eastAsia" w:ascii="仿宋" w:hAnsi="仿宋" w:eastAsia="仿宋"/>
                <w:sz w:val="24"/>
                <w:highlight w:val="none"/>
              </w:rPr>
              <w:t>会员、境外经纪机构未履行对客户实际控制关系账户的管理职责，诱导或者协助客户提供虚假性材料、隐瞒事实真相的，交易所可以参照适用前款规定给予相应纪律处分。</w:t>
            </w:r>
          </w:p>
        </w:tc>
        <w:tc>
          <w:tcPr>
            <w:tcW w:w="2556" w:type="pct"/>
            <w:gridSpan w:val="2"/>
            <w:noWrap w:val="0"/>
            <w:vAlign w:val="top"/>
          </w:tcPr>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b/>
                <w:highlight w:val="none"/>
              </w:rPr>
              <w:t>第二十</w:t>
            </w:r>
            <w:r>
              <w:rPr>
                <w:rFonts w:hint="eastAsia" w:ascii="仿宋" w:hAnsi="仿宋" w:eastAsia="仿宋"/>
                <w:b/>
                <w:dstrike/>
                <w:highlight w:val="none"/>
              </w:rPr>
              <w:t>七</w:t>
            </w:r>
            <w:r>
              <w:rPr>
                <w:rFonts w:hint="eastAsia" w:ascii="仿宋" w:hAnsi="仿宋" w:eastAsia="仿宋"/>
                <w:b/>
                <w:highlight w:val="none"/>
                <w:u w:val="single"/>
              </w:rPr>
              <w:t>八</w:t>
            </w:r>
            <w:r>
              <w:rPr>
                <w:rFonts w:hint="eastAsia" w:ascii="仿宋" w:hAnsi="仿宋" w:eastAsia="仿宋"/>
                <w:b/>
                <w:highlight w:val="none"/>
              </w:rPr>
              <w:t>条</w:t>
            </w:r>
            <w:r>
              <w:rPr>
                <w:rFonts w:hint="eastAsia" w:ascii="仿宋" w:hAnsi="仿宋" w:eastAsia="仿宋"/>
                <w:highlight w:val="none"/>
              </w:rPr>
              <w:t xml:space="preserve"> 非期货公司会员</w:t>
            </w:r>
            <w:r>
              <w:rPr>
                <w:rFonts w:hint="eastAsia" w:ascii="仿宋" w:hAnsi="仿宋" w:eastAsia="仿宋"/>
                <w:b/>
                <w:highlight w:val="none"/>
                <w:u w:val="single"/>
              </w:rPr>
              <w:t>、境外特殊非经纪参与者</w:t>
            </w:r>
            <w:r>
              <w:rPr>
                <w:rFonts w:hint="eastAsia" w:ascii="仿宋" w:hAnsi="仿宋" w:eastAsia="仿宋"/>
                <w:highlight w:val="none"/>
              </w:rPr>
              <w:t>、客户等期货市场参与者具有下列违反交易所实际控制关系账户管理规定行为之一的，责令改正，交易所可以根据情节轻重给予警告、通报批评、公开谴责、暂停开仓交易</w:t>
            </w:r>
            <w:r>
              <w:rPr>
                <w:rFonts w:ascii="仿宋" w:hAnsi="仿宋" w:eastAsia="仿宋"/>
                <w:highlight w:val="none"/>
              </w:rPr>
              <w:t>12个月以下、暂停部分期货或者期权</w:t>
            </w:r>
            <w:r>
              <w:rPr>
                <w:rFonts w:hint="eastAsia" w:ascii="仿宋" w:hAnsi="仿宋" w:eastAsia="仿宋"/>
                <w:highlight w:val="none"/>
              </w:rPr>
              <w:t>业务、取消相应资格的纪律处分，可以并处50万元以下的罚款：</w:t>
            </w:r>
          </w:p>
          <w:p>
            <w:pPr>
              <w:pStyle w:val="7"/>
              <w:shd w:val="clear" w:color="auto" w:fill="FFFFFF"/>
              <w:adjustRightInd w:val="0"/>
              <w:spacing w:before="0" w:beforeAutospacing="0" w:after="0" w:afterAutospacing="0"/>
              <w:ind w:left="-22" w:firstLine="315"/>
              <w:rPr>
                <w:rFonts w:ascii="仿宋" w:hAnsi="仿宋" w:eastAsia="仿宋"/>
                <w:highlight w:val="none"/>
              </w:rPr>
            </w:pPr>
            <w:r>
              <w:rPr>
                <w:rFonts w:hint="eastAsia" w:ascii="仿宋" w:hAnsi="仿宋" w:eastAsia="仿宋"/>
                <w:highlight w:val="none"/>
              </w:rPr>
              <w:t>……</w:t>
            </w:r>
          </w:p>
          <w:p>
            <w:pPr>
              <w:ind w:firstLine="480" w:firstLineChars="200"/>
              <w:jc w:val="left"/>
              <w:rPr>
                <w:rFonts w:ascii="仿宋" w:hAnsi="仿宋" w:eastAsia="仿宋"/>
                <w:sz w:val="24"/>
                <w:highlight w:val="none"/>
              </w:rPr>
            </w:pPr>
            <w:r>
              <w:rPr>
                <w:rFonts w:hint="eastAsia" w:ascii="仿宋" w:hAnsi="仿宋" w:eastAsia="仿宋"/>
                <w:sz w:val="24"/>
                <w:highlight w:val="none"/>
              </w:rPr>
              <w:t>会员</w:t>
            </w:r>
            <w:r>
              <w:rPr>
                <w:rFonts w:hint="eastAsia" w:ascii="仿宋" w:hAnsi="仿宋" w:eastAsia="仿宋"/>
                <w:b/>
                <w:sz w:val="24"/>
                <w:highlight w:val="none"/>
                <w:u w:val="single"/>
              </w:rPr>
              <w:t>、境外特殊经纪参与者</w:t>
            </w:r>
            <w:r>
              <w:rPr>
                <w:rFonts w:hint="eastAsia" w:ascii="仿宋" w:hAnsi="仿宋" w:eastAsia="仿宋"/>
                <w:sz w:val="24"/>
                <w:highlight w:val="none"/>
              </w:rPr>
              <w:t>、境外</w:t>
            </w:r>
            <w:r>
              <w:rPr>
                <w:rFonts w:hint="eastAsia" w:ascii="仿宋" w:hAnsi="仿宋" w:eastAsia="仿宋"/>
                <w:b/>
                <w:sz w:val="24"/>
                <w:highlight w:val="none"/>
                <w:u w:val="single"/>
              </w:rPr>
              <w:t>中介</w:t>
            </w:r>
            <w:r>
              <w:rPr>
                <w:rFonts w:hint="eastAsia" w:ascii="仿宋" w:hAnsi="仿宋" w:eastAsia="仿宋"/>
                <w:dstrike/>
                <w:sz w:val="24"/>
                <w:highlight w:val="none"/>
              </w:rPr>
              <w:t>经纪</w:t>
            </w:r>
            <w:r>
              <w:rPr>
                <w:rFonts w:hint="eastAsia" w:ascii="仿宋" w:hAnsi="仿宋" w:eastAsia="仿宋"/>
                <w:sz w:val="24"/>
                <w:highlight w:val="none"/>
              </w:rPr>
              <w:t>机构未履行对客户实际控制关系账户的管理职责，诱导或者协助客户提供虚假性材料、隐瞒事实真相的，交易所可以参照适用前款规定给予相应纪律处分。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ind w:left="-22" w:firstLine="420"/>
              <w:rPr>
                <w:rFonts w:ascii="仿宋" w:hAnsi="仿宋" w:eastAsia="仿宋"/>
                <w:highlight w:val="none"/>
              </w:rPr>
            </w:pPr>
            <w:r>
              <w:rPr>
                <w:rFonts w:hint="eastAsia" w:ascii="仿宋" w:hAnsi="仿宋" w:eastAsia="仿宋"/>
                <w:b/>
                <w:highlight w:val="none"/>
              </w:rPr>
              <w:t>第二十九条</w:t>
            </w:r>
            <w:r>
              <w:rPr>
                <w:rFonts w:hint="eastAsia" w:ascii="仿宋" w:hAnsi="仿宋" w:eastAsia="仿宋"/>
                <w:highlight w:val="none"/>
              </w:rPr>
              <w:t xml:space="preserve"> 会员、境外经纪机构、客户参与标准仓单业务时，违反交易所规定的，责令改正，交易所可以根据情节轻重给予警告、通报批评、公开谴责、暂停从事标准仓单业务、取消相应资格的纪律处分，可以并处5</w:t>
            </w:r>
            <w:r>
              <w:rPr>
                <w:rFonts w:ascii="仿宋" w:hAnsi="仿宋" w:eastAsia="仿宋"/>
                <w:highlight w:val="none"/>
              </w:rPr>
              <w:t>0万元</w:t>
            </w:r>
            <w:r>
              <w:rPr>
                <w:rFonts w:hint="eastAsia" w:ascii="仿宋" w:hAnsi="仿宋" w:eastAsia="仿宋"/>
                <w:highlight w:val="none"/>
              </w:rPr>
              <w:t>以下的</w:t>
            </w:r>
            <w:r>
              <w:rPr>
                <w:rFonts w:ascii="仿宋" w:hAnsi="仿宋" w:eastAsia="仿宋"/>
                <w:highlight w:val="none"/>
              </w:rPr>
              <w:t>罚款。</w:t>
            </w:r>
          </w:p>
        </w:tc>
        <w:tc>
          <w:tcPr>
            <w:tcW w:w="2556" w:type="pct"/>
            <w:gridSpan w:val="2"/>
            <w:noWrap w:val="0"/>
            <w:vAlign w:val="top"/>
          </w:tcPr>
          <w:p>
            <w:pPr>
              <w:pStyle w:val="7"/>
              <w:shd w:val="clear" w:color="auto" w:fill="FFFFFF"/>
              <w:adjustRightInd w:val="0"/>
              <w:ind w:left="-22" w:firstLine="420"/>
              <w:rPr>
                <w:rFonts w:ascii="仿宋" w:hAnsi="仿宋" w:eastAsia="仿宋"/>
                <w:highlight w:val="none"/>
              </w:rPr>
            </w:pPr>
            <w:r>
              <w:rPr>
                <w:rFonts w:hint="eastAsia" w:ascii="仿宋" w:hAnsi="仿宋" w:eastAsia="仿宋"/>
                <w:b/>
                <w:highlight w:val="none"/>
              </w:rPr>
              <w:t>第</w:t>
            </w:r>
            <w:r>
              <w:rPr>
                <w:rFonts w:hint="eastAsia" w:ascii="仿宋" w:hAnsi="仿宋" w:eastAsia="仿宋"/>
                <w:b/>
                <w:dstrike/>
                <w:highlight w:val="none"/>
              </w:rPr>
              <w:t>二十九</w:t>
            </w:r>
            <w:r>
              <w:rPr>
                <w:rFonts w:hint="eastAsia" w:ascii="仿宋" w:hAnsi="仿宋" w:eastAsia="仿宋"/>
                <w:b/>
                <w:highlight w:val="none"/>
                <w:u w:val="single"/>
              </w:rPr>
              <w:t>三十</w:t>
            </w:r>
            <w:r>
              <w:rPr>
                <w:rFonts w:hint="eastAsia" w:ascii="仿宋" w:hAnsi="仿宋" w:eastAsia="仿宋"/>
                <w:b/>
                <w:highlight w:val="none"/>
              </w:rPr>
              <w:t>条</w:t>
            </w:r>
            <w:r>
              <w:rPr>
                <w:rFonts w:hint="eastAsia" w:ascii="仿宋" w:hAnsi="仿宋" w:eastAsia="仿宋"/>
                <w:highlight w:val="none"/>
              </w:rPr>
              <w:t xml:space="preserve"> 会员</w:t>
            </w:r>
            <w:r>
              <w:rPr>
                <w:rFonts w:hint="eastAsia" w:ascii="仿宋" w:hAnsi="仿宋" w:eastAsia="仿宋"/>
                <w:b/>
                <w:highlight w:val="none"/>
                <w:u w:val="single"/>
              </w:rPr>
              <w:t>、境外特殊参与者</w:t>
            </w:r>
            <w:r>
              <w:rPr>
                <w:rFonts w:hint="eastAsia" w:ascii="仿宋" w:hAnsi="仿宋" w:eastAsia="仿宋"/>
                <w:highlight w:val="none"/>
              </w:rPr>
              <w:t>、境外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机构、客户参与标准仓单业务时，违反交易所规定的，责令改正，交易所可以根据情节轻重给予警告、通报批评、公开谴责、暂停从事标准仓单业务、取消相应资格的纪律处分，可以并处5</w:t>
            </w:r>
            <w:r>
              <w:rPr>
                <w:rFonts w:ascii="仿宋" w:hAnsi="仿宋" w:eastAsia="仿宋"/>
                <w:highlight w:val="none"/>
              </w:rPr>
              <w:t>0万元</w:t>
            </w:r>
            <w:r>
              <w:rPr>
                <w:rFonts w:hint="eastAsia" w:ascii="仿宋" w:hAnsi="仿宋" w:eastAsia="仿宋"/>
                <w:highlight w:val="none"/>
              </w:rPr>
              <w:t>以下的</w:t>
            </w:r>
            <w:r>
              <w:rPr>
                <w:rFonts w:ascii="仿宋" w:hAnsi="仿宋" w:eastAsia="仿宋"/>
                <w:highlight w:val="none"/>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noWrap w:val="0"/>
            <w:vAlign w:val="top"/>
          </w:tcPr>
          <w:p>
            <w:pPr>
              <w:autoSpaceDE w:val="0"/>
              <w:autoSpaceDN w:val="0"/>
              <w:adjustRightInd w:val="0"/>
              <w:jc w:val="center"/>
              <w:rPr>
                <w:rFonts w:ascii="仿宋" w:hAnsi="仿宋" w:eastAsia="仿宋"/>
                <w:b/>
                <w:sz w:val="24"/>
                <w:highlight w:val="none"/>
              </w:rPr>
            </w:pPr>
            <w:r>
              <w:rPr>
                <w:rFonts w:hint="eastAsia" w:ascii="仿宋" w:hAnsi="仿宋" w:eastAsia="仿宋"/>
                <w:b/>
                <w:sz w:val="24"/>
                <w:highlight w:val="none"/>
              </w:rPr>
              <w:t>第四章 裁决与执行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b/>
                <w:highlight w:val="none"/>
              </w:rPr>
              <w:t>第四十四条</w:t>
            </w:r>
            <w:r>
              <w:rPr>
                <w:rFonts w:hint="eastAsia" w:ascii="仿宋" w:hAnsi="仿宋" w:eastAsia="仿宋"/>
                <w:highlight w:val="none"/>
              </w:rPr>
              <w:t xml:space="preserve"> 交易所作出取消会员资格、宣布为“市场禁止进入者”的纪律处分应当由交易所理事会决定。</w:t>
            </w:r>
          </w:p>
        </w:tc>
        <w:tc>
          <w:tcPr>
            <w:tcW w:w="2556" w:type="pct"/>
            <w:gridSpan w:val="2"/>
            <w:noWrap w:val="0"/>
            <w:vAlign w:val="top"/>
          </w:tcPr>
          <w:p>
            <w:pPr>
              <w:adjustRightInd w:val="0"/>
              <w:ind w:firstLine="472" w:firstLineChars="196"/>
              <w:jc w:val="left"/>
              <w:rPr>
                <w:rFonts w:ascii="仿宋" w:hAnsi="仿宋" w:eastAsia="仿宋"/>
                <w:sz w:val="24"/>
                <w:highlight w:val="none"/>
              </w:rPr>
            </w:pPr>
            <w:r>
              <w:rPr>
                <w:rFonts w:hint="eastAsia" w:ascii="仿宋" w:hAnsi="仿宋" w:eastAsia="仿宋"/>
                <w:b/>
                <w:sz w:val="24"/>
                <w:highlight w:val="none"/>
              </w:rPr>
              <w:t>第四十</w:t>
            </w:r>
            <w:r>
              <w:rPr>
                <w:rFonts w:hint="eastAsia" w:ascii="仿宋" w:hAnsi="仿宋" w:eastAsia="仿宋"/>
                <w:b/>
                <w:dstrike/>
                <w:sz w:val="24"/>
                <w:highlight w:val="none"/>
              </w:rPr>
              <w:t>四</w:t>
            </w:r>
            <w:r>
              <w:rPr>
                <w:rFonts w:hint="eastAsia" w:ascii="仿宋" w:hAnsi="仿宋" w:eastAsia="仿宋"/>
                <w:b/>
                <w:sz w:val="24"/>
                <w:highlight w:val="none"/>
                <w:u w:val="single"/>
              </w:rPr>
              <w:t>五</w:t>
            </w:r>
            <w:r>
              <w:rPr>
                <w:rFonts w:hint="eastAsia" w:ascii="仿宋" w:hAnsi="仿宋" w:eastAsia="仿宋"/>
                <w:b/>
                <w:sz w:val="24"/>
                <w:highlight w:val="none"/>
              </w:rPr>
              <w:t>条</w:t>
            </w:r>
            <w:r>
              <w:rPr>
                <w:rFonts w:hint="eastAsia" w:ascii="仿宋" w:hAnsi="仿宋" w:eastAsia="仿宋"/>
                <w:sz w:val="24"/>
                <w:highlight w:val="none"/>
              </w:rPr>
              <w:t xml:space="preserve"> 交易所作出取消会员资格</w:t>
            </w:r>
            <w:r>
              <w:rPr>
                <w:rFonts w:hint="eastAsia" w:ascii="仿宋" w:hAnsi="仿宋" w:eastAsia="仿宋"/>
                <w:b/>
                <w:sz w:val="24"/>
                <w:highlight w:val="none"/>
                <w:u w:val="single"/>
              </w:rPr>
              <w:t>、取消境外特殊参与者资格</w:t>
            </w:r>
            <w:r>
              <w:rPr>
                <w:rFonts w:hint="eastAsia" w:ascii="仿宋" w:hAnsi="仿宋" w:eastAsia="仿宋"/>
                <w:sz w:val="24"/>
                <w:highlight w:val="none"/>
              </w:rPr>
              <w:t>、宣布为“市场禁止进入者”的纪律处分应当由交易所理事会决定。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44" w:type="pct"/>
            <w:noWrap w:val="0"/>
            <w:vAlign w:val="top"/>
          </w:tcPr>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b/>
                <w:highlight w:val="none"/>
              </w:rPr>
              <w:t>第五十条</w:t>
            </w:r>
            <w:r>
              <w:rPr>
                <w:rFonts w:hint="eastAsia" w:ascii="仿宋" w:hAnsi="仿宋" w:eastAsia="仿宋"/>
                <w:highlight w:val="none"/>
              </w:rPr>
              <w:t xml:space="preserve"> 纪律处分决定中，</w:t>
            </w:r>
            <w:r>
              <w:rPr>
                <w:rFonts w:ascii="仿宋" w:hAnsi="仿宋" w:eastAsia="仿宋"/>
                <w:highlight w:val="none"/>
              </w:rPr>
              <w:t>具有罚没款项的</w:t>
            </w:r>
            <w:r>
              <w:rPr>
                <w:rFonts w:hint="eastAsia" w:ascii="仿宋" w:hAnsi="仿宋" w:eastAsia="仿宋"/>
                <w:highlight w:val="none"/>
              </w:rPr>
              <w:t>，</w:t>
            </w:r>
            <w:r>
              <w:rPr>
                <w:rFonts w:ascii="仿宋" w:hAnsi="仿宋" w:eastAsia="仿宋"/>
                <w:highlight w:val="none"/>
              </w:rPr>
              <w:t>当事人应</w:t>
            </w:r>
            <w:r>
              <w:rPr>
                <w:rFonts w:hint="eastAsia" w:ascii="仿宋" w:hAnsi="仿宋" w:eastAsia="仿宋"/>
                <w:highlight w:val="none"/>
              </w:rPr>
              <w:t>当在纪律处分决定书生效之日起</w:t>
            </w:r>
            <w:r>
              <w:rPr>
                <w:rFonts w:ascii="仿宋" w:hAnsi="仿宋" w:eastAsia="仿宋"/>
                <w:highlight w:val="none"/>
              </w:rPr>
              <w:t>5个</w:t>
            </w:r>
            <w:r>
              <w:rPr>
                <w:rFonts w:hint="eastAsia" w:ascii="仿宋" w:hAnsi="仿宋" w:eastAsia="仿宋"/>
                <w:highlight w:val="none"/>
              </w:rPr>
              <w:t>交易</w:t>
            </w:r>
            <w:r>
              <w:rPr>
                <w:rFonts w:ascii="仿宋" w:hAnsi="仿宋" w:eastAsia="仿宋"/>
                <w:highlight w:val="none"/>
              </w:rPr>
              <w:t>日内将罚没款项如数缴纳至交易所指定账户。</w:t>
            </w:r>
          </w:p>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highlight w:val="none"/>
              </w:rPr>
              <w:t>对会员工作人员的罚没款项，由会员代缴</w:t>
            </w:r>
            <w:r>
              <w:rPr>
                <w:rFonts w:ascii="仿宋" w:hAnsi="仿宋" w:eastAsia="仿宋"/>
                <w:highlight w:val="none"/>
              </w:rPr>
              <w:t>;</w:t>
            </w:r>
            <w:r>
              <w:rPr>
                <w:rFonts w:hint="eastAsia" w:ascii="仿宋" w:hAnsi="仿宋" w:eastAsia="仿宋"/>
                <w:highlight w:val="none"/>
              </w:rPr>
              <w:t>对交割仓库工作人员的罚没款项，由交割仓库代缴。交割仓库逾期不缴纳罚没款项的，交易所可以从其交割担保金中扣划。</w:t>
            </w:r>
          </w:p>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highlight w:val="none"/>
              </w:rPr>
              <w:t>会员、境外经纪机构应当配合执行交易所对客户、做市商的纪律处分，划拨客户、做市商在该会员处的资金。</w:t>
            </w:r>
          </w:p>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highlight w:val="none"/>
              </w:rPr>
              <w:t>期货市场参与者逾期不缴纳罚没款项的，交易所可以对其采取暂停开仓交易、暂停部分期货</w:t>
            </w:r>
            <w:r>
              <w:rPr>
                <w:rFonts w:ascii="仿宋" w:hAnsi="仿宋" w:eastAsia="仿宋"/>
                <w:highlight w:val="none"/>
              </w:rPr>
              <w:t>或者期权</w:t>
            </w:r>
            <w:r>
              <w:rPr>
                <w:rFonts w:hint="eastAsia" w:ascii="仿宋" w:hAnsi="仿宋" w:eastAsia="仿宋"/>
                <w:highlight w:val="none"/>
              </w:rPr>
              <w:t>业务等措施直至其缴纳罚没款项。</w:t>
            </w:r>
          </w:p>
        </w:tc>
        <w:tc>
          <w:tcPr>
            <w:tcW w:w="2556" w:type="pct"/>
            <w:gridSpan w:val="2"/>
            <w:noWrap w:val="0"/>
            <w:vAlign w:val="top"/>
          </w:tcPr>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b/>
                <w:highlight w:val="none"/>
              </w:rPr>
              <w:t>第五十</w:t>
            </w:r>
            <w:r>
              <w:rPr>
                <w:rFonts w:hint="eastAsia" w:ascii="仿宋" w:hAnsi="仿宋" w:eastAsia="仿宋"/>
                <w:b/>
                <w:highlight w:val="none"/>
                <w:u w:val="single"/>
              </w:rPr>
              <w:t>一</w:t>
            </w:r>
            <w:r>
              <w:rPr>
                <w:rFonts w:hint="eastAsia" w:ascii="仿宋" w:hAnsi="仿宋" w:eastAsia="仿宋"/>
                <w:b/>
                <w:highlight w:val="none"/>
              </w:rPr>
              <w:t>条</w:t>
            </w:r>
            <w:r>
              <w:rPr>
                <w:rFonts w:hint="eastAsia" w:ascii="仿宋" w:hAnsi="仿宋" w:eastAsia="仿宋"/>
                <w:highlight w:val="none"/>
              </w:rPr>
              <w:t xml:space="preserve"> 纪律处分决定中，</w:t>
            </w:r>
            <w:r>
              <w:rPr>
                <w:rFonts w:ascii="仿宋" w:hAnsi="仿宋" w:eastAsia="仿宋"/>
                <w:highlight w:val="none"/>
              </w:rPr>
              <w:t>具有罚没款项的</w:t>
            </w:r>
            <w:r>
              <w:rPr>
                <w:rFonts w:hint="eastAsia" w:ascii="仿宋" w:hAnsi="仿宋" w:eastAsia="仿宋"/>
                <w:highlight w:val="none"/>
              </w:rPr>
              <w:t>，</w:t>
            </w:r>
            <w:r>
              <w:rPr>
                <w:rFonts w:ascii="仿宋" w:hAnsi="仿宋" w:eastAsia="仿宋"/>
                <w:highlight w:val="none"/>
              </w:rPr>
              <w:t>当事人应</w:t>
            </w:r>
            <w:r>
              <w:rPr>
                <w:rFonts w:hint="eastAsia" w:ascii="仿宋" w:hAnsi="仿宋" w:eastAsia="仿宋"/>
                <w:highlight w:val="none"/>
              </w:rPr>
              <w:t>当在纪律处分决定书生效之日起</w:t>
            </w:r>
            <w:r>
              <w:rPr>
                <w:rFonts w:ascii="仿宋" w:hAnsi="仿宋" w:eastAsia="仿宋"/>
                <w:highlight w:val="none"/>
              </w:rPr>
              <w:t>5个</w:t>
            </w:r>
            <w:r>
              <w:rPr>
                <w:rFonts w:hint="eastAsia" w:ascii="仿宋" w:hAnsi="仿宋" w:eastAsia="仿宋"/>
                <w:highlight w:val="none"/>
              </w:rPr>
              <w:t>交易</w:t>
            </w:r>
            <w:r>
              <w:rPr>
                <w:rFonts w:ascii="仿宋" w:hAnsi="仿宋" w:eastAsia="仿宋"/>
                <w:highlight w:val="none"/>
              </w:rPr>
              <w:t>日内将罚没款项如数缴纳至交易所指定账户。</w:t>
            </w:r>
          </w:p>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highlight w:val="none"/>
              </w:rPr>
              <w:t>对会员工作人员的罚没款项，由会员代缴</w:t>
            </w:r>
            <w:r>
              <w:rPr>
                <w:rFonts w:ascii="仿宋" w:hAnsi="仿宋" w:eastAsia="仿宋"/>
                <w:highlight w:val="none"/>
              </w:rPr>
              <w:t>;</w:t>
            </w:r>
            <w:r>
              <w:rPr>
                <w:rFonts w:hint="eastAsia" w:ascii="仿宋" w:hAnsi="仿宋" w:eastAsia="仿宋"/>
                <w:highlight w:val="none"/>
              </w:rPr>
              <w:t>对交割仓库工作人员的罚没款项，由交割仓库代缴。交割仓库逾期不缴纳罚没款项的，交易所可以从其交割担保金中扣划。</w:t>
            </w:r>
          </w:p>
          <w:p>
            <w:pPr>
              <w:pStyle w:val="7"/>
              <w:shd w:val="clear" w:color="auto" w:fill="FFFFFF"/>
              <w:adjustRightInd w:val="0"/>
              <w:spacing w:before="0" w:beforeAutospacing="0" w:after="0" w:afterAutospacing="0"/>
              <w:ind w:left="-22" w:firstLine="420"/>
              <w:rPr>
                <w:rFonts w:ascii="仿宋" w:hAnsi="仿宋" w:eastAsia="仿宋"/>
                <w:highlight w:val="none"/>
              </w:rPr>
            </w:pPr>
            <w:r>
              <w:rPr>
                <w:rFonts w:hint="eastAsia" w:ascii="仿宋" w:hAnsi="仿宋" w:eastAsia="仿宋"/>
                <w:highlight w:val="none"/>
              </w:rPr>
              <w:t>会员、</w:t>
            </w:r>
            <w:r>
              <w:rPr>
                <w:rFonts w:hint="eastAsia" w:ascii="仿宋" w:hAnsi="仿宋" w:eastAsia="仿宋"/>
                <w:b/>
                <w:highlight w:val="none"/>
                <w:u w:val="single"/>
              </w:rPr>
              <w:t>境外特殊参与者、</w:t>
            </w:r>
            <w:r>
              <w:rPr>
                <w:rFonts w:hint="eastAsia" w:ascii="仿宋" w:hAnsi="仿宋" w:eastAsia="仿宋"/>
                <w:highlight w:val="none"/>
              </w:rPr>
              <w:t>境外</w:t>
            </w:r>
            <w:r>
              <w:rPr>
                <w:rFonts w:hint="eastAsia" w:ascii="仿宋" w:hAnsi="仿宋" w:eastAsia="仿宋"/>
                <w:b/>
                <w:highlight w:val="none"/>
                <w:u w:val="single"/>
              </w:rPr>
              <w:t>中介</w:t>
            </w:r>
            <w:r>
              <w:rPr>
                <w:rFonts w:hint="eastAsia" w:ascii="仿宋" w:hAnsi="仿宋" w:eastAsia="仿宋"/>
                <w:dstrike/>
                <w:highlight w:val="none"/>
              </w:rPr>
              <w:t>经纪</w:t>
            </w:r>
            <w:r>
              <w:rPr>
                <w:rFonts w:hint="eastAsia" w:ascii="仿宋" w:hAnsi="仿宋" w:eastAsia="仿宋"/>
                <w:highlight w:val="none"/>
              </w:rPr>
              <w:t>机构应当配合执行交易所对客户、做市商的纪律处分，划拨客户、做市商在该会员处的资金。</w:t>
            </w:r>
          </w:p>
          <w:p>
            <w:pPr>
              <w:pStyle w:val="7"/>
              <w:shd w:val="clear" w:color="auto" w:fill="FFFFFF"/>
              <w:adjustRightInd w:val="0"/>
              <w:spacing w:before="0" w:beforeAutospacing="0" w:after="0" w:afterAutospacing="0"/>
              <w:ind w:left="-22" w:firstLine="420"/>
              <w:rPr>
                <w:rFonts w:ascii="仿宋" w:hAnsi="仿宋" w:eastAsia="仿宋"/>
                <w:color w:val="000000"/>
                <w:sz w:val="24"/>
                <w:szCs w:val="24"/>
                <w:highlight w:val="none"/>
              </w:rPr>
            </w:pPr>
            <w:r>
              <w:rPr>
                <w:rFonts w:hint="eastAsia" w:ascii="仿宋" w:hAnsi="仿宋" w:eastAsia="仿宋"/>
                <w:highlight w:val="none"/>
              </w:rPr>
              <w:t>期货市场参与者逾期不缴纳罚没款项的，交易所可以对其采取暂停开仓交易、暂停部分期货</w:t>
            </w:r>
            <w:r>
              <w:rPr>
                <w:rFonts w:ascii="仿宋" w:hAnsi="仿宋" w:eastAsia="仿宋"/>
                <w:highlight w:val="none"/>
              </w:rPr>
              <w:t>或者期权</w:t>
            </w:r>
            <w:r>
              <w:rPr>
                <w:rFonts w:hint="eastAsia" w:ascii="仿宋" w:hAnsi="仿宋" w:eastAsia="仿宋"/>
                <w:highlight w:val="none"/>
              </w:rPr>
              <w:t>业务等措施直至其缴纳罚没款项。</w:t>
            </w:r>
          </w:p>
        </w:tc>
      </w:tr>
    </w:tbl>
    <w:p>
      <w:pPr>
        <w:rPr>
          <w:rFonts w:hint="eastAsia" w:ascii="黑体" w:hAnsi="黑体" w:eastAsia="黑体" w:cs="黑体"/>
          <w:sz w:val="32"/>
          <w:szCs w:val="32"/>
          <w:highlight w:val="none"/>
          <w:lang w:val="en-US" w:eastAsia="zh-CN"/>
        </w:rPr>
      </w:pPr>
    </w:p>
    <w:p>
      <w:pPr>
        <w:pStyle w:val="7"/>
        <w:shd w:val="clear" w:color="auto" w:fill="FFFFFF"/>
        <w:adjustRightInd w:val="0"/>
        <w:spacing w:before="0" w:beforeAutospacing="0" w:after="0" w:afterAutospacing="0" w:line="360" w:lineRule="auto"/>
        <w:ind w:left="0" w:leftChars="0"/>
        <w:jc w:val="center"/>
        <w:rPr>
          <w:rFonts w:ascii="宋体" w:hAnsi="宋体" w:eastAsia="宋体"/>
          <w:b/>
          <w:sz w:val="44"/>
          <w:szCs w:val="44"/>
          <w:highlight w:val="none"/>
        </w:rPr>
      </w:pPr>
      <w:r>
        <w:rPr>
          <w:rFonts w:hint="default" w:ascii="黑体" w:hAnsi="黑体" w:eastAsia="黑体" w:cs="黑体"/>
          <w:sz w:val="32"/>
          <w:szCs w:val="32"/>
          <w:highlight w:val="none"/>
          <w:lang w:val="en-US" w:eastAsia="zh-CN"/>
        </w:rPr>
        <w:br w:type="page"/>
      </w:r>
      <w:r>
        <w:rPr>
          <w:rFonts w:hint="eastAsia" w:ascii="宋体" w:hAnsi="宋体" w:eastAsia="宋体"/>
          <w:b/>
          <w:sz w:val="44"/>
          <w:szCs w:val="44"/>
          <w:highlight w:val="none"/>
        </w:rPr>
        <w:t>郑州商品交易所违规处理办法</w:t>
      </w:r>
    </w:p>
    <w:p>
      <w:pPr>
        <w:keepNext w:val="0"/>
        <w:keepLines w:val="0"/>
        <w:pageBreakBefore w:val="0"/>
        <w:widowControl w:val="0"/>
        <w:kinsoku/>
        <w:wordWrap/>
        <w:overflowPunct/>
        <w:topLinePunct w:val="0"/>
        <w:autoSpaceDE/>
        <w:autoSpaceDN/>
        <w:bidi w:val="0"/>
        <w:adjustRightInd/>
        <w:snapToGrid/>
        <w:spacing w:before="313" w:beforeLines="100"/>
        <w:ind w:firstLine="480" w:firstLineChars="200"/>
        <w:textAlignment w:val="auto"/>
        <w:rPr>
          <w:rFonts w:hint="default" w:ascii="宋体" w:hAnsi="宋体" w:cs="宋体"/>
          <w:kern w:val="2"/>
          <w:sz w:val="24"/>
          <w:highlight w:val="none"/>
        </w:rPr>
      </w:pPr>
      <w:r>
        <w:rPr>
          <w:rFonts w:hint="eastAsia" w:ascii="宋体" w:hAnsi="宋体" w:cs="宋体"/>
          <w:kern w:val="2"/>
          <w:sz w:val="24"/>
          <w:highlight w:val="none"/>
        </w:rPr>
        <w:t>（2026年4月7日郑州商品交易所第八届理事会第三十四次会议审议通过，2026年</w:t>
      </w:r>
      <w:r>
        <w:rPr>
          <w:rFonts w:hint="default" w:ascii="宋体" w:hAnsi="宋体" w:cs="宋体"/>
          <w:kern w:val="2"/>
          <w:sz w:val="24"/>
          <w:highlight w:val="none"/>
          <w:lang w:val="en-US"/>
        </w:rPr>
        <w:t>5</w:t>
      </w:r>
      <w:r>
        <w:rPr>
          <w:rFonts w:hint="eastAsia" w:ascii="宋体" w:hAnsi="宋体" w:cs="宋体"/>
          <w:kern w:val="2"/>
          <w:sz w:val="24"/>
          <w:highlight w:val="none"/>
        </w:rPr>
        <w:t>月</w:t>
      </w:r>
      <w:r>
        <w:rPr>
          <w:rFonts w:hint="default" w:ascii="宋体" w:hAnsi="宋体" w:cs="宋体"/>
          <w:kern w:val="2"/>
          <w:sz w:val="24"/>
          <w:highlight w:val="none"/>
          <w:lang w:val="en-US"/>
        </w:rPr>
        <w:t>7</w:t>
      </w:r>
      <w:r>
        <w:rPr>
          <w:rFonts w:hint="eastAsia" w:ascii="宋体" w:hAnsi="宋体" w:cs="宋体"/>
          <w:kern w:val="2"/>
          <w:sz w:val="24"/>
          <w:highlight w:val="none"/>
        </w:rPr>
        <w:t>日〔2026〕</w:t>
      </w:r>
      <w:r>
        <w:rPr>
          <w:rFonts w:hint="eastAsia" w:ascii="宋体" w:hAnsi="宋体" w:cs="宋体"/>
          <w:kern w:val="2"/>
          <w:sz w:val="24"/>
          <w:highlight w:val="none"/>
          <w:lang w:eastAsia="zh-CN"/>
        </w:rPr>
        <w:t>68号</w:t>
      </w:r>
      <w:r>
        <w:rPr>
          <w:rFonts w:hint="eastAsia" w:ascii="宋体" w:hAnsi="宋体" w:cs="宋体"/>
          <w:kern w:val="2"/>
          <w:sz w:val="24"/>
          <w:highlight w:val="none"/>
        </w:rPr>
        <w:t>公告发布，自发布之日起实施）</w:t>
      </w:r>
    </w:p>
    <w:p>
      <w:pPr>
        <w:pStyle w:val="7"/>
        <w:keepNext w:val="0"/>
        <w:keepLines w:val="0"/>
        <w:pageBreakBefore w:val="0"/>
        <w:widowControl/>
        <w:numPr>
          <w:ilvl w:val="0"/>
          <w:numId w:val="21"/>
        </w:numPr>
        <w:shd w:val="clear" w:color="auto" w:fill="FFFFFF"/>
        <w:kinsoku/>
        <w:wordWrap/>
        <w:overflowPunct/>
        <w:topLinePunct w:val="0"/>
        <w:autoSpaceDE/>
        <w:autoSpaceDN/>
        <w:bidi w:val="0"/>
        <w:adjustRightInd w:val="0"/>
        <w:snapToGrid/>
        <w:spacing w:before="157" w:beforeLines="50" w:beforeAutospacing="0" w:after="0" w:afterAutospacing="0" w:line="360" w:lineRule="auto"/>
        <w:ind w:left="697" w:leftChars="0"/>
        <w:jc w:val="center"/>
        <w:textAlignment w:val="auto"/>
        <w:rPr>
          <w:rFonts w:ascii="黑体" w:hAnsi="黑体" w:eastAsia="黑体"/>
          <w:sz w:val="32"/>
          <w:szCs w:val="32"/>
          <w:highlight w:val="none"/>
        </w:rPr>
      </w:pPr>
      <w:r>
        <w:rPr>
          <w:rFonts w:hint="eastAsia" w:ascii="黑体" w:hAnsi="黑体" w:eastAsia="黑体"/>
          <w:sz w:val="32"/>
          <w:szCs w:val="32"/>
          <w:highlight w:val="none"/>
        </w:rPr>
        <w:t>总 则</w:t>
      </w:r>
    </w:p>
    <w:p>
      <w:pPr>
        <w:pStyle w:val="7"/>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left="0" w:leftChars="0" w:firstLine="548" w:firstLineChars="196"/>
        <w:jc w:val="both"/>
        <w:textAlignment w:val="auto"/>
        <w:rPr>
          <w:rFonts w:cs="Times New Roman"/>
          <w:color w:val="333333"/>
          <w:sz w:val="28"/>
          <w:szCs w:val="28"/>
          <w:highlight w:val="none"/>
        </w:rPr>
      </w:pPr>
      <w:r>
        <w:rPr>
          <w:rFonts w:hint="eastAsia" w:ascii="黑体" w:hAnsi="黑体" w:eastAsia="黑体"/>
          <w:sz w:val="28"/>
          <w:szCs w:val="28"/>
          <w:highlight w:val="none"/>
        </w:rPr>
        <w:t xml:space="preserve">第一条 </w:t>
      </w:r>
      <w:r>
        <w:rPr>
          <w:rFonts w:hint="eastAsia"/>
          <w:sz w:val="28"/>
          <w:szCs w:val="28"/>
          <w:highlight w:val="none"/>
        </w:rPr>
        <w:t>为了加强期货市场管理，规范期货交易行为，保障期货市场参与者的合法权益，根据《郑州商品交易所章程》《郑州商品交易所交易规则》的有关规定，制定本办法。</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第二条</w:t>
      </w:r>
      <w:r>
        <w:rPr>
          <w:rFonts w:hint="eastAsia" w:ascii="宋体" w:hAnsi="宋体" w:eastAsia="宋体"/>
          <w:sz w:val="28"/>
          <w:szCs w:val="28"/>
          <w:highlight w:val="none"/>
        </w:rPr>
        <w:t xml:space="preserve"> 本办法所称违规行为是指期货市场参与者及其工作人员违反郑州商品交易所（以下简称交易所）章程、业务</w:t>
      </w:r>
      <w:r>
        <w:rPr>
          <w:rFonts w:ascii="宋体" w:hAnsi="宋体" w:eastAsia="宋体"/>
          <w:sz w:val="28"/>
          <w:szCs w:val="28"/>
          <w:highlight w:val="none"/>
        </w:rPr>
        <w:t>规则</w:t>
      </w:r>
      <w:r>
        <w:rPr>
          <w:rFonts w:hint="eastAsia" w:ascii="宋体" w:hAnsi="宋体" w:eastAsia="宋体"/>
          <w:sz w:val="28"/>
          <w:szCs w:val="28"/>
          <w:highlight w:val="none"/>
        </w:rPr>
        <w:t>及其他有关规定的行为。</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前款所称期货市场参与者包括：</w:t>
      </w:r>
    </w:p>
    <w:p>
      <w:pPr>
        <w:numPr>
          <w:ilvl w:val="0"/>
          <w:numId w:val="22"/>
        </w:numPr>
        <w:spacing w:line="360" w:lineRule="auto"/>
        <w:ind w:firstLine="420" w:firstLineChars="150"/>
        <w:rPr>
          <w:rFonts w:hint="eastAsia" w:ascii="宋体" w:hAnsi="宋体" w:eastAsia="宋体"/>
          <w:sz w:val="28"/>
          <w:szCs w:val="28"/>
          <w:highlight w:val="none"/>
        </w:rPr>
      </w:pPr>
      <w:r>
        <w:rPr>
          <w:rFonts w:hint="eastAsia" w:ascii="宋体" w:hAnsi="宋体" w:eastAsia="宋体"/>
          <w:sz w:val="28"/>
          <w:szCs w:val="28"/>
          <w:highlight w:val="none"/>
        </w:rPr>
        <w:t>会员；</w:t>
      </w:r>
    </w:p>
    <w:p>
      <w:pPr>
        <w:numPr>
          <w:ilvl w:val="0"/>
          <w:numId w:val="22"/>
        </w:numPr>
        <w:spacing w:line="360" w:lineRule="auto"/>
        <w:ind w:firstLine="420" w:firstLineChars="150"/>
        <w:rPr>
          <w:rFonts w:hint="eastAsia" w:ascii="宋体" w:hAnsi="宋体" w:eastAsia="宋体"/>
          <w:sz w:val="28"/>
          <w:szCs w:val="28"/>
          <w:highlight w:val="none"/>
        </w:rPr>
      </w:pPr>
      <w:r>
        <w:rPr>
          <w:rFonts w:hint="eastAsia" w:ascii="宋体" w:hAnsi="宋体"/>
          <w:sz w:val="28"/>
          <w:szCs w:val="28"/>
          <w:highlight w:val="none"/>
          <w:lang w:eastAsia="zh-CN"/>
        </w:rPr>
        <w:t>境外特殊参与者；</w:t>
      </w:r>
    </w:p>
    <w:p>
      <w:pPr>
        <w:spacing w:line="360" w:lineRule="auto"/>
        <w:ind w:firstLine="420" w:firstLineChars="15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sz w:val="28"/>
          <w:szCs w:val="28"/>
          <w:highlight w:val="none"/>
          <w:lang w:eastAsia="zh-CN"/>
        </w:rPr>
        <w:t>三</w:t>
      </w:r>
      <w:r>
        <w:rPr>
          <w:rFonts w:hint="eastAsia" w:ascii="宋体" w:hAnsi="宋体" w:eastAsia="宋体"/>
          <w:sz w:val="28"/>
          <w:szCs w:val="28"/>
          <w:highlight w:val="none"/>
        </w:rPr>
        <w:t>）境外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w:t>
      </w:r>
    </w:p>
    <w:p>
      <w:pPr>
        <w:spacing w:line="360" w:lineRule="auto"/>
        <w:ind w:firstLine="420" w:firstLineChars="15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sz w:val="28"/>
          <w:szCs w:val="28"/>
          <w:highlight w:val="none"/>
          <w:lang w:eastAsia="zh-CN"/>
        </w:rPr>
        <w:t>四</w:t>
      </w:r>
      <w:r>
        <w:rPr>
          <w:rFonts w:hint="eastAsia" w:ascii="宋体" w:hAnsi="宋体" w:eastAsia="宋体"/>
          <w:sz w:val="28"/>
          <w:szCs w:val="28"/>
          <w:highlight w:val="none"/>
        </w:rPr>
        <w:t>）做市商；</w:t>
      </w:r>
    </w:p>
    <w:p>
      <w:pPr>
        <w:spacing w:line="360" w:lineRule="auto"/>
        <w:ind w:firstLine="420" w:firstLineChars="15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sz w:val="28"/>
          <w:szCs w:val="28"/>
          <w:highlight w:val="none"/>
          <w:lang w:eastAsia="zh-CN"/>
        </w:rPr>
        <w:t>五</w:t>
      </w:r>
      <w:r>
        <w:rPr>
          <w:rFonts w:hint="eastAsia" w:ascii="宋体" w:hAnsi="宋体" w:eastAsia="宋体"/>
          <w:sz w:val="28"/>
          <w:szCs w:val="28"/>
          <w:highlight w:val="none"/>
        </w:rPr>
        <w:t>）客户；</w:t>
      </w:r>
    </w:p>
    <w:p>
      <w:pPr>
        <w:spacing w:line="360" w:lineRule="auto"/>
        <w:ind w:firstLine="420" w:firstLineChars="15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sz w:val="28"/>
          <w:szCs w:val="28"/>
          <w:highlight w:val="none"/>
          <w:lang w:eastAsia="zh-CN"/>
        </w:rPr>
        <w:t>六</w:t>
      </w:r>
      <w:r>
        <w:rPr>
          <w:rFonts w:hint="eastAsia" w:ascii="宋体" w:hAnsi="宋体" w:eastAsia="宋体"/>
          <w:sz w:val="28"/>
          <w:szCs w:val="28"/>
          <w:highlight w:val="none"/>
        </w:rPr>
        <w:t>）交割仓库、车（船）板交割服务机构；</w:t>
      </w:r>
    </w:p>
    <w:p>
      <w:pPr>
        <w:spacing w:line="360" w:lineRule="auto"/>
        <w:ind w:firstLine="420" w:firstLineChars="15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sz w:val="28"/>
          <w:szCs w:val="28"/>
          <w:highlight w:val="none"/>
          <w:lang w:eastAsia="zh-CN"/>
        </w:rPr>
        <w:t>七</w:t>
      </w:r>
      <w:r>
        <w:rPr>
          <w:rFonts w:hint="eastAsia" w:ascii="宋体" w:hAnsi="宋体" w:eastAsia="宋体"/>
          <w:sz w:val="28"/>
          <w:szCs w:val="28"/>
          <w:highlight w:val="none"/>
        </w:rPr>
        <w:t>）期货保证金存管银行（以下简称存管银行）；</w:t>
      </w:r>
    </w:p>
    <w:p>
      <w:pPr>
        <w:spacing w:line="360" w:lineRule="auto"/>
        <w:ind w:firstLine="420" w:firstLineChars="15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sz w:val="28"/>
          <w:szCs w:val="28"/>
          <w:highlight w:val="none"/>
          <w:lang w:eastAsia="zh-CN"/>
        </w:rPr>
        <w:t>八</w:t>
      </w:r>
      <w:r>
        <w:rPr>
          <w:rFonts w:hint="eastAsia" w:ascii="宋体" w:hAnsi="宋体" w:eastAsia="宋体"/>
          <w:sz w:val="28"/>
          <w:szCs w:val="28"/>
          <w:highlight w:val="none"/>
        </w:rPr>
        <w:t>）指定检验机构；</w:t>
      </w:r>
    </w:p>
    <w:p>
      <w:pPr>
        <w:spacing w:line="360" w:lineRule="auto"/>
        <w:ind w:firstLine="420" w:firstLineChars="15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sz w:val="28"/>
          <w:szCs w:val="28"/>
          <w:highlight w:val="none"/>
          <w:lang w:eastAsia="zh-CN"/>
        </w:rPr>
        <w:t>九</w:t>
      </w:r>
      <w:r>
        <w:rPr>
          <w:rFonts w:hint="eastAsia" w:ascii="宋体" w:hAnsi="宋体" w:eastAsia="宋体"/>
          <w:sz w:val="28"/>
          <w:szCs w:val="28"/>
          <w:highlight w:val="none"/>
        </w:rPr>
        <w:t>）信息技术服务机构；</w:t>
      </w:r>
    </w:p>
    <w:p>
      <w:pPr>
        <w:spacing w:line="360" w:lineRule="auto"/>
        <w:ind w:firstLine="420" w:firstLineChars="150"/>
        <w:rPr>
          <w:rFonts w:ascii="宋体" w:hAnsi="宋体" w:eastAsia="宋体"/>
          <w:color w:val="333333"/>
          <w:sz w:val="28"/>
          <w:szCs w:val="28"/>
          <w:highlight w:val="none"/>
        </w:rPr>
      </w:pPr>
      <w:r>
        <w:rPr>
          <w:rFonts w:hint="eastAsia" w:ascii="宋体" w:hAnsi="宋体" w:eastAsia="宋体"/>
          <w:sz w:val="28"/>
          <w:szCs w:val="28"/>
          <w:highlight w:val="none"/>
        </w:rPr>
        <w:t>（</w:t>
      </w:r>
      <w:r>
        <w:rPr>
          <w:rFonts w:hint="eastAsia" w:ascii="宋体" w:hAnsi="宋体"/>
          <w:sz w:val="28"/>
          <w:szCs w:val="28"/>
          <w:highlight w:val="none"/>
          <w:lang w:eastAsia="zh-CN"/>
        </w:rPr>
        <w:t>十</w:t>
      </w:r>
      <w:r>
        <w:rPr>
          <w:rFonts w:hint="eastAsia" w:ascii="宋体" w:hAnsi="宋体" w:eastAsia="宋体"/>
          <w:sz w:val="28"/>
          <w:szCs w:val="28"/>
          <w:highlight w:val="none"/>
        </w:rPr>
        <w:t>）交易所认定的期货市场其他参与者。</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第三条</w:t>
      </w:r>
      <w:r>
        <w:rPr>
          <w:rFonts w:hint="eastAsia" w:ascii="宋体" w:hAnsi="宋体" w:eastAsia="宋体"/>
          <w:sz w:val="28"/>
          <w:szCs w:val="28"/>
          <w:highlight w:val="none"/>
        </w:rPr>
        <w:t xml:space="preserve"> 交易所根据公平、公正的原则</w:t>
      </w:r>
      <w:r>
        <w:rPr>
          <w:rFonts w:ascii="宋体" w:hAnsi="宋体" w:eastAsia="宋体"/>
          <w:sz w:val="28"/>
          <w:szCs w:val="28"/>
          <w:highlight w:val="none"/>
        </w:rPr>
        <w:t>,以事实为依据,对违规行为进行调查、认定和</w:t>
      </w:r>
      <w:r>
        <w:rPr>
          <w:rFonts w:hint="eastAsia" w:ascii="宋体" w:hAnsi="宋体" w:eastAsia="宋体"/>
          <w:sz w:val="28"/>
          <w:szCs w:val="28"/>
          <w:highlight w:val="none"/>
        </w:rPr>
        <w:t>处理。</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 xml:space="preserve">第四条 </w:t>
      </w:r>
      <w:r>
        <w:rPr>
          <w:rFonts w:hint="eastAsia" w:ascii="宋体" w:hAnsi="宋体" w:eastAsia="宋体"/>
          <w:sz w:val="28"/>
          <w:szCs w:val="28"/>
          <w:highlight w:val="none"/>
        </w:rPr>
        <w:t>期货市场参与者的违规行为已经受到行政机关或者司法机关处罚的，交易所可以从轻、减轻或者免予处理。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黑体" w:hAnsi="黑体" w:eastAsia="黑体" w:cs="宋体"/>
          <w:kern w:val="0"/>
          <w:sz w:val="28"/>
          <w:szCs w:val="28"/>
          <w:highlight w:val="none"/>
        </w:rPr>
        <w:t>第五条</w:t>
      </w:r>
      <w:r>
        <w:rPr>
          <w:rFonts w:hint="eastAsia" w:ascii="宋体" w:hAnsi="宋体" w:eastAsia="宋体"/>
          <w:sz w:val="28"/>
          <w:szCs w:val="28"/>
          <w:highlight w:val="none"/>
        </w:rPr>
        <w:t xml:space="preserve"> 从事交易所期货交易相关业务活动适用本办法。</w:t>
      </w:r>
    </w:p>
    <w:p>
      <w:pPr>
        <w:pStyle w:val="15"/>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Chars="0"/>
        <w:jc w:val="center"/>
        <w:textAlignment w:val="auto"/>
        <w:rPr>
          <w:rFonts w:ascii="黑体" w:hAnsi="黑体" w:eastAsia="黑体"/>
          <w:sz w:val="32"/>
          <w:szCs w:val="32"/>
          <w:highlight w:val="none"/>
        </w:rPr>
      </w:pPr>
      <w:r>
        <w:rPr>
          <w:rFonts w:hint="eastAsia" w:ascii="黑体" w:hAnsi="黑体" w:eastAsia="黑体"/>
          <w:sz w:val="32"/>
          <w:szCs w:val="32"/>
          <w:highlight w:val="none"/>
        </w:rPr>
        <w:t>稽查</w:t>
      </w:r>
    </w:p>
    <w:p>
      <w:pPr>
        <w:keepNext w:val="0"/>
        <w:keepLines w:val="0"/>
        <w:pageBreakBefore w:val="0"/>
        <w:widowControl w:val="0"/>
        <w:tabs>
          <w:tab w:val="left" w:pos="737"/>
        </w:tabs>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黑体" w:hAnsi="黑体" w:eastAsia="黑体" w:cs="宋体"/>
          <w:kern w:val="0"/>
          <w:sz w:val="28"/>
          <w:szCs w:val="28"/>
          <w:highlight w:val="none"/>
        </w:rPr>
        <w:t xml:space="preserve">第六条 </w:t>
      </w:r>
      <w:r>
        <w:rPr>
          <w:rFonts w:hint="eastAsia" w:ascii="宋体" w:hAnsi="宋体" w:eastAsia="宋体"/>
          <w:sz w:val="28"/>
          <w:szCs w:val="28"/>
          <w:highlight w:val="none"/>
        </w:rPr>
        <w:t>稽查是指交易所根据业务</w:t>
      </w:r>
      <w:r>
        <w:rPr>
          <w:rFonts w:ascii="宋体" w:hAnsi="宋体" w:eastAsia="宋体"/>
          <w:sz w:val="28"/>
          <w:szCs w:val="28"/>
          <w:highlight w:val="none"/>
        </w:rPr>
        <w:t>规则</w:t>
      </w:r>
      <w:r>
        <w:rPr>
          <w:rFonts w:hint="eastAsia" w:ascii="宋体" w:hAnsi="宋体" w:eastAsia="宋体"/>
          <w:sz w:val="28"/>
          <w:szCs w:val="28"/>
          <w:highlight w:val="none"/>
        </w:rPr>
        <w:t>及其他有关规定，对期货市场参与者的业务活动进行的检查和调查。</w:t>
      </w:r>
    </w:p>
    <w:p>
      <w:pPr>
        <w:tabs>
          <w:tab w:val="left" w:pos="737"/>
        </w:tabs>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稽查可以通过现场或者非现场方式进行。</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第七条</w:t>
      </w:r>
      <w:r>
        <w:rPr>
          <w:rFonts w:hint="eastAsia" w:ascii="宋体" w:hAnsi="宋体" w:eastAsia="宋体"/>
          <w:sz w:val="28"/>
          <w:szCs w:val="28"/>
          <w:highlight w:val="none"/>
        </w:rPr>
        <w:t xml:space="preserve"> 交易所进行稽查时，可以行使下列职权：</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（一）查阅、复制与期货交易有关的信息、资料；</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（二）要求期货市场参与者提供年报、第三方审计报告等；</w:t>
      </w:r>
      <w:r>
        <w:rPr>
          <w:rFonts w:ascii="宋体" w:hAnsi="宋体" w:eastAsia="宋体"/>
          <w:sz w:val="28"/>
          <w:szCs w:val="28"/>
          <w:highlight w:val="none"/>
        </w:rPr>
        <w:t>要求</w:t>
      </w:r>
      <w:r>
        <w:rPr>
          <w:rFonts w:hint="eastAsia" w:ascii="宋体" w:hAnsi="宋体" w:eastAsia="宋体"/>
          <w:sz w:val="28"/>
          <w:szCs w:val="28"/>
          <w:highlight w:val="none"/>
        </w:rPr>
        <w:t>境外特殊参与者、</w:t>
      </w:r>
      <w:r>
        <w:rPr>
          <w:rFonts w:ascii="宋体" w:hAnsi="宋体" w:eastAsia="宋体"/>
          <w:sz w:val="28"/>
          <w:szCs w:val="28"/>
          <w:highlight w:val="none"/>
        </w:rPr>
        <w:t>境外</w:t>
      </w:r>
      <w:r>
        <w:rPr>
          <w:rFonts w:hint="eastAsia" w:ascii="宋体" w:hAnsi="宋体"/>
          <w:sz w:val="28"/>
          <w:szCs w:val="28"/>
          <w:highlight w:val="none"/>
          <w:lang w:eastAsia="zh-CN"/>
        </w:rPr>
        <w:t>中介</w:t>
      </w:r>
      <w:r>
        <w:rPr>
          <w:rFonts w:ascii="宋体" w:hAnsi="宋体" w:eastAsia="宋体"/>
          <w:sz w:val="28"/>
          <w:szCs w:val="28"/>
          <w:highlight w:val="none"/>
        </w:rPr>
        <w:t>机构或者境外客户提供境外监管机构出具的监管报告；</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（三）对期货市场参与者进行调查、取证、约谈等；</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（四）要求期货市场参与者申报、陈述、解释、说明有关情况；</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（五）查询期货市场参与者期货业务相关的银行账户；</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（六）检查期货市场参与者期货业务相关的交易、结算及财务等技术系统；</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（七）制止、纠正、处理违规行为；</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（八）法律、法规、规章及交易所章程、业务规则规定的其他职权。</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第八条</w:t>
      </w:r>
      <w:r>
        <w:rPr>
          <w:rFonts w:hint="eastAsia" w:ascii="宋体" w:hAnsi="宋体" w:eastAsia="宋体"/>
          <w:sz w:val="28"/>
          <w:szCs w:val="28"/>
          <w:highlight w:val="none"/>
        </w:rPr>
        <w:t xml:space="preserve"> 期货市场参与者应当自觉接受交易所的监督管理，配合交易所稽查工作。</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第九条</w:t>
      </w:r>
      <w:r>
        <w:rPr>
          <w:rFonts w:ascii="宋体" w:hAnsi="宋体" w:eastAsia="宋体"/>
          <w:sz w:val="28"/>
          <w:szCs w:val="28"/>
          <w:highlight w:val="none"/>
        </w:rPr>
        <w:t xml:space="preserve"> 交易所可以根据</w:t>
      </w:r>
      <w:r>
        <w:rPr>
          <w:rFonts w:hint="eastAsia" w:ascii="宋体" w:hAnsi="宋体" w:eastAsia="宋体"/>
          <w:sz w:val="28"/>
          <w:szCs w:val="28"/>
          <w:highlight w:val="none"/>
        </w:rPr>
        <w:t>业务规则以及其他有关规定，对</w:t>
      </w:r>
      <w:r>
        <w:rPr>
          <w:rFonts w:ascii="宋体" w:hAnsi="宋体" w:eastAsia="宋体"/>
          <w:sz w:val="28"/>
          <w:szCs w:val="28"/>
          <w:highlight w:val="none"/>
        </w:rPr>
        <w:t>期货市场</w:t>
      </w:r>
      <w:r>
        <w:rPr>
          <w:rFonts w:hint="eastAsia" w:ascii="宋体" w:hAnsi="宋体" w:eastAsia="宋体"/>
          <w:sz w:val="28"/>
          <w:szCs w:val="28"/>
          <w:highlight w:val="none"/>
        </w:rPr>
        <w:t>参</w:t>
      </w:r>
      <w:r>
        <w:rPr>
          <w:rFonts w:ascii="宋体" w:hAnsi="宋体" w:eastAsia="宋体"/>
          <w:sz w:val="28"/>
          <w:szCs w:val="28"/>
          <w:highlight w:val="none"/>
        </w:rPr>
        <w:t>与者的业务活动进行定期和不定期的</w:t>
      </w:r>
      <w:r>
        <w:rPr>
          <w:rFonts w:hint="eastAsia" w:ascii="宋体" w:hAnsi="宋体" w:eastAsia="宋体"/>
          <w:sz w:val="28"/>
          <w:szCs w:val="28"/>
          <w:highlight w:val="none"/>
        </w:rPr>
        <w:t>检查。</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第十条</w:t>
      </w:r>
      <w:r>
        <w:rPr>
          <w:rFonts w:hint="eastAsia" w:ascii="宋体" w:hAnsi="宋体" w:eastAsia="宋体"/>
          <w:b/>
          <w:sz w:val="28"/>
          <w:szCs w:val="28"/>
          <w:highlight w:val="none"/>
        </w:rPr>
        <w:t xml:space="preserve"> </w:t>
      </w:r>
      <w:r>
        <w:rPr>
          <w:rFonts w:hint="eastAsia" w:ascii="宋体" w:hAnsi="宋体" w:eastAsia="宋体"/>
          <w:sz w:val="28"/>
          <w:szCs w:val="28"/>
          <w:highlight w:val="none"/>
        </w:rPr>
        <w:t>交易所建立投诉、举报机制。投诉、举报人应当身份真实、明确；投诉、举报人不愿公开其身份的，交易所应当为其保密。</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 xml:space="preserve">第十一条 </w:t>
      </w:r>
      <w:r>
        <w:rPr>
          <w:rFonts w:hint="eastAsia" w:ascii="宋体" w:hAnsi="宋体" w:eastAsia="宋体"/>
          <w:sz w:val="28"/>
          <w:szCs w:val="28"/>
          <w:highlight w:val="none"/>
        </w:rPr>
        <w:t>对日常监管工作中发现的、投诉举报的、期货监管部门及司法机关等单位移交的或者其他途径获得的违规线索，交易所应当进行调查，认为涉嫌违规需要予以纪律处分的，应当进行立案并告知当事人；认为涉嫌违规，但情节显著轻微、未对期货市场造成不良影响的，可以采取列入重点监管名单、口头警示、出具书面警示函、监管谈话、要求提交书面承诺等自律管理措施。</w:t>
      </w:r>
    </w:p>
    <w:p>
      <w:pPr>
        <w:spacing w:line="360" w:lineRule="auto"/>
        <w:ind w:firstLine="560" w:firstLineChars="200"/>
        <w:rPr>
          <w:rFonts w:ascii="宋体" w:hAnsi="宋体" w:eastAsia="宋体"/>
          <w:bCs/>
          <w:sz w:val="28"/>
          <w:szCs w:val="28"/>
          <w:highlight w:val="none"/>
        </w:rPr>
      </w:pPr>
      <w:r>
        <w:rPr>
          <w:rFonts w:hint="eastAsia" w:ascii="黑体" w:hAnsi="黑体" w:eastAsia="黑体" w:cs="宋体"/>
          <w:kern w:val="0"/>
          <w:sz w:val="28"/>
          <w:szCs w:val="28"/>
          <w:highlight w:val="none"/>
        </w:rPr>
        <w:t>第十二条</w:t>
      </w:r>
      <w:r>
        <w:rPr>
          <w:rFonts w:hint="eastAsia" w:ascii="宋体" w:hAnsi="宋体" w:eastAsia="宋体"/>
          <w:b/>
          <w:sz w:val="28"/>
          <w:szCs w:val="28"/>
          <w:highlight w:val="none"/>
        </w:rPr>
        <w:t xml:space="preserve"> </w:t>
      </w:r>
      <w:r>
        <w:rPr>
          <w:rFonts w:hint="eastAsia" w:ascii="宋体" w:hAnsi="宋体" w:eastAsia="宋体"/>
          <w:sz w:val="28"/>
          <w:szCs w:val="28"/>
          <w:highlight w:val="none"/>
        </w:rPr>
        <w:t>对已经立案的违规案件，交易所应当指定专人负责调查。调查取证应当由两名以上调查人员参加，并出示本人工作证或者交易所的证明文件。</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第十三条</w:t>
      </w:r>
      <w:r>
        <w:rPr>
          <w:rFonts w:hint="eastAsia" w:ascii="宋体" w:hAnsi="宋体" w:eastAsia="宋体"/>
          <w:sz w:val="28"/>
          <w:szCs w:val="28"/>
          <w:highlight w:val="none"/>
        </w:rPr>
        <w:t xml:space="preserve"> 调查人员认为自己与本案有利害关系或者其他可能影响案件公正处理的，应当申请回避。</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被调查人员认为调查人员与本案有关、可能影响公正办案的，有权申请有关人员回避。</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交易所认为调查人员应当回避的，指令其回避。</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调查人员的回避由交易所稽查部门负责人决定。稽查部门负责人的回避由交易所总经理决定。</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 xml:space="preserve">第十四条 </w:t>
      </w:r>
      <w:r>
        <w:rPr>
          <w:rFonts w:hint="eastAsia" w:ascii="宋体" w:hAnsi="宋体" w:eastAsia="宋体"/>
          <w:sz w:val="28"/>
          <w:szCs w:val="28"/>
          <w:highlight w:val="none"/>
        </w:rPr>
        <w:t>证据包括书证、物证、当事人陈述、证人证言、调查笔录、鉴定意见、视听资料、电子数据等能够证明案件真实情况的一切材料。</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证据应当经过调查核实才能作为定案的根据。</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第十五条</w:t>
      </w:r>
      <w:r>
        <w:rPr>
          <w:rFonts w:hint="eastAsia" w:ascii="宋体" w:hAnsi="宋体" w:eastAsia="宋体"/>
          <w:sz w:val="28"/>
          <w:szCs w:val="28"/>
          <w:highlight w:val="none"/>
        </w:rPr>
        <w:t xml:space="preserve"> 询问被调查人应当制作调查笔录。调查笔录应当交被调查人核对，核对无误后，被调查人和调查人员应当在笔录上签名。被调查人拒绝签名的，调查人员应当注明原因。</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书证、物证、视听资料和电子数据等证据的提取应当制作提取笔录，注明提取的时间和地点等，并由提供人签名或者盖章确认。</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鉴定意见应当由中国证监会或者交易所认定的有权鉴定单位做出，并由鉴定单位和鉴定人盖章签字。</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第十六条</w:t>
      </w:r>
      <w:r>
        <w:rPr>
          <w:rFonts w:hint="eastAsia" w:ascii="宋体" w:hAnsi="宋体" w:eastAsia="宋体"/>
          <w:sz w:val="28"/>
          <w:szCs w:val="28"/>
          <w:highlight w:val="none"/>
        </w:rPr>
        <w:t xml:space="preserve"> 调查人员在检查和调查过程中应当严格遵守保密制度，不得滥用职权。</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期货市场参与者在接受交易所检查和调查过程中，应当严格履行保密义务。</w:t>
      </w:r>
    </w:p>
    <w:p>
      <w:pPr>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 xml:space="preserve">第十七条 </w:t>
      </w:r>
      <w:r>
        <w:rPr>
          <w:rFonts w:hint="eastAsia" w:ascii="宋体" w:hAnsi="宋体" w:eastAsia="宋体"/>
          <w:sz w:val="28"/>
          <w:szCs w:val="28"/>
          <w:highlight w:val="none"/>
        </w:rPr>
        <w:t>期货市场参与者涉嫌违法违规，经交易所立案调查的，在作出处理决定之前，为防止违规行为后果进一步扩大，确保违规案件处理决定的执行，交易所可以采取下列限制性措施：</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（一）暂停开通新的交易编码；</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（二）限制出金；</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（三）限制入金；</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（四）限制交割仓库或者车（船）板交割服务机构的交割业务、存管银行的存管业务或者信息技术服务机构的信息技术服务业务；</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（五）降低持仓限额、套期保值持仓额度或者标准仓单持有限量；</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（六）限制开仓；</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（七）提高保证金标准；</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（八）限期平仓；</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（九）强行平仓。</w:t>
      </w:r>
    </w:p>
    <w:p>
      <w:pPr>
        <w:spacing w:line="360" w:lineRule="auto"/>
        <w:ind w:firstLine="560" w:firstLineChars="200"/>
        <w:rPr>
          <w:rFonts w:ascii="宋体" w:hAnsi="宋体" w:eastAsia="宋体" w:cs="Calibri"/>
          <w:sz w:val="28"/>
          <w:szCs w:val="28"/>
          <w:highlight w:val="none"/>
        </w:rPr>
      </w:pPr>
      <w:r>
        <w:rPr>
          <w:rFonts w:hint="eastAsia" w:ascii="宋体" w:hAnsi="宋体" w:eastAsia="宋体" w:cs="Calibri"/>
          <w:sz w:val="28"/>
          <w:szCs w:val="28"/>
          <w:highlight w:val="none"/>
        </w:rPr>
        <w:t>交易所采取前款第七项至第九项措施后，应当及时报告中国证监会。</w:t>
      </w:r>
    </w:p>
    <w:p>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ascii="宋体" w:hAnsi="宋体" w:eastAsia="宋体" w:cs="Calibri"/>
          <w:sz w:val="28"/>
          <w:szCs w:val="28"/>
          <w:highlight w:val="none"/>
        </w:rPr>
      </w:pPr>
      <w:r>
        <w:rPr>
          <w:rFonts w:hint="eastAsia" w:ascii="宋体" w:hAnsi="宋体" w:eastAsia="宋体" w:cs="Calibri"/>
          <w:sz w:val="28"/>
          <w:szCs w:val="28"/>
          <w:highlight w:val="none"/>
        </w:rPr>
        <w:t>交易所采取限制性措施的，应当以书面、录音电话等可记录的方式通知处置对象，并说明采取限制性措施的依据。</w:t>
      </w:r>
    </w:p>
    <w:p>
      <w:pPr>
        <w:pStyle w:val="15"/>
        <w:keepNext w:val="0"/>
        <w:keepLines w:val="0"/>
        <w:pageBreakBefore w:val="0"/>
        <w:widowControl w:val="0"/>
        <w:numPr>
          <w:ilvl w:val="0"/>
          <w:numId w:val="21"/>
        </w:numPr>
        <w:kinsoku/>
        <w:wordWrap/>
        <w:overflowPunct/>
        <w:topLinePunct w:val="0"/>
        <w:autoSpaceDE/>
        <w:autoSpaceDN/>
        <w:bidi w:val="0"/>
        <w:snapToGrid/>
        <w:spacing w:line="360" w:lineRule="auto"/>
        <w:ind w:firstLineChars="0"/>
        <w:jc w:val="center"/>
        <w:textAlignment w:val="auto"/>
        <w:rPr>
          <w:rFonts w:ascii="黑体" w:hAnsi="黑体" w:eastAsia="黑体" w:cs="Calibri"/>
          <w:sz w:val="32"/>
          <w:szCs w:val="32"/>
          <w:highlight w:val="none"/>
        </w:rPr>
      </w:pPr>
      <w:r>
        <w:rPr>
          <w:rFonts w:hint="eastAsia" w:ascii="黑体" w:hAnsi="黑体" w:eastAsia="黑体" w:cs="Calibri"/>
          <w:sz w:val="32"/>
          <w:szCs w:val="32"/>
          <w:highlight w:val="none"/>
        </w:rPr>
        <w:t>违规处理</w:t>
      </w:r>
    </w:p>
    <w:p>
      <w:pPr>
        <w:keepNext w:val="0"/>
        <w:keepLines w:val="0"/>
        <w:pageBreakBefore w:val="0"/>
        <w:widowControl w:val="0"/>
        <w:tabs>
          <w:tab w:val="left" w:pos="653"/>
        </w:tabs>
        <w:kinsoku/>
        <w:wordWrap/>
        <w:overflowPunct/>
        <w:topLinePunct w:val="0"/>
        <w:autoSpaceDE/>
        <w:autoSpaceDN/>
        <w:bidi w:val="0"/>
        <w:adjustRightInd w:val="0"/>
        <w:snapToGrid/>
        <w:spacing w:line="360" w:lineRule="auto"/>
        <w:ind w:firstLine="560" w:firstLineChars="200"/>
        <w:textAlignment w:val="auto"/>
        <w:rPr>
          <w:rFonts w:ascii="宋体" w:hAnsi="宋体" w:eastAsia="宋体"/>
          <w:color w:val="333333"/>
          <w:sz w:val="28"/>
          <w:szCs w:val="28"/>
          <w:highlight w:val="none"/>
        </w:rPr>
      </w:pPr>
      <w:r>
        <w:rPr>
          <w:rFonts w:hint="eastAsia" w:ascii="黑体" w:hAnsi="黑体" w:eastAsia="黑体" w:cs="宋体"/>
          <w:kern w:val="0"/>
          <w:sz w:val="28"/>
          <w:szCs w:val="28"/>
          <w:highlight w:val="none"/>
        </w:rPr>
        <w:t xml:space="preserve">第十八条 </w:t>
      </w:r>
      <w:r>
        <w:rPr>
          <w:rFonts w:hint="eastAsia" w:ascii="宋体" w:hAnsi="宋体" w:eastAsia="宋体"/>
          <w:color w:val="333333"/>
          <w:sz w:val="28"/>
          <w:szCs w:val="28"/>
          <w:highlight w:val="none"/>
        </w:rPr>
        <w:t>有多种违规行为的，分别定性，数罚并用。多次违规的，从重或者加重处理。</w:t>
      </w:r>
    </w:p>
    <w:p>
      <w:pPr>
        <w:tabs>
          <w:tab w:val="left" w:pos="653"/>
        </w:tabs>
        <w:adjustRightInd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单位实施本办法规定违规行为的，交易所可以对直接负责的主管人员和其他直接责任人员依照相关规定进行处理。</w:t>
      </w:r>
    </w:p>
    <w:p>
      <w:pPr>
        <w:tabs>
          <w:tab w:val="left" w:pos="653"/>
        </w:tabs>
        <w:adjustRightInd w:val="0"/>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第十九条</w:t>
      </w:r>
      <w:r>
        <w:rPr>
          <w:rFonts w:hint="eastAsia" w:ascii="宋体" w:hAnsi="宋体" w:eastAsia="宋体"/>
          <w:sz w:val="28"/>
          <w:szCs w:val="28"/>
          <w:highlight w:val="none"/>
        </w:rPr>
        <w:t xml:space="preserve"> 期货公司会员具有下列违反经纪业务管理规定行为之一的</w:t>
      </w:r>
      <w:r>
        <w:rPr>
          <w:rFonts w:ascii="宋体" w:hAnsi="宋体" w:eastAsia="宋体"/>
          <w:sz w:val="28"/>
          <w:szCs w:val="28"/>
          <w:highlight w:val="none"/>
        </w:rPr>
        <w:t>,责令改正，没收违规所得</w:t>
      </w:r>
      <w:r>
        <w:rPr>
          <w:rFonts w:hint="eastAsia" w:ascii="宋体" w:hAnsi="宋体" w:eastAsia="宋体"/>
          <w:sz w:val="28"/>
          <w:szCs w:val="28"/>
          <w:highlight w:val="none"/>
        </w:rPr>
        <w:t>，交易所可以根据情节轻重给予警告、通报批评、公开谴责、强行平仓、暂停开仓交易</w:t>
      </w:r>
      <w:r>
        <w:rPr>
          <w:rFonts w:ascii="宋体" w:hAnsi="宋体" w:eastAsia="宋体"/>
          <w:sz w:val="28"/>
          <w:szCs w:val="28"/>
          <w:highlight w:val="none"/>
        </w:rPr>
        <w:t>12个月以下</w:t>
      </w:r>
      <w:r>
        <w:rPr>
          <w:rFonts w:hint="eastAsia" w:ascii="宋体" w:hAnsi="宋体" w:eastAsia="宋体"/>
          <w:sz w:val="28"/>
          <w:szCs w:val="28"/>
          <w:highlight w:val="none"/>
        </w:rPr>
        <w:t>、暂停部分期货或者期权业务、取消会员资格、宣布为“市场禁止进入者”的纪律处分；没有违规所得或者违规所得不满</w:t>
      </w:r>
      <w:r>
        <w:rPr>
          <w:rFonts w:ascii="宋体" w:hAnsi="宋体" w:eastAsia="宋体"/>
          <w:sz w:val="28"/>
          <w:szCs w:val="28"/>
          <w:highlight w:val="none"/>
        </w:rPr>
        <w:t>10</w:t>
      </w:r>
      <w:r>
        <w:rPr>
          <w:rFonts w:hint="eastAsia" w:ascii="宋体" w:hAnsi="宋体" w:eastAsia="宋体"/>
          <w:sz w:val="28"/>
          <w:szCs w:val="28"/>
          <w:highlight w:val="none"/>
        </w:rPr>
        <w:t>万元的，可以并处</w:t>
      </w:r>
      <w:r>
        <w:rPr>
          <w:rFonts w:ascii="宋体" w:hAnsi="宋体" w:eastAsia="宋体"/>
          <w:sz w:val="28"/>
          <w:szCs w:val="28"/>
          <w:highlight w:val="none"/>
        </w:rPr>
        <w:t>50</w:t>
      </w:r>
      <w:r>
        <w:rPr>
          <w:rFonts w:hint="eastAsia" w:ascii="宋体" w:hAnsi="宋体" w:eastAsia="宋体"/>
          <w:sz w:val="28"/>
          <w:szCs w:val="28"/>
          <w:highlight w:val="none"/>
        </w:rPr>
        <w:t>万元以下的罚款；违规所得</w:t>
      </w:r>
      <w:r>
        <w:rPr>
          <w:rFonts w:ascii="宋体" w:hAnsi="宋体" w:eastAsia="宋体"/>
          <w:sz w:val="28"/>
          <w:szCs w:val="28"/>
          <w:highlight w:val="none"/>
        </w:rPr>
        <w:t>10</w:t>
      </w:r>
      <w:r>
        <w:rPr>
          <w:rFonts w:hint="eastAsia" w:ascii="宋体" w:hAnsi="宋体" w:eastAsia="宋体"/>
          <w:sz w:val="28"/>
          <w:szCs w:val="28"/>
          <w:highlight w:val="none"/>
        </w:rPr>
        <w:t>万元以上的，可以并处违规所得</w:t>
      </w:r>
      <w:r>
        <w:rPr>
          <w:rFonts w:ascii="宋体" w:hAnsi="宋体" w:eastAsia="宋体"/>
          <w:sz w:val="28"/>
          <w:szCs w:val="28"/>
          <w:highlight w:val="none"/>
        </w:rPr>
        <w:t>1</w:t>
      </w:r>
      <w:r>
        <w:rPr>
          <w:rFonts w:hint="eastAsia" w:ascii="宋体" w:hAnsi="宋体" w:eastAsia="宋体"/>
          <w:sz w:val="28"/>
          <w:szCs w:val="28"/>
          <w:highlight w:val="none"/>
        </w:rPr>
        <w:t>倍以上</w:t>
      </w:r>
      <w:r>
        <w:rPr>
          <w:rFonts w:ascii="宋体" w:hAnsi="宋体" w:eastAsia="宋体"/>
          <w:sz w:val="28"/>
          <w:szCs w:val="28"/>
          <w:highlight w:val="none"/>
        </w:rPr>
        <w:t>5</w:t>
      </w:r>
      <w:r>
        <w:rPr>
          <w:rFonts w:hint="eastAsia" w:ascii="宋体" w:hAnsi="宋体" w:eastAsia="宋体"/>
          <w:sz w:val="28"/>
          <w:szCs w:val="28"/>
          <w:highlight w:val="none"/>
        </w:rPr>
        <w:t>倍以下的罚款：</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（一）为未履行开户手续或者未按规定履行开户手续的客户进行期货交易的；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（二）违反交易编码管理制度的；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（三）未按规定履行审核义务，为不符合开户条件的客户办理开户手续的；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（四）未按规定履行交易者适当性管理义务的；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（五）未如实向客户说明期货交易的风险或者不签署风险声明书的；</w:t>
      </w:r>
    </w:p>
    <w:p>
      <w:pPr>
        <w:spacing w:line="360" w:lineRule="auto"/>
        <w:ind w:firstLine="560" w:firstLineChars="200"/>
        <w:rPr>
          <w:rFonts w:ascii="宋体" w:hAnsi="宋体" w:eastAsia="宋体"/>
          <w:color w:val="000000"/>
          <w:sz w:val="28"/>
          <w:szCs w:val="28"/>
          <w:highlight w:val="none"/>
        </w:rPr>
      </w:pPr>
      <w:r>
        <w:rPr>
          <w:rFonts w:hint="eastAsia" w:ascii="宋体" w:hAnsi="宋体" w:eastAsia="宋体"/>
          <w:color w:val="000000"/>
          <w:sz w:val="28"/>
          <w:szCs w:val="28"/>
          <w:highlight w:val="none"/>
        </w:rPr>
        <w:t>（六）向客户作获利保证或者与客户私下约定分享盈利或者共担风险损失的</w:t>
      </w:r>
      <w:r>
        <w:rPr>
          <w:rFonts w:ascii="宋体" w:hAnsi="宋体" w:eastAsia="宋体"/>
          <w:color w:val="000000"/>
          <w:sz w:val="28"/>
          <w:szCs w:val="28"/>
          <w:highlight w:val="none"/>
        </w:rPr>
        <w:t>；</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（七）</w:t>
      </w:r>
      <w:r>
        <w:rPr>
          <w:rFonts w:ascii="宋体" w:hAnsi="宋体" w:eastAsia="宋体"/>
          <w:sz w:val="28"/>
          <w:szCs w:val="28"/>
          <w:highlight w:val="none"/>
        </w:rPr>
        <w:t>未按规定</w:t>
      </w:r>
      <w:r>
        <w:rPr>
          <w:rFonts w:hint="eastAsia" w:ascii="宋体" w:hAnsi="宋体" w:eastAsia="宋体"/>
          <w:sz w:val="28"/>
          <w:szCs w:val="28"/>
          <w:highlight w:val="none"/>
        </w:rPr>
        <w:t>为自己或者他人交易的；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（八）未按客户的委托事项进行交易，故意阻止、延误或者改变客户下单指令，诱导、强制客户进行交易的；</w:t>
      </w:r>
    </w:p>
    <w:p>
      <w:pPr>
        <w:spacing w:line="360" w:lineRule="auto"/>
        <w:ind w:firstLine="560" w:firstLineChars="200"/>
        <w:rPr>
          <w:rFonts w:ascii="宋体" w:hAnsi="宋体" w:eastAsia="宋体"/>
          <w:sz w:val="28"/>
          <w:szCs w:val="28"/>
          <w:highlight w:val="none"/>
        </w:rPr>
      </w:pPr>
      <w:bookmarkStart w:id="72" w:name="OLE_LINK27"/>
      <w:bookmarkStart w:id="73" w:name="OLE_LINK25"/>
      <w:bookmarkStart w:id="74" w:name="OLE_LINK26"/>
      <w:r>
        <w:rPr>
          <w:rFonts w:hint="eastAsia" w:ascii="宋体" w:hAnsi="宋体" w:eastAsia="宋体"/>
          <w:sz w:val="28"/>
          <w:szCs w:val="28"/>
          <w:highlight w:val="none"/>
        </w:rPr>
        <w:t>（九）</w:t>
      </w:r>
      <w:bookmarkEnd w:id="72"/>
      <w:bookmarkEnd w:id="73"/>
      <w:bookmarkEnd w:id="74"/>
      <w:bookmarkStart w:id="75" w:name="OLE_LINK29"/>
      <w:bookmarkStart w:id="76" w:name="OLE_LINK28"/>
      <w:r>
        <w:rPr>
          <w:rFonts w:hint="eastAsia" w:ascii="宋体" w:hAnsi="宋体" w:eastAsia="宋体"/>
          <w:sz w:val="28"/>
          <w:szCs w:val="28"/>
          <w:highlight w:val="none"/>
        </w:rPr>
        <w:t>未将客户指令下达至交易所，私下对冲的；</w:t>
      </w:r>
      <w:bookmarkEnd w:id="75"/>
      <w:bookmarkEnd w:id="76"/>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（十）未将自有资金与客户资金分户存放的；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（十一）无正当理由拖延客户出入金的；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（十二）允许客户在保证金或者权利金不足时开仓交易，或者在期权买方客户资金不足时接受客户行权申请的；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（十三）挪用或者擅自允许他人挪用客户资金或者套用不同账户资金的；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（十四）故意制造或者散布虚假的或者容易使人误解的信息进行误导的；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（十五）泄露客户委托事项或者其他交易秘密的；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（十六）未按规定向客户提供有关成交结果、资金结算报表的；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（十七）违反中国证监会和交易所对经纪业务管理规定的其他行为。</w:t>
      </w:r>
    </w:p>
    <w:p>
      <w:pPr>
        <w:spacing w:line="360" w:lineRule="auto"/>
        <w:ind w:firstLine="560" w:firstLineChars="200"/>
        <w:rPr>
          <w:rFonts w:hint="eastAsia" w:ascii="宋体" w:hAnsi="宋体" w:eastAsia="宋体"/>
          <w:sz w:val="28"/>
          <w:szCs w:val="28"/>
          <w:highlight w:val="none"/>
        </w:rPr>
      </w:pPr>
      <w:r>
        <w:rPr>
          <w:rFonts w:hint="eastAsia" w:ascii="黑体" w:hAnsi="黑体" w:eastAsia="黑体" w:cs="宋体"/>
          <w:kern w:val="0"/>
          <w:sz w:val="28"/>
          <w:szCs w:val="28"/>
          <w:highlight w:val="none"/>
        </w:rPr>
        <w:t>第二十条</w:t>
      </w:r>
      <w:r>
        <w:rPr>
          <w:rFonts w:hint="eastAsia" w:ascii="宋体" w:hAnsi="宋体" w:eastAsia="宋体"/>
          <w:sz w:val="28"/>
          <w:szCs w:val="28"/>
          <w:highlight w:val="none"/>
        </w:rPr>
        <w:t xml:space="preserve"> 境外特殊经纪参与者具有下列违反经纪业务管理规定行为之一的，责令改正，没收违规所得，交易所可以根据情节轻重给予警告、通报批评、公开谴责、强行平仓、暂停开仓交易12个月以下、暂停部分期货或者期权业务、取消其资格、宣布为“市场禁止进入者”的纪律处分；没有违规所得或者违规所得不满10万元的，可以并处50万元以下的罚款；违规所得10万元以上的，可以并处违规所得1倍以上5倍以下的罚款：</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（一）为未履行开户手续或者未按规定履行开户手续的客户进行期货交易的；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（二）违反交易编码管理制度的；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（三）未按规定履行审核义务，为不符合开户条件的客户办理开户手续的；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（四）未按规定履行交易者适当性管理义务的；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（五）未如实向客户说明期货交易的风险或者不签署风险说明书的；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（六）未按规定为自己或者他人交易的；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（七）未按客户的委托事项进行交易，故意阻止、延误或者改变客户下单指令，诱导、强制客户进行交易的；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（八）未将客户交易指令下达至交易所，私下对冲的；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（九）未将自有资金与客户资金分户存放的；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（十）故意制造或者散布虚假的或者容易使人误解的信息进行误导的；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（十一）泄露客户委托事项或者其他交易秘密的；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（十二）未按规定向客户提供有关成交结果、资金结算报表的；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（十三）违反中国证监会和交易所对经纪业务管理规定的其他行为。</w:t>
      </w:r>
    </w:p>
    <w:p>
      <w:pPr>
        <w:tabs>
          <w:tab w:val="left" w:pos="954"/>
        </w:tabs>
        <w:spacing w:line="360" w:lineRule="auto"/>
        <w:ind w:firstLine="560" w:firstLineChars="200"/>
        <w:rPr>
          <w:rFonts w:ascii="宋体" w:hAnsi="宋体" w:eastAsia="宋体"/>
          <w:sz w:val="28"/>
          <w:szCs w:val="28"/>
          <w:highlight w:val="none"/>
        </w:rPr>
      </w:pPr>
      <w:r>
        <w:rPr>
          <w:rFonts w:hint="eastAsia" w:ascii="黑体" w:hAnsi="黑体" w:eastAsia="黑体" w:cs="宋体"/>
          <w:kern w:val="0"/>
          <w:sz w:val="28"/>
          <w:szCs w:val="28"/>
          <w:highlight w:val="none"/>
        </w:rPr>
        <w:t>第二十</w:t>
      </w:r>
      <w:r>
        <w:rPr>
          <w:rFonts w:hint="eastAsia" w:ascii="黑体" w:hAnsi="黑体" w:eastAsia="黑体" w:cs="宋体"/>
          <w:kern w:val="0"/>
          <w:sz w:val="28"/>
          <w:szCs w:val="28"/>
          <w:highlight w:val="none"/>
          <w:lang w:eastAsia="zh-CN"/>
        </w:rPr>
        <w:t>一</w:t>
      </w:r>
      <w:r>
        <w:rPr>
          <w:rFonts w:hint="eastAsia" w:ascii="黑体" w:hAnsi="黑体" w:eastAsia="黑体" w:cs="宋体"/>
          <w:kern w:val="0"/>
          <w:sz w:val="28"/>
          <w:szCs w:val="28"/>
          <w:highlight w:val="none"/>
        </w:rPr>
        <w:t>条</w:t>
      </w:r>
      <w:r>
        <w:rPr>
          <w:rFonts w:hint="eastAsia" w:ascii="宋体" w:hAnsi="宋体" w:eastAsia="宋体"/>
          <w:sz w:val="28"/>
          <w:szCs w:val="28"/>
          <w:highlight w:val="none"/>
        </w:rPr>
        <w:t xml:space="preserve"> 会员、境外特殊参与者具有下列行为之一的</w:t>
      </w:r>
      <w:r>
        <w:rPr>
          <w:rFonts w:ascii="宋体" w:hAnsi="宋体" w:eastAsia="宋体"/>
          <w:sz w:val="28"/>
          <w:szCs w:val="28"/>
          <w:highlight w:val="none"/>
        </w:rPr>
        <w:t>,责令改正，</w:t>
      </w:r>
      <w:r>
        <w:rPr>
          <w:rFonts w:hint="eastAsia" w:ascii="宋体" w:hAnsi="宋体" w:eastAsia="宋体"/>
          <w:sz w:val="28"/>
          <w:szCs w:val="28"/>
          <w:highlight w:val="none"/>
        </w:rPr>
        <w:t>交易所可以根据情节轻重给予警告、通报批评、公开谴责、暂停开仓交易</w:t>
      </w:r>
      <w:r>
        <w:rPr>
          <w:rFonts w:ascii="宋体" w:hAnsi="宋体" w:eastAsia="宋体"/>
          <w:sz w:val="28"/>
          <w:szCs w:val="28"/>
          <w:highlight w:val="none"/>
        </w:rPr>
        <w:t>12个月以下</w:t>
      </w:r>
      <w:r>
        <w:rPr>
          <w:rFonts w:hint="eastAsia" w:ascii="宋体" w:hAnsi="宋体" w:eastAsia="宋体"/>
          <w:sz w:val="28"/>
          <w:szCs w:val="28"/>
          <w:highlight w:val="none"/>
        </w:rPr>
        <w:t>、暂停部分期货</w:t>
      </w:r>
      <w:r>
        <w:rPr>
          <w:rFonts w:ascii="宋体" w:hAnsi="宋体" w:eastAsia="宋体"/>
          <w:sz w:val="28"/>
          <w:szCs w:val="28"/>
          <w:highlight w:val="none"/>
        </w:rPr>
        <w:t>或者期权</w:t>
      </w:r>
      <w:r>
        <w:rPr>
          <w:rFonts w:hint="eastAsia" w:ascii="宋体" w:hAnsi="宋体" w:eastAsia="宋体"/>
          <w:sz w:val="28"/>
          <w:szCs w:val="28"/>
          <w:highlight w:val="none"/>
        </w:rPr>
        <w:t>业务、取消</w:t>
      </w:r>
      <w:r>
        <w:rPr>
          <w:rFonts w:hint="eastAsia" w:ascii="宋体" w:hAnsi="宋体"/>
          <w:sz w:val="28"/>
          <w:szCs w:val="28"/>
          <w:highlight w:val="none"/>
          <w:lang w:eastAsia="zh-CN"/>
        </w:rPr>
        <w:t>相应</w:t>
      </w:r>
      <w:r>
        <w:rPr>
          <w:rFonts w:hint="eastAsia" w:ascii="宋体" w:hAnsi="宋体" w:eastAsia="宋体"/>
          <w:sz w:val="28"/>
          <w:szCs w:val="28"/>
          <w:highlight w:val="none"/>
        </w:rPr>
        <w:t>资格的纪律处分：</w:t>
      </w:r>
    </w:p>
    <w:p>
      <w:pPr>
        <w:tabs>
          <w:tab w:val="left" w:pos="954"/>
        </w:tabs>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（一）未按交易所规定履行报告义务的；</w:t>
      </w:r>
    </w:p>
    <w:p>
      <w:pPr>
        <w:tabs>
          <w:tab w:val="left" w:pos="954"/>
        </w:tabs>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（二）未按规定的期限要求向交易所报送财务报表等有关材料的；</w:t>
      </w:r>
    </w:p>
    <w:p>
      <w:pPr>
        <w:tabs>
          <w:tab w:val="left" w:pos="954"/>
        </w:tabs>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（三）未按大户报告制度向交易所履行申报义务</w:t>
      </w:r>
      <w:r>
        <w:rPr>
          <w:rFonts w:ascii="宋体" w:hAnsi="宋体" w:eastAsia="宋体"/>
          <w:sz w:val="28"/>
          <w:szCs w:val="28"/>
          <w:highlight w:val="none"/>
        </w:rPr>
        <w:t>,或</w:t>
      </w:r>
      <w:r>
        <w:rPr>
          <w:rFonts w:hint="eastAsia" w:ascii="宋体" w:hAnsi="宋体" w:eastAsia="宋体"/>
          <w:sz w:val="28"/>
          <w:szCs w:val="28"/>
          <w:highlight w:val="none"/>
        </w:rPr>
        <w:t>者作虚假报告、隐瞒不报的；</w:t>
      </w:r>
    </w:p>
    <w:p>
      <w:pPr>
        <w:tabs>
          <w:tab w:val="left" w:pos="954"/>
        </w:tabs>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（四）未协助交易所对其客户采取限制性措施、纪律处分或者其他自律管理措施的；</w:t>
      </w:r>
    </w:p>
    <w:p>
      <w:pPr>
        <w:tabs>
          <w:tab w:val="left" w:pos="954"/>
        </w:tabs>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（五）未按交易所规定及时缴纳年会费等有关费用的；</w:t>
      </w:r>
    </w:p>
    <w:p>
      <w:pPr>
        <w:tabs>
          <w:tab w:val="left" w:pos="954"/>
        </w:tabs>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（六）未按规定保管有关交易、结算、交割、财务、会计等资料的；</w:t>
      </w:r>
    </w:p>
    <w:p>
      <w:pPr>
        <w:tabs>
          <w:tab w:val="left" w:pos="954"/>
        </w:tabs>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（七）伪造、变造、买卖各种凭证或者审批文件的；</w:t>
      </w:r>
    </w:p>
    <w:p>
      <w:pPr>
        <w:tabs>
          <w:tab w:val="left" w:pos="954"/>
        </w:tabs>
        <w:spacing w:line="360" w:lineRule="auto"/>
        <w:ind w:firstLine="560" w:firstLineChars="200"/>
        <w:rPr>
          <w:rFonts w:ascii="宋体" w:hAnsi="宋体" w:eastAsia="宋体"/>
          <w:dstrike/>
          <w:sz w:val="28"/>
          <w:szCs w:val="28"/>
          <w:highlight w:val="none"/>
        </w:rPr>
      </w:pPr>
      <w:r>
        <w:rPr>
          <w:rFonts w:hint="eastAsia" w:ascii="宋体" w:hAnsi="宋体" w:eastAsia="宋体"/>
          <w:sz w:val="28"/>
          <w:szCs w:val="28"/>
          <w:highlight w:val="none"/>
        </w:rPr>
        <w:t>（八）私下转让或者处分会员、境外特殊参与者资格或者交易席位的；</w:t>
      </w:r>
    </w:p>
    <w:p>
      <w:pPr>
        <w:tabs>
          <w:tab w:val="left" w:pos="954"/>
        </w:tabs>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（九）通过期货交易从事洗钱、恶意换汇等非法活动的；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（十）未按规定履行客户交易终端信息采集及接入认证义务的；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（十一）违反交易所应急交易厅管理规定的；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（十二）未按规定履行客户管理义务的；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（十三）未按规定履行境外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机构备案义务的；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（十四）违反国家法律、法规、规章和违反交易所章程及有关规定的其他行为。</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二</w:t>
      </w:r>
      <w:r>
        <w:rPr>
          <w:rFonts w:hint="eastAsia" w:ascii="黑体" w:hAnsi="黑体" w:eastAsia="黑体"/>
          <w:sz w:val="28"/>
          <w:szCs w:val="28"/>
          <w:highlight w:val="none"/>
        </w:rPr>
        <w:t>条</w:t>
      </w:r>
      <w:r>
        <w:rPr>
          <w:rFonts w:hint="eastAsia" w:ascii="宋体" w:hAnsi="宋体" w:eastAsia="宋体"/>
          <w:b/>
          <w:sz w:val="28"/>
          <w:szCs w:val="28"/>
          <w:highlight w:val="none"/>
        </w:rPr>
        <w:t xml:space="preserve"> </w:t>
      </w:r>
      <w:r>
        <w:rPr>
          <w:rFonts w:hint="eastAsia" w:ascii="宋体" w:hAnsi="宋体" w:eastAsia="宋体"/>
          <w:sz w:val="28"/>
          <w:szCs w:val="28"/>
          <w:highlight w:val="none"/>
        </w:rPr>
        <w:t>会员、境外特殊参与者无正当理由未在规定期限内执行强行平仓的，交易所可以根据情节轻重给予警告、通报批评、公开谴责、暂停开仓交易</w:t>
      </w:r>
      <w:r>
        <w:rPr>
          <w:rFonts w:ascii="宋体" w:hAnsi="宋体" w:eastAsia="宋体"/>
          <w:sz w:val="28"/>
          <w:szCs w:val="28"/>
          <w:highlight w:val="none"/>
        </w:rPr>
        <w:t>12个月以下</w:t>
      </w:r>
      <w:r>
        <w:rPr>
          <w:rFonts w:hint="eastAsia" w:ascii="宋体" w:hAnsi="宋体" w:eastAsia="宋体"/>
          <w:sz w:val="28"/>
          <w:szCs w:val="28"/>
          <w:highlight w:val="none"/>
        </w:rPr>
        <w:t>、</w:t>
      </w:r>
      <w:r>
        <w:rPr>
          <w:rFonts w:ascii="宋体" w:hAnsi="宋体" w:eastAsia="宋体"/>
          <w:sz w:val="28"/>
          <w:szCs w:val="28"/>
          <w:highlight w:val="none"/>
        </w:rPr>
        <w:t>暂停部分期货或者期权业务的纪律处分，可</w:t>
      </w:r>
      <w:r>
        <w:rPr>
          <w:rFonts w:hint="eastAsia" w:ascii="宋体" w:hAnsi="宋体" w:eastAsia="宋体"/>
          <w:sz w:val="28"/>
          <w:szCs w:val="28"/>
          <w:highlight w:val="none"/>
        </w:rPr>
        <w:t>以并处5</w:t>
      </w:r>
      <w:r>
        <w:rPr>
          <w:rFonts w:ascii="宋体" w:hAnsi="宋体" w:eastAsia="宋体"/>
          <w:sz w:val="28"/>
          <w:szCs w:val="28"/>
          <w:highlight w:val="none"/>
        </w:rPr>
        <w:t>0万元以下的罚款。</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三</w:t>
      </w:r>
      <w:r>
        <w:rPr>
          <w:rFonts w:hint="eastAsia" w:ascii="黑体" w:hAnsi="黑体" w:eastAsia="黑体"/>
          <w:sz w:val="28"/>
          <w:szCs w:val="28"/>
          <w:highlight w:val="none"/>
        </w:rPr>
        <w:t>条</w:t>
      </w:r>
      <w:r>
        <w:rPr>
          <w:rFonts w:ascii="宋体" w:hAnsi="宋体" w:eastAsia="宋体"/>
          <w:sz w:val="28"/>
          <w:szCs w:val="28"/>
          <w:highlight w:val="none"/>
        </w:rPr>
        <w:t xml:space="preserve"> 会员具有下列违反交易所结算管理规定行为之一的,责令改正,</w:t>
      </w:r>
      <w:r>
        <w:rPr>
          <w:rFonts w:hint="eastAsia" w:ascii="宋体" w:hAnsi="宋体" w:eastAsia="宋体"/>
          <w:sz w:val="28"/>
          <w:szCs w:val="28"/>
          <w:highlight w:val="none"/>
        </w:rPr>
        <w:t>交易所可以根据情节轻重给予警告、通报批评、公开谴责、暂停开仓交易</w:t>
      </w:r>
      <w:r>
        <w:rPr>
          <w:rFonts w:ascii="宋体" w:hAnsi="宋体" w:eastAsia="宋体"/>
          <w:sz w:val="28"/>
          <w:szCs w:val="28"/>
          <w:highlight w:val="none"/>
        </w:rPr>
        <w:t>12个月以下</w:t>
      </w:r>
      <w:r>
        <w:rPr>
          <w:rFonts w:hint="eastAsia" w:ascii="宋体" w:hAnsi="宋体" w:eastAsia="宋体"/>
          <w:sz w:val="28"/>
          <w:szCs w:val="28"/>
          <w:highlight w:val="none"/>
        </w:rPr>
        <w:t>、暂停部分期货</w:t>
      </w:r>
      <w:r>
        <w:rPr>
          <w:rFonts w:ascii="宋体" w:hAnsi="宋体" w:eastAsia="宋体"/>
          <w:sz w:val="28"/>
          <w:szCs w:val="28"/>
          <w:highlight w:val="none"/>
        </w:rPr>
        <w:t>或者期权</w:t>
      </w:r>
      <w:r>
        <w:rPr>
          <w:rFonts w:hint="eastAsia" w:ascii="宋体" w:hAnsi="宋体" w:eastAsia="宋体"/>
          <w:sz w:val="28"/>
          <w:szCs w:val="28"/>
          <w:highlight w:val="none"/>
        </w:rPr>
        <w:t>业务、取消会员资格</w:t>
      </w:r>
      <w:r>
        <w:rPr>
          <w:rFonts w:ascii="宋体" w:hAnsi="宋体" w:eastAsia="宋体"/>
          <w:sz w:val="28"/>
          <w:szCs w:val="28"/>
          <w:highlight w:val="none"/>
        </w:rPr>
        <w:t>的纪律处分,可</w:t>
      </w:r>
      <w:r>
        <w:rPr>
          <w:rFonts w:hint="eastAsia" w:ascii="宋体" w:hAnsi="宋体" w:eastAsia="宋体"/>
          <w:sz w:val="28"/>
          <w:szCs w:val="28"/>
          <w:highlight w:val="none"/>
        </w:rPr>
        <w:t>以并处</w:t>
      </w:r>
      <w:r>
        <w:rPr>
          <w:rFonts w:ascii="宋体" w:hAnsi="宋体" w:eastAsia="宋体"/>
          <w:sz w:val="28"/>
          <w:szCs w:val="28"/>
          <w:highlight w:val="none"/>
        </w:rPr>
        <w:t>50万元</w:t>
      </w:r>
      <w:r>
        <w:rPr>
          <w:rFonts w:hint="eastAsia" w:ascii="宋体" w:hAnsi="宋体" w:eastAsia="宋体"/>
          <w:sz w:val="28"/>
          <w:szCs w:val="28"/>
          <w:highlight w:val="none"/>
        </w:rPr>
        <w:t>以下的罚款：</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（一）未按时足额缴纳保证金的；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（二）在结算报告书、交易月报表和其他结算文件资料中作不真实、不完整记载的；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（三）未按规定对保证金进行分账管理的；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（四）未按规定实行每日结算的；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（五）伪造、变造交易记录、会计报表、账册的；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（六）虚开发票以及其他伪造票证的；</w:t>
      </w:r>
    </w:p>
    <w:p>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（七）未规范使用交易所减收的交易手续费的；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sz w:val="28"/>
          <w:szCs w:val="28"/>
          <w:highlight w:val="none"/>
          <w:lang w:eastAsia="zh-CN"/>
        </w:rPr>
        <w:t>八</w:t>
      </w:r>
      <w:r>
        <w:rPr>
          <w:rFonts w:hint="eastAsia" w:ascii="宋体" w:hAnsi="宋体" w:eastAsia="宋体"/>
          <w:sz w:val="28"/>
          <w:szCs w:val="28"/>
          <w:highlight w:val="none"/>
        </w:rPr>
        <w:t>）违反交易所结算管理相关规定的其他行为。</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四</w:t>
      </w:r>
      <w:r>
        <w:rPr>
          <w:rFonts w:hint="eastAsia" w:ascii="黑体" w:hAnsi="黑体" w:eastAsia="黑体"/>
          <w:sz w:val="28"/>
          <w:szCs w:val="28"/>
          <w:highlight w:val="none"/>
        </w:rPr>
        <w:t xml:space="preserve">条 </w:t>
      </w:r>
      <w:r>
        <w:rPr>
          <w:rFonts w:hint="eastAsia" w:ascii="宋体" w:hAnsi="宋体" w:eastAsia="宋体"/>
          <w:sz w:val="28"/>
          <w:szCs w:val="28"/>
          <w:highlight w:val="none"/>
        </w:rPr>
        <w:t>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机构具有下列情形之一的，责令改正，交易所可以根据情节轻重给予警告、通报批评、公开谴责、取消境外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机构备案的纪律处分：</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（一）拒不配合交易所对客户违规调查的；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（二）未按规定履行交易者适当性管理义务的；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（三）违反交易所关于境外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机构的其他规定。</w:t>
      </w:r>
    </w:p>
    <w:p>
      <w:pPr>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境外</w:t>
      </w:r>
      <w:r>
        <w:rPr>
          <w:rFonts w:hint="eastAsia" w:ascii="宋体" w:hAnsi="宋体" w:cs="Times New Roman"/>
          <w:sz w:val="28"/>
          <w:szCs w:val="28"/>
          <w:highlight w:val="none"/>
          <w:lang w:eastAsia="zh-CN"/>
        </w:rPr>
        <w:t>中介</w:t>
      </w:r>
      <w:r>
        <w:rPr>
          <w:rFonts w:hint="eastAsia" w:ascii="宋体" w:hAnsi="宋体" w:eastAsia="宋体" w:cs="Times New Roman"/>
          <w:sz w:val="28"/>
          <w:szCs w:val="28"/>
          <w:highlight w:val="none"/>
        </w:rPr>
        <w:t>机构有上述情形之一且逾期未改正，或者涉嫌违法违规、出现重大风险，可能危及期货市场稳健运行、损害客户合法权益的，交易所可以要求期货公司会员、境外特殊</w:t>
      </w:r>
      <w:r>
        <w:rPr>
          <w:rFonts w:hint="eastAsia" w:ascii="宋体" w:hAnsi="宋体" w:cs="Times New Roman"/>
          <w:sz w:val="28"/>
          <w:szCs w:val="28"/>
          <w:highlight w:val="none"/>
          <w:lang w:eastAsia="zh-CN"/>
        </w:rPr>
        <w:t>经纪</w:t>
      </w:r>
      <w:r>
        <w:rPr>
          <w:rFonts w:hint="eastAsia" w:ascii="宋体" w:hAnsi="宋体" w:eastAsia="宋体" w:cs="Times New Roman"/>
          <w:sz w:val="28"/>
          <w:szCs w:val="28"/>
          <w:highlight w:val="none"/>
        </w:rPr>
        <w:t>参与者暂停或者终止与该境外</w:t>
      </w:r>
      <w:r>
        <w:rPr>
          <w:rFonts w:hint="eastAsia" w:ascii="宋体" w:hAnsi="宋体" w:cs="Times New Roman"/>
          <w:sz w:val="28"/>
          <w:szCs w:val="28"/>
          <w:highlight w:val="none"/>
          <w:lang w:eastAsia="zh-CN"/>
        </w:rPr>
        <w:t>中介</w:t>
      </w:r>
      <w:r>
        <w:rPr>
          <w:rFonts w:hint="eastAsia" w:ascii="宋体" w:hAnsi="宋体" w:eastAsia="宋体" w:cs="Times New Roman"/>
          <w:sz w:val="28"/>
          <w:szCs w:val="28"/>
          <w:highlight w:val="none"/>
        </w:rPr>
        <w:t>机构的委托业务。</w:t>
      </w:r>
    </w:p>
    <w:p>
      <w:pPr>
        <w:spacing w:line="360" w:lineRule="auto"/>
        <w:ind w:firstLine="560" w:firstLineChars="200"/>
        <w:rPr>
          <w:rFonts w:ascii="宋体" w:hAnsi="宋体" w:eastAsia="宋体"/>
          <w:sz w:val="28"/>
          <w:szCs w:val="28"/>
          <w:highlight w:val="none"/>
        </w:rPr>
      </w:pPr>
      <w:r>
        <w:rPr>
          <w:rFonts w:hint="eastAsia" w:ascii="宋体" w:hAnsi="宋体" w:eastAsia="宋体" w:cs="Times New Roman"/>
          <w:sz w:val="28"/>
          <w:szCs w:val="28"/>
          <w:highlight w:val="none"/>
        </w:rPr>
        <w:t>境外</w:t>
      </w:r>
      <w:r>
        <w:rPr>
          <w:rFonts w:hint="eastAsia" w:ascii="宋体" w:hAnsi="宋体" w:cs="Times New Roman"/>
          <w:sz w:val="28"/>
          <w:szCs w:val="28"/>
          <w:highlight w:val="none"/>
          <w:lang w:eastAsia="zh-CN"/>
        </w:rPr>
        <w:t>中介</w:t>
      </w:r>
      <w:r>
        <w:rPr>
          <w:rFonts w:hint="eastAsia" w:ascii="宋体" w:hAnsi="宋体" w:eastAsia="宋体" w:cs="Times New Roman"/>
          <w:sz w:val="28"/>
          <w:szCs w:val="28"/>
          <w:highlight w:val="none"/>
        </w:rPr>
        <w:t>机构被暂停或者终止与期货公司会员、境外特殊</w:t>
      </w:r>
      <w:r>
        <w:rPr>
          <w:rFonts w:hint="eastAsia" w:ascii="宋体" w:hAnsi="宋体" w:cs="Times New Roman"/>
          <w:sz w:val="28"/>
          <w:szCs w:val="28"/>
          <w:highlight w:val="none"/>
          <w:lang w:eastAsia="zh-CN"/>
        </w:rPr>
        <w:t>经纪</w:t>
      </w:r>
      <w:r>
        <w:rPr>
          <w:rFonts w:hint="eastAsia" w:ascii="宋体" w:hAnsi="宋体" w:eastAsia="宋体" w:cs="Times New Roman"/>
          <w:sz w:val="28"/>
          <w:szCs w:val="28"/>
          <w:highlight w:val="none"/>
        </w:rPr>
        <w:t>参与者的委托代理业务后，不得代理新增客户或者开新仓；客户要求移仓至其他机构的，应当配合完成。</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五</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会员、境外特殊参与者</w:t>
      </w:r>
      <w:r>
        <w:rPr>
          <w:rFonts w:hint="eastAsia" w:ascii="宋体" w:hAnsi="宋体"/>
          <w:sz w:val="28"/>
          <w:szCs w:val="28"/>
          <w:highlight w:val="none"/>
          <w:lang w:eastAsia="zh-CN"/>
        </w:rPr>
        <w:t>、</w:t>
      </w:r>
      <w:r>
        <w:rPr>
          <w:rFonts w:hint="eastAsia" w:ascii="宋体" w:hAnsi="宋体" w:eastAsia="宋体"/>
          <w:sz w:val="28"/>
          <w:szCs w:val="28"/>
          <w:highlight w:val="none"/>
        </w:rPr>
        <w:t>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或者客户在套期保值申报过程中提供或者协助提供虚假材料，或者违反交易所套期保值其他管理规定的，责令改正，没收违规所得，交易所可以根据情节轻重给予警告、通报批评、公开谴责、调整或者取消套期保值持仓额度、暂停受理套期保值额度申请、暂停开仓交易</w:t>
      </w:r>
      <w:r>
        <w:rPr>
          <w:rFonts w:ascii="宋体" w:hAnsi="宋体" w:eastAsia="宋体"/>
          <w:sz w:val="28"/>
          <w:szCs w:val="28"/>
          <w:highlight w:val="none"/>
        </w:rPr>
        <w:t>12个月以下、</w:t>
      </w:r>
      <w:r>
        <w:rPr>
          <w:rFonts w:hint="eastAsia" w:ascii="宋体" w:hAnsi="宋体" w:eastAsia="宋体"/>
          <w:sz w:val="28"/>
          <w:szCs w:val="28"/>
          <w:highlight w:val="none"/>
        </w:rPr>
        <w:t>暂停部分期货或者期权业务、强行平仓、取消相应资格、宣布为“市场禁止进入者”的纪律处分，可以并处其获准的套期保值持仓总金额</w:t>
      </w:r>
      <w:r>
        <w:rPr>
          <w:rFonts w:ascii="宋体" w:hAnsi="宋体" w:eastAsia="宋体"/>
          <w:sz w:val="28"/>
          <w:szCs w:val="28"/>
          <w:highlight w:val="none"/>
        </w:rPr>
        <w:t>5%以下的罚款</w:t>
      </w:r>
      <w:r>
        <w:rPr>
          <w:rFonts w:hint="eastAsia" w:ascii="宋体" w:hAnsi="宋体" w:eastAsia="宋体"/>
          <w:sz w:val="28"/>
          <w:szCs w:val="28"/>
          <w:highlight w:val="none"/>
        </w:rPr>
        <w:t>。</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六</w:t>
      </w:r>
      <w:r>
        <w:rPr>
          <w:rFonts w:hint="eastAsia" w:ascii="黑体" w:hAnsi="黑体" w:eastAsia="黑体"/>
          <w:sz w:val="28"/>
          <w:szCs w:val="28"/>
          <w:highlight w:val="none"/>
        </w:rPr>
        <w:t>条</w:t>
      </w:r>
      <w:r>
        <w:rPr>
          <w:rFonts w:hint="eastAsia" w:ascii="宋体" w:hAnsi="宋体" w:eastAsia="宋体"/>
          <w:sz w:val="28"/>
          <w:szCs w:val="28"/>
          <w:highlight w:val="none"/>
        </w:rPr>
        <w:t xml:space="preserve"> 非期货公司会员、境外特殊</w:t>
      </w:r>
      <w:r>
        <w:rPr>
          <w:rFonts w:hint="eastAsia" w:ascii="宋体" w:hAnsi="宋体"/>
          <w:sz w:val="28"/>
          <w:szCs w:val="28"/>
          <w:highlight w:val="none"/>
          <w:lang w:eastAsia="zh-CN"/>
        </w:rPr>
        <w:t>非经纪</w:t>
      </w:r>
      <w:r>
        <w:rPr>
          <w:rFonts w:hint="eastAsia" w:ascii="宋体" w:hAnsi="宋体" w:eastAsia="宋体"/>
          <w:sz w:val="28"/>
          <w:szCs w:val="28"/>
          <w:highlight w:val="none"/>
        </w:rPr>
        <w:t>参与者</w:t>
      </w:r>
      <w:r>
        <w:rPr>
          <w:rFonts w:hint="eastAsia" w:ascii="宋体" w:hAnsi="宋体"/>
          <w:sz w:val="28"/>
          <w:szCs w:val="28"/>
          <w:highlight w:val="none"/>
          <w:lang w:eastAsia="zh-CN"/>
        </w:rPr>
        <w:t>、</w:t>
      </w:r>
      <w:r>
        <w:rPr>
          <w:rFonts w:hint="eastAsia" w:ascii="宋体" w:hAnsi="宋体" w:eastAsia="宋体"/>
          <w:sz w:val="28"/>
          <w:szCs w:val="28"/>
          <w:highlight w:val="none"/>
        </w:rPr>
        <w:t>做市商或者客户等期货市场参与者具有下列违反交易所持仓管理规定行为之一的，责令改正，没收违规所得，交易所可以根据情节轻重给予强行平仓、警告、通报批评、公开谴责、暂停开仓交易</w:t>
      </w:r>
      <w:r>
        <w:rPr>
          <w:rFonts w:ascii="宋体" w:hAnsi="宋体" w:eastAsia="宋体"/>
          <w:sz w:val="28"/>
          <w:szCs w:val="28"/>
          <w:highlight w:val="none"/>
        </w:rPr>
        <w:t>12个月以下</w:t>
      </w:r>
      <w:r>
        <w:rPr>
          <w:rFonts w:hint="eastAsia" w:ascii="宋体" w:hAnsi="宋体" w:eastAsia="宋体"/>
          <w:sz w:val="28"/>
          <w:szCs w:val="28"/>
          <w:highlight w:val="none"/>
        </w:rPr>
        <w:t>、暂停部分期货或者期权业务、取消相应资格的纪律处分，可以并处其违规持仓总金额</w:t>
      </w:r>
      <w:r>
        <w:rPr>
          <w:rFonts w:ascii="宋体" w:hAnsi="宋体" w:eastAsia="宋体"/>
          <w:sz w:val="28"/>
          <w:szCs w:val="28"/>
          <w:highlight w:val="none"/>
        </w:rPr>
        <w:t>5%以下的罚款</w:t>
      </w:r>
      <w:r>
        <w:rPr>
          <w:rFonts w:hint="eastAsia" w:ascii="宋体" w:hAnsi="宋体" w:eastAsia="宋体"/>
          <w:sz w:val="28"/>
          <w:szCs w:val="28"/>
          <w:highlight w:val="none"/>
        </w:rPr>
        <w:t>：</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（一）利用分仓等不正当手段，规避交易所持仓限制的；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（二）持仓超限且被交易所强行平仓的，但因价格涨跌停板限制或者其他市场原因未能及时平仓的除外；</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（三）多次在交割月或者临近交割月合约持仓超限的；</w:t>
      </w:r>
    </w:p>
    <w:p>
      <w:pPr>
        <w:spacing w:line="360" w:lineRule="auto"/>
        <w:ind w:firstLine="557" w:firstLineChars="199"/>
        <w:rPr>
          <w:rFonts w:ascii="宋体" w:hAnsi="宋体" w:eastAsia="宋体"/>
          <w:sz w:val="28"/>
          <w:szCs w:val="28"/>
          <w:highlight w:val="none"/>
        </w:rPr>
      </w:pPr>
      <w:r>
        <w:rPr>
          <w:rFonts w:hint="eastAsia" w:ascii="宋体" w:hAnsi="宋体" w:eastAsia="宋体"/>
          <w:sz w:val="28"/>
          <w:szCs w:val="28"/>
          <w:highlight w:val="none"/>
        </w:rPr>
        <w:t>（四）违反交易所持仓管理规定的其他行为。</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期货公司会员、境外特殊</w:t>
      </w:r>
      <w:r>
        <w:rPr>
          <w:rFonts w:hint="eastAsia" w:ascii="宋体" w:hAnsi="宋体"/>
          <w:sz w:val="28"/>
          <w:szCs w:val="28"/>
          <w:highlight w:val="none"/>
          <w:lang w:eastAsia="zh-CN"/>
        </w:rPr>
        <w:t>经纪</w:t>
      </w:r>
      <w:r>
        <w:rPr>
          <w:rFonts w:hint="eastAsia" w:ascii="宋体" w:hAnsi="宋体" w:eastAsia="宋体"/>
          <w:sz w:val="28"/>
          <w:szCs w:val="28"/>
          <w:highlight w:val="none"/>
        </w:rPr>
        <w:t>参与者或者境外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机构未及时、准确、完整地向客户传达交易所持仓管理规定的，交易所可以参照适用前款规定给予相应纪律处分。</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七</w:t>
      </w:r>
      <w:r>
        <w:rPr>
          <w:rFonts w:ascii="黑体" w:hAnsi="黑体" w:eastAsia="黑体"/>
          <w:sz w:val="28"/>
          <w:szCs w:val="28"/>
          <w:highlight w:val="none"/>
        </w:rPr>
        <w:t>条</w:t>
      </w:r>
      <w:r>
        <w:rPr>
          <w:rFonts w:ascii="宋体" w:hAnsi="宋体" w:eastAsia="宋体"/>
          <w:sz w:val="28"/>
          <w:szCs w:val="28"/>
          <w:highlight w:val="none"/>
        </w:rPr>
        <w:t xml:space="preserve"> </w:t>
      </w:r>
      <w:r>
        <w:rPr>
          <w:rFonts w:hint="eastAsia" w:ascii="宋体" w:hAnsi="宋体" w:eastAsia="宋体"/>
          <w:sz w:val="28"/>
          <w:szCs w:val="28"/>
          <w:highlight w:val="none"/>
        </w:rPr>
        <w:t>非期货公司会员、境外特殊</w:t>
      </w:r>
      <w:r>
        <w:rPr>
          <w:rFonts w:hint="eastAsia" w:ascii="宋体" w:hAnsi="宋体"/>
          <w:sz w:val="28"/>
          <w:szCs w:val="28"/>
          <w:highlight w:val="none"/>
          <w:lang w:eastAsia="zh-CN"/>
        </w:rPr>
        <w:t>非经纪</w:t>
      </w:r>
      <w:r>
        <w:rPr>
          <w:rFonts w:hint="eastAsia" w:ascii="宋体" w:hAnsi="宋体" w:eastAsia="宋体"/>
          <w:sz w:val="28"/>
          <w:szCs w:val="28"/>
          <w:highlight w:val="none"/>
        </w:rPr>
        <w:t>参与者</w:t>
      </w:r>
      <w:r>
        <w:rPr>
          <w:rFonts w:hint="eastAsia" w:ascii="宋体" w:hAnsi="宋体"/>
          <w:sz w:val="28"/>
          <w:szCs w:val="28"/>
          <w:highlight w:val="none"/>
          <w:lang w:eastAsia="zh-CN"/>
        </w:rPr>
        <w:t>、</w:t>
      </w:r>
      <w:r>
        <w:rPr>
          <w:rFonts w:hint="eastAsia" w:ascii="宋体" w:hAnsi="宋体" w:eastAsia="宋体"/>
          <w:sz w:val="28"/>
          <w:szCs w:val="28"/>
          <w:highlight w:val="none"/>
        </w:rPr>
        <w:t>做市商或者客户等期货市场参与者利用不正当手段规避交易所交易限额制度，超限交易的，责令改正，</w:t>
      </w:r>
      <w:r>
        <w:rPr>
          <w:rFonts w:ascii="宋体" w:hAnsi="宋体" w:eastAsia="宋体"/>
          <w:sz w:val="28"/>
          <w:szCs w:val="28"/>
          <w:highlight w:val="none"/>
        </w:rPr>
        <w:t>没收违规所得</w:t>
      </w:r>
      <w:r>
        <w:rPr>
          <w:rFonts w:hint="eastAsia" w:ascii="宋体" w:hAnsi="宋体" w:eastAsia="宋体"/>
          <w:sz w:val="28"/>
          <w:szCs w:val="28"/>
          <w:highlight w:val="none"/>
        </w:rPr>
        <w:t>，交易所可以根据情节轻重给予警告、通报批评、公开谴责、强行平仓、暂停开仓交易</w:t>
      </w:r>
      <w:r>
        <w:rPr>
          <w:rFonts w:ascii="宋体" w:hAnsi="宋体" w:eastAsia="宋体"/>
          <w:sz w:val="28"/>
          <w:szCs w:val="28"/>
          <w:highlight w:val="none"/>
        </w:rPr>
        <w:t>12个月以下、暂停部分期货或者期权业务</w:t>
      </w:r>
      <w:r>
        <w:rPr>
          <w:rFonts w:hint="eastAsia" w:ascii="宋体" w:hAnsi="宋体" w:eastAsia="宋体"/>
          <w:sz w:val="28"/>
          <w:szCs w:val="28"/>
          <w:highlight w:val="none"/>
        </w:rPr>
        <w:t>、</w:t>
      </w:r>
      <w:r>
        <w:rPr>
          <w:rFonts w:ascii="宋体" w:hAnsi="宋体" w:eastAsia="宋体"/>
          <w:sz w:val="28"/>
          <w:szCs w:val="28"/>
          <w:highlight w:val="none"/>
        </w:rPr>
        <w:t>取消相应资格的纪律处分，可以</w:t>
      </w:r>
      <w:r>
        <w:rPr>
          <w:rFonts w:hint="eastAsia" w:ascii="宋体" w:hAnsi="宋体" w:eastAsia="宋体"/>
          <w:sz w:val="28"/>
          <w:szCs w:val="28"/>
          <w:highlight w:val="none"/>
        </w:rPr>
        <w:t>并处</w:t>
      </w:r>
      <w:r>
        <w:rPr>
          <w:rFonts w:ascii="宋体" w:hAnsi="宋体" w:eastAsia="宋体"/>
          <w:sz w:val="28"/>
          <w:szCs w:val="28"/>
          <w:highlight w:val="none"/>
        </w:rPr>
        <w:t>50万元以下的罚款。</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八</w:t>
      </w:r>
      <w:r>
        <w:rPr>
          <w:rFonts w:hint="eastAsia" w:ascii="黑体" w:hAnsi="黑体" w:eastAsia="黑体"/>
          <w:sz w:val="28"/>
          <w:szCs w:val="28"/>
          <w:highlight w:val="none"/>
        </w:rPr>
        <w:t>条</w:t>
      </w:r>
      <w:r>
        <w:rPr>
          <w:rFonts w:hint="eastAsia" w:ascii="宋体" w:hAnsi="宋体" w:eastAsia="宋体"/>
          <w:sz w:val="28"/>
          <w:szCs w:val="28"/>
          <w:highlight w:val="none"/>
        </w:rPr>
        <w:t xml:space="preserve"> 非期货公司会员、境外特殊</w:t>
      </w:r>
      <w:r>
        <w:rPr>
          <w:rFonts w:hint="eastAsia" w:ascii="宋体" w:hAnsi="宋体"/>
          <w:sz w:val="28"/>
          <w:szCs w:val="28"/>
          <w:highlight w:val="none"/>
          <w:lang w:eastAsia="zh-CN"/>
        </w:rPr>
        <w:t>非经纪</w:t>
      </w:r>
      <w:r>
        <w:rPr>
          <w:rFonts w:hint="eastAsia" w:ascii="宋体" w:hAnsi="宋体" w:eastAsia="宋体"/>
          <w:sz w:val="28"/>
          <w:szCs w:val="28"/>
          <w:highlight w:val="none"/>
        </w:rPr>
        <w:t>参与者</w:t>
      </w:r>
      <w:r>
        <w:rPr>
          <w:rFonts w:hint="eastAsia" w:ascii="宋体" w:hAnsi="宋体"/>
          <w:sz w:val="28"/>
          <w:szCs w:val="28"/>
          <w:highlight w:val="none"/>
          <w:lang w:eastAsia="zh-CN"/>
        </w:rPr>
        <w:t>、</w:t>
      </w:r>
      <w:r>
        <w:rPr>
          <w:rFonts w:hint="eastAsia" w:ascii="宋体" w:hAnsi="宋体" w:eastAsia="宋体"/>
          <w:sz w:val="28"/>
          <w:szCs w:val="28"/>
          <w:highlight w:val="none"/>
        </w:rPr>
        <w:t>客户等期货市场参与者具有下列违反交易所实际控制关系账户管理规定行为之一的，责令改正，交易所可以根据情节轻重给予警告、通报批评、公开谴责、暂停开仓交易</w:t>
      </w:r>
      <w:r>
        <w:rPr>
          <w:rFonts w:ascii="宋体" w:hAnsi="宋体" w:eastAsia="宋体"/>
          <w:sz w:val="28"/>
          <w:szCs w:val="28"/>
          <w:highlight w:val="none"/>
        </w:rPr>
        <w:t>12个月以下、暂停部分期货或者期权</w:t>
      </w:r>
      <w:r>
        <w:rPr>
          <w:rFonts w:hint="eastAsia" w:ascii="宋体" w:hAnsi="宋体" w:eastAsia="宋体"/>
          <w:sz w:val="28"/>
          <w:szCs w:val="28"/>
          <w:highlight w:val="none"/>
        </w:rPr>
        <w:t>业务、取消相应资格的纪律处分，可以并处50万元以下的罚款：</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（一）具有实际控制关系，但是拒不如实报备的；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（二）无正当理由拒不回复或者不如实回复交易所询问、调查，或者隐瞒事实真相、故意回避的；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（三）提供虚假材料申请解除实际控制关系的；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（四）违反交易所实际控制关系账户管理规定的其他行为。</w:t>
      </w:r>
    </w:p>
    <w:p>
      <w:pPr>
        <w:spacing w:line="360" w:lineRule="auto"/>
        <w:ind w:firstLine="551" w:firstLineChars="197"/>
        <w:rPr>
          <w:rFonts w:ascii="宋体" w:hAnsi="宋体" w:eastAsia="宋体"/>
          <w:dstrike/>
          <w:color w:val="333333"/>
          <w:sz w:val="28"/>
          <w:szCs w:val="28"/>
          <w:highlight w:val="none"/>
        </w:rPr>
      </w:pPr>
      <w:r>
        <w:rPr>
          <w:rFonts w:hint="eastAsia" w:ascii="宋体" w:hAnsi="宋体" w:eastAsia="宋体"/>
          <w:sz w:val="28"/>
          <w:szCs w:val="28"/>
          <w:highlight w:val="none"/>
        </w:rPr>
        <w:t>会员、境外特殊经纪参与者、境外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机构未履行对客户实际控制关系账户的管理职责，诱导或者协助客户提供虚假性材料、隐瞒事实真相的，交易所可以参照适用前款规定给予相应纪律处分。</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第二十</w:t>
      </w:r>
      <w:r>
        <w:rPr>
          <w:rFonts w:hint="eastAsia" w:ascii="黑体" w:hAnsi="黑体" w:eastAsia="黑体"/>
          <w:sz w:val="28"/>
          <w:szCs w:val="28"/>
          <w:highlight w:val="none"/>
          <w:lang w:eastAsia="zh-CN"/>
        </w:rPr>
        <w:t>九</w:t>
      </w:r>
      <w:r>
        <w:rPr>
          <w:rFonts w:hint="eastAsia" w:ascii="黑体" w:hAnsi="黑体" w:eastAsia="黑体"/>
          <w:sz w:val="28"/>
          <w:szCs w:val="28"/>
          <w:highlight w:val="none"/>
        </w:rPr>
        <w:t>条</w:t>
      </w:r>
      <w:r>
        <w:rPr>
          <w:rFonts w:hint="eastAsia" w:ascii="宋体" w:hAnsi="宋体" w:eastAsia="宋体"/>
          <w:sz w:val="28"/>
          <w:szCs w:val="28"/>
          <w:highlight w:val="none"/>
        </w:rPr>
        <w:t xml:space="preserve"> 期货市场参与者具有下列违反交易所信息管理或者系统管理规定行为之一的，责令改正，</w:t>
      </w:r>
      <w:r>
        <w:rPr>
          <w:rFonts w:ascii="宋体" w:hAnsi="宋体" w:eastAsia="宋体"/>
          <w:kern w:val="0"/>
          <w:sz w:val="28"/>
          <w:szCs w:val="28"/>
          <w:highlight w:val="none"/>
        </w:rPr>
        <w:t>没收违规所得</w:t>
      </w:r>
      <w:r>
        <w:rPr>
          <w:rFonts w:hint="eastAsia" w:ascii="宋体" w:hAnsi="宋体" w:eastAsia="宋体"/>
          <w:kern w:val="0"/>
          <w:sz w:val="28"/>
          <w:szCs w:val="28"/>
          <w:highlight w:val="none"/>
        </w:rPr>
        <w:t>，</w:t>
      </w:r>
      <w:r>
        <w:rPr>
          <w:rFonts w:hint="eastAsia" w:ascii="宋体" w:hAnsi="宋体" w:eastAsia="宋体"/>
          <w:sz w:val="28"/>
          <w:szCs w:val="28"/>
          <w:highlight w:val="none"/>
        </w:rPr>
        <w:t>交易所可以根据情节轻重给予警告、通报批评、公开谴责、暂停开仓交易</w:t>
      </w:r>
      <w:r>
        <w:rPr>
          <w:rFonts w:ascii="宋体" w:hAnsi="宋体" w:eastAsia="宋体"/>
          <w:sz w:val="28"/>
          <w:szCs w:val="28"/>
          <w:highlight w:val="none"/>
        </w:rPr>
        <w:t>12个月以下、</w:t>
      </w:r>
      <w:r>
        <w:rPr>
          <w:rFonts w:hint="eastAsia" w:ascii="宋体" w:hAnsi="宋体" w:eastAsia="宋体"/>
          <w:sz w:val="28"/>
          <w:szCs w:val="28"/>
          <w:highlight w:val="none"/>
        </w:rPr>
        <w:t>暂停部分期货</w:t>
      </w:r>
      <w:r>
        <w:rPr>
          <w:rFonts w:ascii="宋体" w:hAnsi="宋体" w:eastAsia="宋体"/>
          <w:sz w:val="28"/>
          <w:szCs w:val="28"/>
          <w:highlight w:val="none"/>
        </w:rPr>
        <w:t>或者期权</w:t>
      </w:r>
      <w:r>
        <w:rPr>
          <w:rFonts w:hint="eastAsia" w:ascii="宋体" w:hAnsi="宋体" w:eastAsia="宋体"/>
          <w:sz w:val="28"/>
          <w:szCs w:val="28"/>
          <w:highlight w:val="none"/>
        </w:rPr>
        <w:t>业务、取消相应资格的纪律处分</w:t>
      </w:r>
      <w:r>
        <w:rPr>
          <w:rFonts w:ascii="宋体" w:hAnsi="宋体" w:eastAsia="宋体"/>
          <w:sz w:val="28"/>
          <w:szCs w:val="28"/>
          <w:highlight w:val="none"/>
        </w:rPr>
        <w:t>,可以并处</w:t>
      </w:r>
      <w:r>
        <w:rPr>
          <w:rFonts w:hint="eastAsia" w:ascii="宋体" w:hAnsi="宋体" w:eastAsia="宋体"/>
          <w:sz w:val="28"/>
          <w:szCs w:val="28"/>
          <w:highlight w:val="none"/>
        </w:rPr>
        <w:t>5</w:t>
      </w:r>
      <w:r>
        <w:rPr>
          <w:rFonts w:ascii="宋体" w:hAnsi="宋体" w:eastAsia="宋体"/>
          <w:sz w:val="28"/>
          <w:szCs w:val="28"/>
          <w:highlight w:val="none"/>
        </w:rPr>
        <w:t>0万元</w:t>
      </w:r>
      <w:r>
        <w:rPr>
          <w:rFonts w:hint="eastAsia" w:ascii="宋体" w:hAnsi="宋体" w:eastAsia="宋体"/>
          <w:sz w:val="28"/>
          <w:szCs w:val="28"/>
          <w:highlight w:val="none"/>
        </w:rPr>
        <w:t>以下的罚款：</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（一）未经交易所许可，擅自发布交易所信息的；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（二）破坏或者未按要求使用交易所交易、结算、交割及标准仓单管理等系统，影响系统正常运作的；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（三）违反交易所信息系统接入管理规定的；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（四）违反交易所信息管理或者系统管理规定的其他行为。</w:t>
      </w:r>
    </w:p>
    <w:p>
      <w:pPr>
        <w:adjustRightInd w:val="0"/>
        <w:spacing w:line="360" w:lineRule="auto"/>
        <w:ind w:firstLine="560" w:firstLineChars="200"/>
        <w:rPr>
          <w:rFonts w:ascii="宋体" w:hAnsi="宋体" w:eastAsia="宋体"/>
          <w:color w:val="333333"/>
          <w:sz w:val="28"/>
          <w:szCs w:val="28"/>
          <w:highlight w:val="none"/>
        </w:rPr>
      </w:pPr>
      <w:r>
        <w:rPr>
          <w:rFonts w:hint="eastAsia" w:ascii="黑体" w:hAnsi="黑体" w:eastAsia="黑体"/>
          <w:sz w:val="28"/>
          <w:szCs w:val="28"/>
          <w:highlight w:val="none"/>
        </w:rPr>
        <w:t>第</w:t>
      </w:r>
      <w:r>
        <w:rPr>
          <w:rFonts w:hint="eastAsia" w:ascii="黑体" w:hAnsi="黑体" w:eastAsia="黑体"/>
          <w:sz w:val="28"/>
          <w:szCs w:val="28"/>
          <w:highlight w:val="none"/>
          <w:lang w:eastAsia="zh-CN"/>
        </w:rPr>
        <w:t>三十</w:t>
      </w:r>
      <w:r>
        <w:rPr>
          <w:rFonts w:hint="eastAsia" w:ascii="黑体" w:hAnsi="黑体" w:eastAsia="黑体"/>
          <w:sz w:val="28"/>
          <w:szCs w:val="28"/>
          <w:highlight w:val="none"/>
        </w:rPr>
        <w:t>条</w:t>
      </w:r>
      <w:r>
        <w:rPr>
          <w:rFonts w:hint="eastAsia" w:ascii="宋体" w:hAnsi="宋体" w:eastAsia="宋体"/>
          <w:b/>
          <w:sz w:val="28"/>
          <w:szCs w:val="28"/>
          <w:highlight w:val="none"/>
        </w:rPr>
        <w:t xml:space="preserve"> </w:t>
      </w:r>
      <w:r>
        <w:rPr>
          <w:rFonts w:hint="eastAsia" w:ascii="宋体" w:hAnsi="宋体" w:eastAsia="宋体"/>
          <w:sz w:val="28"/>
          <w:szCs w:val="28"/>
          <w:highlight w:val="none"/>
        </w:rPr>
        <w:t>会员、境外特殊参与者、境外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机构、客户参与标准仓单业务时，违反交易所规定的，责令改正，交易所可以根据情节轻重给予警告、通报批评、公开谴责、暂停从事标准仓单业务、取消相应资格的纪律处分，可以并处5</w:t>
      </w:r>
      <w:r>
        <w:rPr>
          <w:rFonts w:ascii="宋体" w:hAnsi="宋体" w:eastAsia="宋体"/>
          <w:sz w:val="28"/>
          <w:szCs w:val="28"/>
          <w:highlight w:val="none"/>
        </w:rPr>
        <w:t>0万元</w:t>
      </w:r>
      <w:r>
        <w:rPr>
          <w:rFonts w:hint="eastAsia" w:ascii="宋体" w:hAnsi="宋体" w:eastAsia="宋体"/>
          <w:sz w:val="28"/>
          <w:szCs w:val="28"/>
          <w:highlight w:val="none"/>
        </w:rPr>
        <w:t>以下的</w:t>
      </w:r>
      <w:r>
        <w:rPr>
          <w:rFonts w:ascii="宋体" w:hAnsi="宋体" w:eastAsia="宋体"/>
          <w:sz w:val="28"/>
          <w:szCs w:val="28"/>
          <w:highlight w:val="none"/>
        </w:rPr>
        <w:t>罚款。</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第三十</w:t>
      </w:r>
      <w:r>
        <w:rPr>
          <w:rFonts w:hint="eastAsia" w:ascii="黑体" w:hAnsi="黑体" w:eastAsia="黑体"/>
          <w:sz w:val="28"/>
          <w:szCs w:val="28"/>
          <w:highlight w:val="none"/>
          <w:lang w:eastAsia="zh-CN"/>
        </w:rPr>
        <w:t>一</w:t>
      </w:r>
      <w:r>
        <w:rPr>
          <w:rFonts w:hint="eastAsia" w:ascii="黑体" w:hAnsi="黑体" w:eastAsia="黑体"/>
          <w:sz w:val="28"/>
          <w:szCs w:val="28"/>
          <w:highlight w:val="none"/>
        </w:rPr>
        <w:t xml:space="preserve">条 </w:t>
      </w:r>
      <w:r>
        <w:rPr>
          <w:rFonts w:hint="eastAsia" w:ascii="宋体" w:hAnsi="宋体" w:eastAsia="宋体"/>
          <w:sz w:val="28"/>
          <w:szCs w:val="28"/>
          <w:highlight w:val="none"/>
        </w:rPr>
        <w:t>期货市场参与者具有以下违反交易所交易编码管理规定行为之一的，责令改正，没收违规所得，交易所可以根据情节轻重给予警告、通报批评、公开谴责、强行平仓、暂停开仓交易</w:t>
      </w:r>
      <w:r>
        <w:rPr>
          <w:rFonts w:ascii="宋体" w:hAnsi="宋体" w:eastAsia="宋体"/>
          <w:sz w:val="28"/>
          <w:szCs w:val="28"/>
          <w:highlight w:val="none"/>
        </w:rPr>
        <w:t>12</w:t>
      </w:r>
      <w:r>
        <w:rPr>
          <w:rFonts w:hint="eastAsia" w:ascii="宋体" w:hAnsi="宋体" w:eastAsia="宋体"/>
          <w:sz w:val="28"/>
          <w:szCs w:val="28"/>
          <w:highlight w:val="none"/>
        </w:rPr>
        <w:t>个月以下、暂停部分期货</w:t>
      </w:r>
      <w:r>
        <w:rPr>
          <w:rFonts w:ascii="宋体" w:hAnsi="宋体" w:eastAsia="宋体"/>
          <w:sz w:val="28"/>
          <w:szCs w:val="28"/>
          <w:highlight w:val="none"/>
        </w:rPr>
        <w:t>或者期权</w:t>
      </w:r>
      <w:r>
        <w:rPr>
          <w:rFonts w:hint="eastAsia" w:ascii="宋体" w:hAnsi="宋体" w:eastAsia="宋体"/>
          <w:sz w:val="28"/>
          <w:szCs w:val="28"/>
          <w:highlight w:val="none"/>
        </w:rPr>
        <w:t>业务、取消相应资格的纪律处分，可以并处</w:t>
      </w:r>
      <w:r>
        <w:rPr>
          <w:rFonts w:ascii="宋体" w:hAnsi="宋体" w:eastAsia="宋体"/>
          <w:sz w:val="28"/>
          <w:szCs w:val="28"/>
          <w:highlight w:val="none"/>
        </w:rPr>
        <w:t>50万元以下的罚款：</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（一）提供或者协助提供虚假开户资料开户的；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（二）做市商通过出租、出借、委托做市等方式将做市交易编码交由他人使用，或者使用做市交易编码从事与做市无关的其他交易的；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（三）使用他人做市交易编码，代替他人做市的；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（四）盗取、骗取或者借用他人交易编码，实施违规行为的；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（五）出借或者未妥善保管交易编码，导致交易编码被他人使用实施违规行为的；</w:t>
      </w:r>
    </w:p>
    <w:p>
      <w:pPr>
        <w:adjustRightInd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（六）违反交易所交易编码管理相关规定的其他行为。</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第三十</w:t>
      </w:r>
      <w:r>
        <w:rPr>
          <w:rFonts w:hint="eastAsia" w:ascii="黑体" w:hAnsi="黑体" w:eastAsia="黑体"/>
          <w:sz w:val="28"/>
          <w:szCs w:val="28"/>
          <w:highlight w:val="none"/>
          <w:lang w:eastAsia="zh-CN"/>
        </w:rPr>
        <w:t>二</w:t>
      </w:r>
      <w:r>
        <w:rPr>
          <w:rFonts w:hint="eastAsia" w:ascii="黑体" w:hAnsi="黑体" w:eastAsia="黑体"/>
          <w:sz w:val="28"/>
          <w:szCs w:val="28"/>
          <w:highlight w:val="none"/>
        </w:rPr>
        <w:t>条</w:t>
      </w:r>
      <w:bookmarkStart w:id="77" w:name="OLE_LINK24"/>
      <w:bookmarkStart w:id="78" w:name="OLE_LINK23"/>
      <w:bookmarkStart w:id="79" w:name="OLE_LINK22"/>
      <w:r>
        <w:rPr>
          <w:rFonts w:hint="eastAsia" w:ascii="黑体" w:hAnsi="黑体" w:eastAsia="黑体"/>
          <w:sz w:val="28"/>
          <w:szCs w:val="28"/>
          <w:highlight w:val="none"/>
        </w:rPr>
        <w:t xml:space="preserve"> </w:t>
      </w:r>
      <w:r>
        <w:rPr>
          <w:rFonts w:hint="eastAsia" w:ascii="宋体" w:hAnsi="宋体" w:eastAsia="宋体"/>
          <w:sz w:val="28"/>
          <w:szCs w:val="28"/>
          <w:highlight w:val="none"/>
        </w:rPr>
        <w:t>期货市场参与者具有下列违反交易管理规定行为之一的</w:t>
      </w:r>
      <w:bookmarkEnd w:id="77"/>
      <w:bookmarkEnd w:id="78"/>
      <w:bookmarkEnd w:id="79"/>
      <w:r>
        <w:rPr>
          <w:rFonts w:ascii="宋体" w:hAnsi="宋体" w:eastAsia="宋体"/>
          <w:sz w:val="28"/>
          <w:szCs w:val="28"/>
          <w:highlight w:val="none"/>
        </w:rPr>
        <w:t>,责令改正，没收违规所得</w:t>
      </w:r>
      <w:r>
        <w:rPr>
          <w:rFonts w:hint="eastAsia" w:ascii="宋体" w:hAnsi="宋体" w:eastAsia="宋体"/>
          <w:sz w:val="28"/>
          <w:szCs w:val="28"/>
          <w:highlight w:val="none"/>
        </w:rPr>
        <w:t>，交易所可以根据情节轻重给予警告、通报批评、公开谴责、强行平仓、暂停开仓交易</w:t>
      </w:r>
      <w:r>
        <w:rPr>
          <w:rFonts w:ascii="宋体" w:hAnsi="宋体" w:eastAsia="宋体"/>
          <w:sz w:val="28"/>
          <w:szCs w:val="28"/>
          <w:highlight w:val="none"/>
        </w:rPr>
        <w:t>12个月以下、</w:t>
      </w:r>
      <w:r>
        <w:rPr>
          <w:rFonts w:hint="eastAsia" w:ascii="宋体" w:hAnsi="宋体" w:eastAsia="宋体"/>
          <w:sz w:val="28"/>
          <w:szCs w:val="28"/>
          <w:highlight w:val="none"/>
        </w:rPr>
        <w:t>暂停部分期货</w:t>
      </w:r>
      <w:r>
        <w:rPr>
          <w:rFonts w:ascii="宋体" w:hAnsi="宋体" w:eastAsia="宋体"/>
          <w:sz w:val="28"/>
          <w:szCs w:val="28"/>
          <w:highlight w:val="none"/>
        </w:rPr>
        <w:t>或者期权</w:t>
      </w:r>
      <w:r>
        <w:rPr>
          <w:rFonts w:hint="eastAsia" w:ascii="宋体" w:hAnsi="宋体" w:eastAsia="宋体"/>
          <w:sz w:val="28"/>
          <w:szCs w:val="28"/>
          <w:highlight w:val="none"/>
        </w:rPr>
        <w:t>业务、取消相应资格、宣布为“市场禁止进入者”的纪律处分；没有违规所得或者违规所得不满</w:t>
      </w:r>
      <w:r>
        <w:rPr>
          <w:rFonts w:ascii="宋体" w:hAnsi="宋体" w:eastAsia="宋体"/>
          <w:sz w:val="28"/>
          <w:szCs w:val="28"/>
          <w:highlight w:val="none"/>
        </w:rPr>
        <w:t>10万元</w:t>
      </w:r>
      <w:r>
        <w:rPr>
          <w:rFonts w:hint="eastAsia" w:ascii="宋体" w:hAnsi="宋体" w:eastAsia="宋体"/>
          <w:sz w:val="28"/>
          <w:szCs w:val="28"/>
          <w:highlight w:val="none"/>
        </w:rPr>
        <w:t>的，可以并处</w:t>
      </w:r>
      <w:r>
        <w:rPr>
          <w:rFonts w:ascii="宋体" w:hAnsi="宋体" w:eastAsia="宋体"/>
          <w:sz w:val="28"/>
          <w:szCs w:val="28"/>
          <w:highlight w:val="none"/>
        </w:rPr>
        <w:t>50万元</w:t>
      </w:r>
      <w:r>
        <w:rPr>
          <w:rFonts w:hint="eastAsia" w:ascii="宋体" w:hAnsi="宋体" w:eastAsia="宋体"/>
          <w:sz w:val="28"/>
          <w:szCs w:val="28"/>
          <w:highlight w:val="none"/>
        </w:rPr>
        <w:t>以下的罚款；违规所得</w:t>
      </w:r>
      <w:r>
        <w:rPr>
          <w:rFonts w:ascii="宋体" w:hAnsi="宋体" w:eastAsia="宋体"/>
          <w:sz w:val="28"/>
          <w:szCs w:val="28"/>
          <w:highlight w:val="none"/>
        </w:rPr>
        <w:t>10万元以上的，可以</w:t>
      </w:r>
      <w:r>
        <w:rPr>
          <w:rFonts w:hint="eastAsia" w:ascii="宋体" w:hAnsi="宋体" w:eastAsia="宋体"/>
          <w:sz w:val="28"/>
          <w:szCs w:val="28"/>
          <w:highlight w:val="none"/>
        </w:rPr>
        <w:t>并处违规所得</w:t>
      </w:r>
      <w:r>
        <w:rPr>
          <w:rFonts w:ascii="宋体" w:hAnsi="宋体" w:eastAsia="宋体"/>
          <w:sz w:val="28"/>
          <w:szCs w:val="28"/>
          <w:highlight w:val="none"/>
        </w:rPr>
        <w:t>1</w:t>
      </w:r>
      <w:r>
        <w:rPr>
          <w:rFonts w:hint="eastAsia" w:ascii="宋体" w:hAnsi="宋体" w:eastAsia="宋体"/>
          <w:sz w:val="28"/>
          <w:szCs w:val="28"/>
          <w:highlight w:val="none"/>
        </w:rPr>
        <w:t>倍以上</w:t>
      </w:r>
      <w:r>
        <w:rPr>
          <w:rFonts w:ascii="宋体" w:hAnsi="宋体" w:eastAsia="宋体"/>
          <w:sz w:val="28"/>
          <w:szCs w:val="28"/>
          <w:highlight w:val="none"/>
        </w:rPr>
        <w:t>5</w:t>
      </w:r>
      <w:r>
        <w:rPr>
          <w:rFonts w:hint="eastAsia" w:ascii="宋体" w:hAnsi="宋体" w:eastAsia="宋体"/>
          <w:sz w:val="28"/>
          <w:szCs w:val="28"/>
          <w:highlight w:val="none"/>
        </w:rPr>
        <w:t>倍以下的罚款：</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（一）单独或者合谋，集中资金优势、持仓优势或者利用信息优势，连续或者联合买卖合约，影响或者企图影响期货交易价格或者期货交易量的；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（二）单独或者合谋，利用不正当手段，</w:t>
      </w:r>
      <w:r>
        <w:rPr>
          <w:rFonts w:ascii="宋体" w:hAnsi="宋体" w:eastAsia="宋体"/>
          <w:sz w:val="28"/>
          <w:szCs w:val="28"/>
          <w:highlight w:val="none"/>
        </w:rPr>
        <w:t>规避交易所的持仓限制，超限持仓，</w:t>
      </w:r>
      <w:r>
        <w:rPr>
          <w:rFonts w:hint="eastAsia" w:ascii="宋体" w:hAnsi="宋体" w:eastAsia="宋体"/>
          <w:sz w:val="28"/>
          <w:szCs w:val="28"/>
          <w:highlight w:val="none"/>
        </w:rPr>
        <w:t>影响或者企图影响期货交易价格，或者扰乱市场秩序的；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（三）按照事先约定或者安排的时间、价格或者方式进行相互交易，影响或者企图影响期货交易价格或者期货交易量、转移资金、扰乱市场秩序或者谋取不正当利益的；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w:t>
      </w:r>
      <w:bookmarkStart w:id="80" w:name="OLE_LINK47"/>
      <w:bookmarkStart w:id="81" w:name="OLE_LINK37"/>
      <w:bookmarkStart w:id="82" w:name="OLE_LINK38"/>
      <w:bookmarkStart w:id="83" w:name="OLE_LINK102"/>
      <w:bookmarkStart w:id="84" w:name="OLE_LINK101"/>
      <w:bookmarkStart w:id="85" w:name="OLE_LINK103"/>
      <w:r>
        <w:rPr>
          <w:rFonts w:hint="eastAsia" w:ascii="宋体" w:hAnsi="宋体" w:eastAsia="宋体"/>
          <w:sz w:val="28"/>
          <w:szCs w:val="28"/>
          <w:highlight w:val="none"/>
        </w:rPr>
        <w:t>不以成交为目的申报买卖合约，进行与申报方向相反的交易或者以其他方式谋取相关利益，影响或者企图影响期货交易价格或者期货交易量、误导其他市场参与者、增加系统负荷或者扰乱市场秩序的；</w:t>
      </w:r>
      <w:bookmarkEnd w:id="80"/>
      <w:bookmarkEnd w:id="81"/>
      <w:bookmarkEnd w:id="82"/>
    </w:p>
    <w:bookmarkEnd w:id="83"/>
    <w:bookmarkEnd w:id="84"/>
    <w:bookmarkEnd w:id="85"/>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（五）在自己实际控制的账户之间发生相互交易，影响或者企图影响期货交易价格或者期货交易量、转移资金、扰乱市场秩序或者谋取不正当利益的；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六）期货交易内幕信息的知情人或者非法获取期货交易内幕信息的人，在对期货交易价格有重大影响的信息尚未公开前，利用内幕信息进行期货交易或者向他人泄露内幕信息，使他人利用内幕信息进行期货交易的；</w:t>
      </w:r>
    </w:p>
    <w:p>
      <w:pPr>
        <w:spacing w:line="360" w:lineRule="auto"/>
        <w:ind w:firstLine="560" w:firstLineChars="200"/>
        <w:rPr>
          <w:rFonts w:ascii="宋体" w:hAnsi="宋体" w:eastAsia="宋体"/>
          <w:sz w:val="28"/>
          <w:szCs w:val="28"/>
          <w:highlight w:val="none"/>
        </w:rPr>
      </w:pPr>
      <w:bookmarkStart w:id="86" w:name="OLE_LINK41"/>
      <w:bookmarkStart w:id="87" w:name="OLE_LINK43"/>
      <w:bookmarkStart w:id="88" w:name="OLE_LINK42"/>
      <w:r>
        <w:rPr>
          <w:rFonts w:hint="eastAsia" w:ascii="宋体" w:hAnsi="宋体" w:eastAsia="宋体"/>
          <w:sz w:val="28"/>
          <w:szCs w:val="28"/>
          <w:highlight w:val="none"/>
        </w:rPr>
        <w:t>（七）以囤积现货、虚占交割仓库库容或者</w:t>
      </w:r>
      <w:r>
        <w:rPr>
          <w:rFonts w:ascii="宋体" w:hAnsi="宋体" w:eastAsia="宋体"/>
          <w:sz w:val="28"/>
          <w:szCs w:val="28"/>
          <w:highlight w:val="none"/>
        </w:rPr>
        <w:t>控制大量标准仓单</w:t>
      </w:r>
      <w:r>
        <w:rPr>
          <w:rFonts w:hint="eastAsia" w:ascii="宋体" w:hAnsi="宋体" w:eastAsia="宋体"/>
          <w:sz w:val="28"/>
          <w:szCs w:val="28"/>
          <w:highlight w:val="none"/>
        </w:rPr>
        <w:t>等方式，影响或者企图影响期货市场行情或者交割的；</w:t>
      </w:r>
    </w:p>
    <w:bookmarkEnd w:id="86"/>
    <w:bookmarkEnd w:id="87"/>
    <w:bookmarkEnd w:id="88"/>
    <w:p>
      <w:pPr>
        <w:spacing w:line="360" w:lineRule="auto"/>
        <w:ind w:firstLine="560" w:firstLineChars="200"/>
        <w:rPr>
          <w:rFonts w:ascii="宋体" w:hAnsi="宋体" w:eastAsia="宋体"/>
          <w:sz w:val="28"/>
          <w:szCs w:val="28"/>
          <w:highlight w:val="none"/>
        </w:rPr>
      </w:pPr>
      <w:bookmarkStart w:id="89" w:name="OLE_LINK19"/>
      <w:bookmarkStart w:id="90" w:name="OLE_LINK20"/>
      <w:bookmarkStart w:id="91" w:name="OLE_LINK21"/>
      <w:r>
        <w:rPr>
          <w:rFonts w:hint="eastAsia" w:ascii="宋体" w:hAnsi="宋体" w:eastAsia="宋体"/>
          <w:sz w:val="28"/>
          <w:szCs w:val="28"/>
          <w:highlight w:val="none"/>
        </w:rPr>
        <w:t>（八）编造或者传播虚假信息、误导性信息或者不确定的重大信息，影响期货交易价格或者期货交易量，并进行相关交易或者谋取不正当利益的；</w:t>
      </w:r>
    </w:p>
    <w:bookmarkEnd w:id="89"/>
    <w:bookmarkEnd w:id="90"/>
    <w:bookmarkEnd w:id="91"/>
    <w:p>
      <w:pPr>
        <w:spacing w:line="360" w:lineRule="auto"/>
        <w:ind w:firstLine="560" w:firstLineChars="200"/>
        <w:rPr>
          <w:rFonts w:ascii="宋体" w:hAnsi="宋体" w:eastAsia="宋体"/>
          <w:sz w:val="28"/>
          <w:szCs w:val="28"/>
          <w:highlight w:val="none"/>
        </w:rPr>
      </w:pPr>
      <w:bookmarkStart w:id="92" w:name="OLE_LINK89"/>
      <w:bookmarkStart w:id="93" w:name="OLE_LINK88"/>
      <w:r>
        <w:rPr>
          <w:rFonts w:hint="eastAsia" w:ascii="宋体" w:hAnsi="宋体" w:eastAsia="宋体"/>
          <w:sz w:val="28"/>
          <w:szCs w:val="28"/>
          <w:highlight w:val="none"/>
        </w:rPr>
        <w:t>（九）</w:t>
      </w:r>
      <w:bookmarkStart w:id="94" w:name="OLE_LINK33"/>
      <w:bookmarkStart w:id="95" w:name="OLE_LINK32"/>
      <w:bookmarkStart w:id="96" w:name="OLE_LINK34"/>
      <w:r>
        <w:rPr>
          <w:rFonts w:hint="eastAsia" w:ascii="宋体" w:hAnsi="宋体" w:eastAsia="宋体"/>
          <w:sz w:val="28"/>
          <w:szCs w:val="28"/>
          <w:highlight w:val="none"/>
        </w:rPr>
        <w:t>通过对合约或者合约标的物作出公开评价、预测或者投资建议，影响期货交易价格或者期货交易量，并进行与其评价、预测或者投资建议方向相</w:t>
      </w:r>
      <w:bookmarkStart w:id="97" w:name="OLE_LINK31"/>
      <w:bookmarkStart w:id="98" w:name="OLE_LINK30"/>
      <w:r>
        <w:rPr>
          <w:rFonts w:hint="eastAsia" w:ascii="宋体" w:hAnsi="宋体" w:eastAsia="宋体"/>
          <w:sz w:val="28"/>
          <w:szCs w:val="28"/>
          <w:highlight w:val="none"/>
        </w:rPr>
        <w:t>反</w:t>
      </w:r>
      <w:bookmarkEnd w:id="97"/>
      <w:bookmarkEnd w:id="98"/>
      <w:r>
        <w:rPr>
          <w:rFonts w:hint="eastAsia" w:ascii="宋体" w:hAnsi="宋体" w:eastAsia="宋体"/>
          <w:sz w:val="28"/>
          <w:szCs w:val="28"/>
          <w:highlight w:val="none"/>
        </w:rPr>
        <w:t>的期货交易或者谋取不正当利益的；</w:t>
      </w:r>
      <w:bookmarkEnd w:id="94"/>
      <w:bookmarkEnd w:id="95"/>
      <w:bookmarkEnd w:id="96"/>
    </w:p>
    <w:bookmarkEnd w:id="92"/>
    <w:bookmarkEnd w:id="93"/>
    <w:p>
      <w:pPr>
        <w:spacing w:line="360" w:lineRule="auto"/>
        <w:ind w:firstLine="560" w:firstLineChars="200"/>
        <w:rPr>
          <w:rFonts w:ascii="宋体" w:hAnsi="宋体" w:eastAsia="宋体"/>
          <w:dstrike/>
          <w:sz w:val="28"/>
          <w:szCs w:val="28"/>
          <w:highlight w:val="none"/>
        </w:rPr>
      </w:pPr>
      <w:r>
        <w:rPr>
          <w:rFonts w:hint="eastAsia" w:ascii="宋体" w:hAnsi="宋体" w:eastAsia="宋体"/>
          <w:sz w:val="28"/>
          <w:szCs w:val="28"/>
          <w:highlight w:val="none"/>
        </w:rPr>
        <w:t>（十）采取程序化交易方式下达交易指令，影响交易所系统安全或者扰乱正常交易秩序的；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（十一）以非善意的期货转现货行为，扰乱市场秩序的；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（十二）违反中国证监会和交易所有关交易管理规定，影响或者企图影响期货交易价格、期货交易量或者扰乱期货市场秩序的其他行为。</w:t>
      </w:r>
      <w:bookmarkStart w:id="99" w:name="OLE_LINK12"/>
      <w:bookmarkStart w:id="100" w:name="OLE_LINK14"/>
      <w:bookmarkStart w:id="101" w:name="OLE_LINK15"/>
      <w:bookmarkStart w:id="102" w:name="OLE_LINK13"/>
      <w:bookmarkStart w:id="103" w:name="OLE_LINK11"/>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第三十</w:t>
      </w:r>
      <w:r>
        <w:rPr>
          <w:rFonts w:hint="eastAsia" w:ascii="黑体" w:hAnsi="黑体" w:eastAsia="黑体"/>
          <w:sz w:val="28"/>
          <w:szCs w:val="28"/>
          <w:highlight w:val="none"/>
          <w:lang w:eastAsia="zh-CN"/>
        </w:rPr>
        <w:t>三</w:t>
      </w:r>
      <w:r>
        <w:rPr>
          <w:rFonts w:hint="eastAsia" w:ascii="黑体" w:hAnsi="黑体" w:eastAsia="黑体"/>
          <w:sz w:val="28"/>
          <w:szCs w:val="28"/>
          <w:highlight w:val="none"/>
        </w:rPr>
        <w:t xml:space="preserve">条 </w:t>
      </w:r>
      <w:r>
        <w:rPr>
          <w:rFonts w:hint="eastAsia" w:ascii="宋体" w:hAnsi="宋体" w:eastAsia="宋体"/>
          <w:sz w:val="28"/>
          <w:szCs w:val="28"/>
          <w:highlight w:val="none"/>
        </w:rPr>
        <w:t>期货市场参与者编造或者传播虚假信息或者误导性信息，损害交易所声誉或者扰乱期货市场秩序的，责令改正，交易所可以根据情节轻重给予警告、通报批评、公开谴责、强行平仓、暂停开仓交易</w:t>
      </w:r>
      <w:r>
        <w:rPr>
          <w:rFonts w:ascii="宋体" w:hAnsi="宋体" w:eastAsia="宋体"/>
          <w:sz w:val="28"/>
          <w:szCs w:val="28"/>
          <w:highlight w:val="none"/>
        </w:rPr>
        <w:t>12个月以下、</w:t>
      </w:r>
      <w:r>
        <w:rPr>
          <w:rFonts w:hint="eastAsia" w:ascii="宋体" w:hAnsi="宋体" w:eastAsia="宋体"/>
          <w:sz w:val="28"/>
          <w:szCs w:val="28"/>
          <w:highlight w:val="none"/>
        </w:rPr>
        <w:t>暂停部分期货</w:t>
      </w:r>
      <w:r>
        <w:rPr>
          <w:rFonts w:ascii="宋体" w:hAnsi="宋体" w:eastAsia="宋体"/>
          <w:sz w:val="28"/>
          <w:szCs w:val="28"/>
          <w:highlight w:val="none"/>
        </w:rPr>
        <w:t>或者期权</w:t>
      </w:r>
      <w:r>
        <w:rPr>
          <w:rFonts w:hint="eastAsia" w:ascii="宋体" w:hAnsi="宋体" w:eastAsia="宋体"/>
          <w:sz w:val="28"/>
          <w:szCs w:val="28"/>
          <w:highlight w:val="none"/>
        </w:rPr>
        <w:t>业务、</w:t>
      </w:r>
      <w:r>
        <w:rPr>
          <w:rFonts w:ascii="宋体" w:hAnsi="宋体" w:eastAsia="宋体"/>
          <w:sz w:val="28"/>
          <w:szCs w:val="28"/>
          <w:highlight w:val="none"/>
        </w:rPr>
        <w:t>取消相应资格</w:t>
      </w:r>
      <w:r>
        <w:rPr>
          <w:rFonts w:hint="eastAsia" w:ascii="宋体" w:hAnsi="宋体" w:eastAsia="宋体"/>
          <w:sz w:val="28"/>
          <w:szCs w:val="28"/>
          <w:highlight w:val="none"/>
        </w:rPr>
        <w:t>、</w:t>
      </w:r>
      <w:r>
        <w:rPr>
          <w:rFonts w:ascii="宋体" w:hAnsi="宋体" w:eastAsia="宋体"/>
          <w:sz w:val="28"/>
          <w:szCs w:val="28"/>
          <w:highlight w:val="none"/>
        </w:rPr>
        <w:t>宣布为“市场禁止进入者”的纪律处分</w:t>
      </w:r>
      <w:r>
        <w:rPr>
          <w:rFonts w:hint="eastAsia" w:ascii="宋体" w:hAnsi="宋体" w:eastAsia="宋体"/>
          <w:sz w:val="28"/>
          <w:szCs w:val="28"/>
          <w:highlight w:val="none"/>
        </w:rPr>
        <w:t>，可以并处</w:t>
      </w:r>
      <w:r>
        <w:rPr>
          <w:rFonts w:ascii="宋体" w:hAnsi="宋体" w:eastAsia="宋体"/>
          <w:sz w:val="28"/>
          <w:szCs w:val="28"/>
          <w:highlight w:val="none"/>
        </w:rPr>
        <w:t>50万元以下的罚款。</w:t>
      </w:r>
    </w:p>
    <w:bookmarkEnd w:id="99"/>
    <w:bookmarkEnd w:id="100"/>
    <w:bookmarkEnd w:id="101"/>
    <w:bookmarkEnd w:id="102"/>
    <w:bookmarkEnd w:id="103"/>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第三十</w:t>
      </w:r>
      <w:r>
        <w:rPr>
          <w:rFonts w:hint="eastAsia" w:ascii="黑体" w:hAnsi="黑体" w:eastAsia="黑体"/>
          <w:sz w:val="28"/>
          <w:szCs w:val="28"/>
          <w:highlight w:val="none"/>
          <w:lang w:eastAsia="zh-CN"/>
        </w:rPr>
        <w:t>四</w:t>
      </w:r>
      <w:r>
        <w:rPr>
          <w:rFonts w:hint="eastAsia" w:ascii="黑体" w:hAnsi="黑体" w:eastAsia="黑体"/>
          <w:sz w:val="28"/>
          <w:szCs w:val="28"/>
          <w:highlight w:val="none"/>
        </w:rPr>
        <w:t>条</w:t>
      </w:r>
      <w:r>
        <w:rPr>
          <w:rFonts w:ascii="宋体" w:hAnsi="宋体" w:eastAsia="宋体"/>
          <w:b/>
          <w:sz w:val="28"/>
          <w:szCs w:val="28"/>
          <w:highlight w:val="none"/>
        </w:rPr>
        <w:t xml:space="preserve"> </w:t>
      </w:r>
      <w:r>
        <w:rPr>
          <w:rFonts w:ascii="宋体" w:hAnsi="宋体" w:eastAsia="宋体"/>
          <w:sz w:val="28"/>
          <w:szCs w:val="28"/>
          <w:highlight w:val="none"/>
        </w:rPr>
        <w:t xml:space="preserve">期货市场参与者具有下列行为之一的，交易所可以调整当日结算价和交割结算价： </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w:t>
      </w:r>
      <w:r>
        <w:rPr>
          <w:rFonts w:hint="eastAsia" w:ascii="宋体" w:hAnsi="宋体" w:eastAsia="宋体"/>
          <w:color w:val="000000"/>
          <w:sz w:val="28"/>
          <w:szCs w:val="28"/>
          <w:highlight w:val="none"/>
        </w:rPr>
        <w:t>在自己实际控制的账户间发生相互交易</w:t>
      </w:r>
      <w:r>
        <w:rPr>
          <w:rFonts w:hint="eastAsia" w:ascii="宋体" w:hAnsi="宋体" w:eastAsia="宋体"/>
          <w:sz w:val="28"/>
          <w:szCs w:val="28"/>
          <w:highlight w:val="none"/>
        </w:rPr>
        <w:t>，严重影响交割结算价或者期权行权结果的；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（二）其他违规行为导致期货交易价格异常波动或者瞬间大幅度偏离市场价格，严重影响交割结算价或者期权行权结果的。</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第三十</w:t>
      </w:r>
      <w:r>
        <w:rPr>
          <w:rFonts w:hint="eastAsia" w:ascii="黑体" w:hAnsi="黑体" w:eastAsia="黑体"/>
          <w:sz w:val="28"/>
          <w:szCs w:val="28"/>
          <w:highlight w:val="none"/>
          <w:lang w:eastAsia="zh-CN"/>
        </w:rPr>
        <w:t>五</w:t>
      </w:r>
      <w:r>
        <w:rPr>
          <w:rFonts w:hint="eastAsia" w:ascii="黑体" w:hAnsi="黑体" w:eastAsia="黑体"/>
          <w:sz w:val="28"/>
          <w:szCs w:val="28"/>
          <w:highlight w:val="none"/>
        </w:rPr>
        <w:t xml:space="preserve">条 </w:t>
      </w:r>
      <w:r>
        <w:rPr>
          <w:rFonts w:hint="eastAsia" w:ascii="宋体" w:hAnsi="宋体" w:eastAsia="宋体"/>
          <w:sz w:val="28"/>
          <w:szCs w:val="28"/>
          <w:highlight w:val="none"/>
        </w:rPr>
        <w:t>交易所调查发现期货市场参与者具有下列涉嫌违法行为之一的，应当及时报告中国证监会，提请立案稽查，并可以采取限制出金、暂停开仓交易等限制性措施：</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（一）操纵市场的；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（二）内幕交易的；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（三）编造、传播虚假信息的；</w:t>
      </w:r>
      <w:r>
        <w:rPr>
          <w:rFonts w:ascii="宋体" w:hAnsi="宋体" w:eastAsia="宋体"/>
          <w:sz w:val="28"/>
          <w:szCs w:val="28"/>
          <w:highlight w:val="none"/>
        </w:rPr>
        <w:t xml:space="preserve"> </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（四）涉嫌违法的其他行为。</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第三十</w:t>
      </w:r>
      <w:r>
        <w:rPr>
          <w:rFonts w:hint="eastAsia" w:ascii="黑体" w:hAnsi="黑体" w:eastAsia="黑体"/>
          <w:sz w:val="28"/>
          <w:szCs w:val="28"/>
          <w:highlight w:val="none"/>
          <w:lang w:eastAsia="zh-CN"/>
        </w:rPr>
        <w:t>六</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交割仓库具有下列行为之一的，责令改正，没收违规所得，交易所可以根据情节轻重给予警告、通报批评、公开谴责、暂停交割业务、取消交割仓库资格、宣布为“市场禁止进入者”的纪律处分；没有违规所得或者违规所得不满</w:t>
      </w:r>
      <w:r>
        <w:rPr>
          <w:rFonts w:ascii="宋体" w:hAnsi="宋体" w:eastAsia="宋体"/>
          <w:sz w:val="28"/>
          <w:szCs w:val="28"/>
          <w:highlight w:val="none"/>
        </w:rPr>
        <w:t>10万元</w:t>
      </w:r>
      <w:r>
        <w:rPr>
          <w:rFonts w:hint="eastAsia" w:ascii="宋体" w:hAnsi="宋体" w:eastAsia="宋体"/>
          <w:sz w:val="28"/>
          <w:szCs w:val="28"/>
          <w:highlight w:val="none"/>
        </w:rPr>
        <w:t>的，可以并处</w:t>
      </w:r>
      <w:r>
        <w:rPr>
          <w:rFonts w:ascii="宋体" w:hAnsi="宋体" w:eastAsia="宋体"/>
          <w:sz w:val="28"/>
          <w:szCs w:val="28"/>
          <w:highlight w:val="none"/>
        </w:rPr>
        <w:t>50万元</w:t>
      </w:r>
      <w:r>
        <w:rPr>
          <w:rFonts w:hint="eastAsia" w:ascii="宋体" w:hAnsi="宋体" w:eastAsia="宋体"/>
          <w:sz w:val="28"/>
          <w:szCs w:val="28"/>
          <w:highlight w:val="none"/>
        </w:rPr>
        <w:t>以下的罚款；违规所得</w:t>
      </w:r>
      <w:r>
        <w:rPr>
          <w:rFonts w:ascii="宋体" w:hAnsi="宋体" w:eastAsia="宋体"/>
          <w:sz w:val="28"/>
          <w:szCs w:val="28"/>
          <w:highlight w:val="none"/>
        </w:rPr>
        <w:t>10万元以上的，可以并处违规所得1</w:t>
      </w:r>
      <w:r>
        <w:rPr>
          <w:rFonts w:hint="eastAsia" w:ascii="宋体" w:hAnsi="宋体" w:eastAsia="宋体"/>
          <w:sz w:val="28"/>
          <w:szCs w:val="28"/>
          <w:highlight w:val="none"/>
        </w:rPr>
        <w:t>倍以上</w:t>
      </w:r>
      <w:r>
        <w:rPr>
          <w:rFonts w:ascii="宋体" w:hAnsi="宋体" w:eastAsia="宋体"/>
          <w:sz w:val="28"/>
          <w:szCs w:val="28"/>
          <w:highlight w:val="none"/>
        </w:rPr>
        <w:t>5</w:t>
      </w:r>
      <w:r>
        <w:rPr>
          <w:rFonts w:hint="eastAsia" w:ascii="宋体" w:hAnsi="宋体" w:eastAsia="宋体"/>
          <w:sz w:val="28"/>
          <w:szCs w:val="28"/>
          <w:highlight w:val="none"/>
        </w:rPr>
        <w:t>倍以下的罚款：</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（一）违反国家有关规定参与期货交易的；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（二）出具虚假仓单的；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w:t>
      </w:r>
      <w:r>
        <w:rPr>
          <w:rFonts w:ascii="宋体" w:hAnsi="宋体" w:eastAsia="宋体"/>
          <w:sz w:val="28"/>
          <w:szCs w:val="28"/>
          <w:highlight w:val="none"/>
        </w:rPr>
        <w:t>）进行虚假性、</w:t>
      </w:r>
      <w:r>
        <w:rPr>
          <w:rFonts w:hint="eastAsia" w:ascii="宋体" w:hAnsi="宋体" w:eastAsia="宋体"/>
          <w:sz w:val="28"/>
          <w:szCs w:val="28"/>
          <w:highlight w:val="none"/>
        </w:rPr>
        <w:t>误导性、故意隐瞒或者遗漏重要事实的申报、陈述、解释或者说明的；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（四）擅自移动、处理或者盗卖交割商品的；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（五）泄露与期货有关不宜公开的仓储信息或者散布虚假信息误导市场的；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（六</w:t>
      </w:r>
      <w:r>
        <w:rPr>
          <w:rFonts w:ascii="宋体" w:hAnsi="宋体" w:eastAsia="宋体"/>
          <w:sz w:val="28"/>
          <w:szCs w:val="28"/>
          <w:highlight w:val="none"/>
        </w:rPr>
        <w:t>）</w:t>
      </w:r>
      <w:r>
        <w:rPr>
          <w:rFonts w:hint="eastAsia" w:ascii="宋体" w:hAnsi="宋体" w:eastAsia="宋体"/>
          <w:sz w:val="28"/>
          <w:szCs w:val="28"/>
          <w:highlight w:val="none"/>
        </w:rPr>
        <w:t>仓储场地变更、</w:t>
      </w:r>
      <w:r>
        <w:rPr>
          <w:rFonts w:ascii="宋体" w:hAnsi="宋体" w:eastAsia="宋体"/>
          <w:sz w:val="28"/>
          <w:szCs w:val="28"/>
          <w:highlight w:val="none"/>
        </w:rPr>
        <w:t>发生交割商品或者仓储设施等被</w:t>
      </w:r>
      <w:r>
        <w:rPr>
          <w:rFonts w:hint="eastAsia" w:ascii="宋体" w:hAnsi="宋体" w:eastAsia="宋体"/>
          <w:sz w:val="28"/>
          <w:szCs w:val="28"/>
          <w:highlight w:val="none"/>
        </w:rPr>
        <w:t>司法机关</w:t>
      </w:r>
      <w:r>
        <w:rPr>
          <w:rFonts w:ascii="宋体" w:hAnsi="宋体" w:eastAsia="宋体"/>
          <w:sz w:val="28"/>
          <w:szCs w:val="28"/>
          <w:highlight w:val="none"/>
        </w:rPr>
        <w:t>查封、扣押</w:t>
      </w:r>
      <w:r>
        <w:rPr>
          <w:rFonts w:hint="eastAsia" w:ascii="宋体" w:hAnsi="宋体" w:eastAsia="宋体"/>
          <w:sz w:val="28"/>
          <w:szCs w:val="28"/>
          <w:highlight w:val="none"/>
        </w:rPr>
        <w:t>或者交割商品严重受损、灭失等风险事件，未及时向交易所报告或者未按交易所要求向市场公告的；</w:t>
      </w:r>
    </w:p>
    <w:p>
      <w:pPr>
        <w:spacing w:line="360" w:lineRule="auto"/>
        <w:ind w:firstLine="560" w:firstLineChars="200"/>
        <w:rPr>
          <w:rFonts w:ascii="宋体" w:hAnsi="宋体" w:eastAsia="宋体"/>
          <w:sz w:val="28"/>
          <w:szCs w:val="28"/>
          <w:highlight w:val="none"/>
          <w:shd w:val="pct10" w:color="auto" w:fill="FFFFFF"/>
        </w:rPr>
      </w:pPr>
      <w:r>
        <w:rPr>
          <w:rFonts w:hint="eastAsia" w:ascii="宋体" w:hAnsi="宋体" w:eastAsia="宋体"/>
          <w:sz w:val="28"/>
          <w:szCs w:val="28"/>
          <w:highlight w:val="none"/>
        </w:rPr>
        <w:t>（七）与他人联手，影响或者企图影响期货市场价格的；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（八）标准仓单所示商品中有牌号、商标、规格、质量等混杂的；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（九）交割商品与单证不符的；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（十）交割商品没有或者缺少规定证明文件的；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（十一）交割商品的捆数、块数、包装要求和交易所规定不符的；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（十二）未完成规定的检验项目而开具仓单的；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（十三）未在标准仓单管理系统中对信息进行审核，或者未及时、有效维护库存等数据，造成严重后果的；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（十四）错收错发的；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（十五）因保管不当，引起储存商品变质、灭失的；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（十六）在搬运、装卸、堆码等作业过程中造成包装和商品损坏的；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（十七）商品交割中滥行收费的；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（十八）蓄意刁难，造成卖方或者买方违约的；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（十九）违反期货交割业务规则，限制、故意拖延交割商品的入库、出库的；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（二十）拒绝、阻挠交易所依法依规监督检查的；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（二十一）无正当理由未按照协议约定提供最低保证库容的；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（二十二）无正当理由不按时交货或者不配合指定检验机构检验的；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（二十三）违反中国证监会和交易所规定的其他行为。</w:t>
      </w:r>
    </w:p>
    <w:p>
      <w:pPr>
        <w:spacing w:line="360" w:lineRule="auto"/>
        <w:ind w:firstLine="554" w:firstLineChars="198"/>
        <w:rPr>
          <w:rFonts w:ascii="宋体" w:hAnsi="宋体" w:eastAsia="宋体"/>
          <w:sz w:val="28"/>
          <w:szCs w:val="28"/>
          <w:highlight w:val="none"/>
        </w:rPr>
      </w:pPr>
      <w:r>
        <w:rPr>
          <w:rFonts w:hint="eastAsia" w:ascii="宋体" w:hAnsi="宋体" w:eastAsia="宋体"/>
          <w:sz w:val="28"/>
          <w:szCs w:val="28"/>
          <w:highlight w:val="none"/>
        </w:rPr>
        <w:t>车（船）板交割服务机构具有前款所列违规行为的，按照前款规定予以处理。</w:t>
      </w:r>
    </w:p>
    <w:p>
      <w:pPr>
        <w:spacing w:line="360" w:lineRule="auto"/>
        <w:ind w:firstLine="560" w:firstLineChars="200"/>
        <w:rPr>
          <w:rFonts w:ascii="宋体" w:hAnsi="宋体" w:eastAsia="宋体"/>
          <w:sz w:val="28"/>
          <w:szCs w:val="28"/>
          <w:highlight w:val="none"/>
        </w:rPr>
      </w:pPr>
      <w:bookmarkStart w:id="104" w:name="OLE_LINK10"/>
      <w:bookmarkStart w:id="105" w:name="OLE_LINK9"/>
      <w:r>
        <w:rPr>
          <w:rFonts w:hint="eastAsia" w:ascii="黑体" w:hAnsi="黑体" w:eastAsia="黑体"/>
          <w:sz w:val="28"/>
          <w:szCs w:val="28"/>
          <w:highlight w:val="none"/>
        </w:rPr>
        <w:t>第三十</w:t>
      </w:r>
      <w:r>
        <w:rPr>
          <w:rFonts w:hint="eastAsia" w:ascii="黑体" w:hAnsi="黑体" w:eastAsia="黑体"/>
          <w:sz w:val="28"/>
          <w:szCs w:val="28"/>
          <w:highlight w:val="none"/>
          <w:lang w:eastAsia="zh-CN"/>
        </w:rPr>
        <w:t>七</w:t>
      </w:r>
      <w:r>
        <w:rPr>
          <w:rFonts w:hint="eastAsia" w:ascii="黑体" w:hAnsi="黑体" w:eastAsia="黑体"/>
          <w:sz w:val="28"/>
          <w:szCs w:val="28"/>
          <w:highlight w:val="none"/>
        </w:rPr>
        <w:t xml:space="preserve">条 </w:t>
      </w:r>
      <w:r>
        <w:rPr>
          <w:rFonts w:hint="eastAsia" w:ascii="宋体" w:hAnsi="宋体" w:eastAsia="宋体"/>
          <w:sz w:val="28"/>
          <w:szCs w:val="28"/>
          <w:highlight w:val="none"/>
        </w:rPr>
        <w:t>期货市场参与者在实物交割环节违约</w:t>
      </w:r>
      <w:bookmarkStart w:id="106" w:name="OLE_LINK97"/>
      <w:bookmarkStart w:id="107" w:name="OLE_LINK98"/>
      <w:r>
        <w:rPr>
          <w:rFonts w:hint="eastAsia" w:ascii="宋体" w:hAnsi="宋体" w:eastAsia="宋体"/>
          <w:sz w:val="28"/>
          <w:szCs w:val="28"/>
          <w:highlight w:val="none"/>
        </w:rPr>
        <w:t>或者采用其他不正当手段，</w:t>
      </w:r>
      <w:bookmarkEnd w:id="106"/>
      <w:bookmarkEnd w:id="107"/>
      <w:r>
        <w:rPr>
          <w:rFonts w:hint="eastAsia" w:ascii="宋体" w:hAnsi="宋体" w:eastAsia="宋体"/>
          <w:sz w:val="28"/>
          <w:szCs w:val="28"/>
          <w:highlight w:val="none"/>
        </w:rPr>
        <w:t>扰乱实物交割的正常秩序的</w:t>
      </w:r>
      <w:r>
        <w:rPr>
          <w:rFonts w:ascii="宋体" w:hAnsi="宋体" w:eastAsia="宋体"/>
          <w:sz w:val="28"/>
          <w:szCs w:val="28"/>
          <w:highlight w:val="none"/>
        </w:rPr>
        <w:t xml:space="preserve">, </w:t>
      </w:r>
      <w:r>
        <w:rPr>
          <w:rFonts w:hint="eastAsia" w:ascii="宋体" w:hAnsi="宋体" w:eastAsia="宋体"/>
          <w:sz w:val="28"/>
          <w:szCs w:val="28"/>
          <w:highlight w:val="none"/>
        </w:rPr>
        <w:t>交易所可以根据情节轻重给予警告、通报批评、公开谴责、暂停开仓交易</w:t>
      </w:r>
      <w:r>
        <w:rPr>
          <w:rFonts w:ascii="宋体" w:hAnsi="宋体" w:eastAsia="宋体"/>
          <w:sz w:val="28"/>
          <w:szCs w:val="28"/>
          <w:highlight w:val="none"/>
        </w:rPr>
        <w:t>12个月以下</w:t>
      </w:r>
      <w:r>
        <w:rPr>
          <w:rFonts w:hint="eastAsia" w:ascii="宋体" w:hAnsi="宋体" w:eastAsia="宋体"/>
          <w:sz w:val="28"/>
          <w:szCs w:val="28"/>
          <w:highlight w:val="none"/>
        </w:rPr>
        <w:t>、</w:t>
      </w:r>
      <w:r>
        <w:rPr>
          <w:rFonts w:ascii="宋体" w:hAnsi="宋体" w:eastAsia="宋体"/>
          <w:sz w:val="28"/>
          <w:szCs w:val="28"/>
          <w:highlight w:val="none"/>
        </w:rPr>
        <w:t xml:space="preserve">暂停部分期货或者期权业务的纪律处分, </w:t>
      </w:r>
      <w:r>
        <w:rPr>
          <w:rFonts w:hint="eastAsia" w:ascii="宋体" w:hAnsi="宋体" w:eastAsia="宋体"/>
          <w:sz w:val="28"/>
          <w:szCs w:val="28"/>
          <w:highlight w:val="none"/>
        </w:rPr>
        <w:t>可以并处5</w:t>
      </w:r>
      <w:r>
        <w:rPr>
          <w:rFonts w:ascii="宋体" w:hAnsi="宋体" w:eastAsia="宋体"/>
          <w:sz w:val="28"/>
          <w:szCs w:val="28"/>
          <w:highlight w:val="none"/>
        </w:rPr>
        <w:t>0万元以下</w:t>
      </w:r>
      <w:r>
        <w:rPr>
          <w:rFonts w:hint="eastAsia" w:ascii="宋体" w:hAnsi="宋体" w:eastAsia="宋体"/>
          <w:sz w:val="28"/>
          <w:szCs w:val="28"/>
          <w:highlight w:val="none"/>
        </w:rPr>
        <w:t>的罚款。</w:t>
      </w:r>
    </w:p>
    <w:bookmarkEnd w:id="104"/>
    <w:bookmarkEnd w:id="105"/>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第三十</w:t>
      </w:r>
      <w:r>
        <w:rPr>
          <w:rFonts w:hint="eastAsia" w:ascii="黑体" w:hAnsi="黑体" w:eastAsia="黑体"/>
          <w:sz w:val="28"/>
          <w:szCs w:val="28"/>
          <w:highlight w:val="none"/>
          <w:lang w:eastAsia="zh-CN"/>
        </w:rPr>
        <w:t>八</w:t>
      </w:r>
      <w:r>
        <w:rPr>
          <w:rFonts w:hint="eastAsia" w:ascii="黑体" w:hAnsi="黑体" w:eastAsia="黑体"/>
          <w:sz w:val="28"/>
          <w:szCs w:val="28"/>
          <w:highlight w:val="none"/>
        </w:rPr>
        <w:t xml:space="preserve">条 </w:t>
      </w:r>
      <w:r>
        <w:rPr>
          <w:rFonts w:hint="eastAsia" w:ascii="宋体" w:hAnsi="宋体" w:eastAsia="宋体"/>
          <w:sz w:val="28"/>
          <w:szCs w:val="28"/>
          <w:highlight w:val="none"/>
        </w:rPr>
        <w:t>指定检验机构具有下列行为之一的，责令改正，交易所可以根据情节轻重给予警告、通报批评、公开谴责、暂停指定检验业务、取消指定检验机构资格的纪律处分，可以并处50万元以下的罚款</w:t>
      </w:r>
      <w:r>
        <w:rPr>
          <w:rFonts w:ascii="宋体" w:hAnsi="宋体" w:eastAsia="宋体"/>
          <w:sz w:val="28"/>
          <w:szCs w:val="28"/>
          <w:highlight w:val="none"/>
        </w:rPr>
        <w:t>：</w:t>
      </w:r>
      <w:r>
        <w:rPr>
          <w:rFonts w:ascii="宋体" w:hAnsi="宋体" w:eastAsia="宋体"/>
          <w:sz w:val="28"/>
          <w:szCs w:val="28"/>
          <w:highlight w:val="none"/>
        </w:rPr>
        <w:br w:type="textWrapping"/>
      </w:r>
      <w:r>
        <w:rPr>
          <w:rFonts w:hint="eastAsia" w:ascii="宋体" w:hAnsi="宋体" w:eastAsia="宋体"/>
          <w:sz w:val="28"/>
          <w:szCs w:val="28"/>
          <w:highlight w:val="none"/>
        </w:rPr>
        <w:t xml:space="preserve">    （一）违反有关规定计量检验的；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（二）出具、协助出具虚假检验报告的；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（三）无正当理由拒不配合交割仓库或者货主及时进行检验，影响正常入出库的；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（四）违反交易所有关指定检验机构管理规定的其他行为。</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第三十</w:t>
      </w:r>
      <w:r>
        <w:rPr>
          <w:rFonts w:hint="eastAsia" w:ascii="黑体" w:hAnsi="黑体" w:eastAsia="黑体"/>
          <w:sz w:val="28"/>
          <w:szCs w:val="28"/>
          <w:highlight w:val="none"/>
          <w:lang w:eastAsia="zh-CN"/>
        </w:rPr>
        <w:t>九</w:t>
      </w:r>
      <w:r>
        <w:rPr>
          <w:rFonts w:hint="eastAsia" w:ascii="黑体" w:hAnsi="黑体" w:eastAsia="黑体"/>
          <w:sz w:val="28"/>
          <w:szCs w:val="28"/>
          <w:highlight w:val="none"/>
        </w:rPr>
        <w:t xml:space="preserve">条 </w:t>
      </w:r>
      <w:r>
        <w:rPr>
          <w:rFonts w:hint="eastAsia" w:ascii="宋体" w:hAnsi="宋体" w:eastAsia="宋体"/>
          <w:sz w:val="28"/>
          <w:szCs w:val="28"/>
          <w:highlight w:val="none"/>
        </w:rPr>
        <w:t>存管银行未履行《郑州商品交易所期货结算管理办法》《郑州商品交易所指定存管银行管理办法》等业务规则中存管银行相关义务的，责令改正，交易所可以根据情节轻重给予警告、通报批评、公开谴责、暂停部分存管业务、取消存管银行资格的纪律处分，可以并处50万元以下的罚款。</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w:t>
      </w:r>
      <w:r>
        <w:rPr>
          <w:rFonts w:hint="eastAsia" w:ascii="黑体" w:hAnsi="黑体" w:eastAsia="黑体"/>
          <w:sz w:val="28"/>
          <w:szCs w:val="28"/>
          <w:highlight w:val="none"/>
          <w:lang w:eastAsia="zh-CN"/>
        </w:rPr>
        <w:t>四十</w:t>
      </w:r>
      <w:r>
        <w:rPr>
          <w:rFonts w:hint="eastAsia" w:ascii="黑体" w:hAnsi="黑体" w:eastAsia="黑体"/>
          <w:sz w:val="28"/>
          <w:szCs w:val="28"/>
          <w:highlight w:val="none"/>
        </w:rPr>
        <w:t xml:space="preserve">条 </w:t>
      </w:r>
      <w:r>
        <w:rPr>
          <w:rFonts w:hint="eastAsia" w:ascii="宋体" w:hAnsi="宋体" w:eastAsia="宋体"/>
          <w:sz w:val="28"/>
          <w:szCs w:val="28"/>
          <w:highlight w:val="none"/>
        </w:rPr>
        <w:t>期货市场参与者以各种手段扰乱交易管理秩序的，</w:t>
      </w:r>
      <w:r>
        <w:rPr>
          <w:rFonts w:ascii="宋体" w:hAnsi="宋体" w:eastAsia="宋体"/>
          <w:sz w:val="28"/>
          <w:szCs w:val="28"/>
          <w:highlight w:val="none"/>
        </w:rPr>
        <w:t xml:space="preserve"> </w:t>
      </w:r>
      <w:r>
        <w:rPr>
          <w:rFonts w:hint="eastAsia" w:ascii="宋体" w:hAnsi="宋体" w:eastAsia="宋体"/>
          <w:sz w:val="28"/>
          <w:szCs w:val="28"/>
          <w:highlight w:val="none"/>
        </w:rPr>
        <w:t>责令改正，交易所可以根据情节轻重给予警告、通报批评、公开谴责、暂停开仓交易</w:t>
      </w:r>
      <w:r>
        <w:rPr>
          <w:rFonts w:ascii="宋体" w:hAnsi="宋体" w:eastAsia="宋体"/>
          <w:sz w:val="28"/>
          <w:szCs w:val="28"/>
          <w:highlight w:val="none"/>
        </w:rPr>
        <w:t>12个月以下、</w:t>
      </w:r>
      <w:r>
        <w:rPr>
          <w:rFonts w:hint="eastAsia" w:ascii="宋体" w:hAnsi="宋体" w:eastAsia="宋体"/>
          <w:sz w:val="28"/>
          <w:szCs w:val="28"/>
          <w:highlight w:val="none"/>
        </w:rPr>
        <w:t>暂停部分期货</w:t>
      </w:r>
      <w:r>
        <w:rPr>
          <w:rFonts w:ascii="宋体" w:hAnsi="宋体" w:eastAsia="宋体"/>
          <w:sz w:val="28"/>
          <w:szCs w:val="28"/>
          <w:highlight w:val="none"/>
        </w:rPr>
        <w:t>或者期权</w:t>
      </w:r>
      <w:r>
        <w:rPr>
          <w:rFonts w:hint="eastAsia" w:ascii="宋体" w:hAnsi="宋体" w:eastAsia="宋体"/>
          <w:sz w:val="28"/>
          <w:szCs w:val="28"/>
          <w:highlight w:val="none"/>
        </w:rPr>
        <w:t>业务、取消相应资格、宣布为“市场禁止进入者”的纪律处分，可以并处5</w:t>
      </w:r>
      <w:r>
        <w:rPr>
          <w:rFonts w:ascii="宋体" w:hAnsi="宋体" w:eastAsia="宋体"/>
          <w:sz w:val="28"/>
          <w:szCs w:val="28"/>
          <w:highlight w:val="none"/>
        </w:rPr>
        <w:t>0万元</w:t>
      </w:r>
      <w:r>
        <w:rPr>
          <w:rFonts w:hint="eastAsia" w:ascii="宋体" w:hAnsi="宋体" w:eastAsia="宋体"/>
          <w:sz w:val="28"/>
          <w:szCs w:val="28"/>
          <w:highlight w:val="none"/>
        </w:rPr>
        <w:t>以下的</w:t>
      </w:r>
      <w:r>
        <w:rPr>
          <w:rFonts w:ascii="宋体" w:hAnsi="宋体" w:eastAsia="宋体"/>
          <w:sz w:val="28"/>
          <w:szCs w:val="28"/>
          <w:highlight w:val="none"/>
        </w:rPr>
        <w:t>罚款</w:t>
      </w:r>
      <w:r>
        <w:rPr>
          <w:rFonts w:hint="eastAsia" w:ascii="宋体" w:hAnsi="宋体" w:eastAsia="宋体"/>
          <w:sz w:val="28"/>
          <w:szCs w:val="28"/>
          <w:highlight w:val="none"/>
        </w:rPr>
        <w:t>。</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第四十</w:t>
      </w:r>
      <w:r>
        <w:rPr>
          <w:rFonts w:hint="eastAsia" w:ascii="黑体" w:hAnsi="黑体" w:eastAsia="黑体"/>
          <w:sz w:val="28"/>
          <w:szCs w:val="28"/>
          <w:highlight w:val="none"/>
          <w:lang w:eastAsia="zh-CN"/>
        </w:rPr>
        <w:t>一</w:t>
      </w:r>
      <w:r>
        <w:rPr>
          <w:rFonts w:hint="eastAsia" w:ascii="黑体" w:hAnsi="黑体" w:eastAsia="黑体"/>
          <w:sz w:val="28"/>
          <w:szCs w:val="28"/>
          <w:highlight w:val="none"/>
        </w:rPr>
        <w:t xml:space="preserve">条 </w:t>
      </w:r>
      <w:r>
        <w:rPr>
          <w:rFonts w:hint="eastAsia" w:ascii="宋体" w:hAnsi="宋体" w:eastAsia="宋体"/>
          <w:sz w:val="28"/>
          <w:szCs w:val="28"/>
          <w:highlight w:val="none"/>
        </w:rPr>
        <w:t>期货市场参与者具有下列行为之一的，责令改正，交易所可以根据情节轻重给予警告、通报批评、公开谴责、暂停开仓交易</w:t>
      </w:r>
      <w:r>
        <w:rPr>
          <w:rFonts w:ascii="宋体" w:hAnsi="宋体" w:eastAsia="宋体"/>
          <w:sz w:val="28"/>
          <w:szCs w:val="28"/>
          <w:highlight w:val="none"/>
        </w:rPr>
        <w:t>12个月以</w:t>
      </w:r>
      <w:r>
        <w:rPr>
          <w:rFonts w:hint="eastAsia" w:ascii="宋体" w:hAnsi="宋体" w:eastAsia="宋体"/>
          <w:sz w:val="28"/>
          <w:szCs w:val="28"/>
          <w:highlight w:val="none"/>
        </w:rPr>
        <w:t>下、暂停部分期货</w:t>
      </w:r>
      <w:r>
        <w:rPr>
          <w:rFonts w:ascii="宋体" w:hAnsi="宋体" w:eastAsia="宋体"/>
          <w:sz w:val="28"/>
          <w:szCs w:val="28"/>
          <w:highlight w:val="none"/>
        </w:rPr>
        <w:t>或者期权</w:t>
      </w:r>
      <w:r>
        <w:rPr>
          <w:rFonts w:hint="eastAsia" w:ascii="宋体" w:hAnsi="宋体" w:eastAsia="宋体"/>
          <w:sz w:val="28"/>
          <w:szCs w:val="28"/>
          <w:highlight w:val="none"/>
        </w:rPr>
        <w:t>业务、取消相应资格、宣布为“市场禁止进入者”的纪律处分</w:t>
      </w:r>
      <w:r>
        <w:rPr>
          <w:rFonts w:ascii="宋体" w:hAnsi="宋体" w:eastAsia="宋体"/>
          <w:sz w:val="28"/>
          <w:szCs w:val="28"/>
          <w:highlight w:val="none"/>
        </w:rPr>
        <w:t xml:space="preserve">, </w:t>
      </w:r>
      <w:r>
        <w:rPr>
          <w:rFonts w:hint="eastAsia" w:ascii="宋体" w:hAnsi="宋体" w:eastAsia="宋体"/>
          <w:sz w:val="28"/>
          <w:szCs w:val="28"/>
          <w:highlight w:val="none"/>
        </w:rPr>
        <w:t>可以并处</w:t>
      </w:r>
      <w:r>
        <w:rPr>
          <w:rFonts w:ascii="宋体" w:hAnsi="宋体" w:eastAsia="宋体"/>
          <w:sz w:val="28"/>
          <w:szCs w:val="28"/>
          <w:highlight w:val="none"/>
        </w:rPr>
        <w:t>50万元</w:t>
      </w:r>
      <w:r>
        <w:rPr>
          <w:rFonts w:hint="eastAsia" w:ascii="宋体" w:hAnsi="宋体" w:eastAsia="宋体"/>
          <w:sz w:val="28"/>
          <w:szCs w:val="28"/>
          <w:highlight w:val="none"/>
        </w:rPr>
        <w:t>以下的罚款：</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（一）拒绝、阻碍、拖延等不配合交易所检查、调查，或者违反保密义务的；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（二）无正当理由未按交易所要求的时间、方式接受调查、检查、约谈的；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（三）进行虚假性、误导性或者遗漏重要事实的申报、陈述、解释或者说明，或者提供虚假的文件、资料或者信息的；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（四）不执行交易所纪律处分决定、限制性措施或者其他自律管理措施的；</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宋体" w:hAnsi="宋体" w:eastAsia="宋体"/>
          <w:sz w:val="28"/>
          <w:szCs w:val="28"/>
          <w:highlight w:val="none"/>
        </w:rPr>
        <w:t>（五）未遵守交易所风险警示制度有关规定或者整改要求的。</w:t>
      </w:r>
    </w:p>
    <w:p>
      <w:pPr>
        <w:pStyle w:val="15"/>
        <w:keepNext w:val="0"/>
        <w:keepLines w:val="0"/>
        <w:pageBreakBefore w:val="0"/>
        <w:numPr>
          <w:ilvl w:val="0"/>
          <w:numId w:val="21"/>
        </w:numPr>
        <w:kinsoku/>
        <w:wordWrap/>
        <w:overflowPunct/>
        <w:topLinePunct w:val="0"/>
        <w:autoSpaceDE/>
        <w:autoSpaceDN/>
        <w:bidi w:val="0"/>
        <w:adjustRightInd/>
        <w:snapToGrid/>
        <w:spacing w:line="360" w:lineRule="auto"/>
        <w:ind w:firstLineChars="0"/>
        <w:jc w:val="center"/>
        <w:textAlignment w:val="auto"/>
        <w:rPr>
          <w:rFonts w:ascii="黑体" w:hAnsi="黑体" w:eastAsia="黑体" w:cs="Calibri"/>
          <w:sz w:val="32"/>
          <w:szCs w:val="32"/>
          <w:highlight w:val="none"/>
        </w:rPr>
      </w:pPr>
      <w:r>
        <w:rPr>
          <w:rFonts w:hint="eastAsia" w:ascii="黑体" w:hAnsi="黑体" w:eastAsia="黑体" w:cs="Calibri"/>
          <w:sz w:val="32"/>
          <w:szCs w:val="32"/>
          <w:highlight w:val="none"/>
        </w:rPr>
        <w:t>裁决与执行</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548" w:firstLineChars="196"/>
        <w:textAlignment w:val="auto"/>
        <w:rPr>
          <w:sz w:val="28"/>
          <w:szCs w:val="28"/>
          <w:highlight w:val="none"/>
        </w:rPr>
      </w:pPr>
      <w:r>
        <w:rPr>
          <w:rFonts w:hint="eastAsia" w:ascii="黑体" w:hAnsi="黑体" w:eastAsia="黑体" w:cs="Times New Roman"/>
          <w:kern w:val="2"/>
          <w:sz w:val="28"/>
          <w:szCs w:val="28"/>
          <w:highlight w:val="none"/>
        </w:rPr>
        <w:t>第四十</w:t>
      </w:r>
      <w:r>
        <w:rPr>
          <w:rFonts w:hint="eastAsia" w:ascii="黑体" w:hAnsi="黑体" w:eastAsia="黑体" w:cs="Times New Roman"/>
          <w:kern w:val="2"/>
          <w:sz w:val="28"/>
          <w:szCs w:val="28"/>
          <w:highlight w:val="none"/>
          <w:lang w:eastAsia="zh-CN"/>
        </w:rPr>
        <w:t>二</w:t>
      </w:r>
      <w:r>
        <w:rPr>
          <w:rFonts w:hint="eastAsia" w:ascii="黑体" w:hAnsi="黑体" w:eastAsia="黑体" w:cs="Times New Roman"/>
          <w:kern w:val="2"/>
          <w:sz w:val="28"/>
          <w:szCs w:val="28"/>
          <w:highlight w:val="none"/>
        </w:rPr>
        <w:t xml:space="preserve">条 </w:t>
      </w:r>
      <w:r>
        <w:rPr>
          <w:rFonts w:hint="eastAsia"/>
          <w:sz w:val="28"/>
          <w:szCs w:val="28"/>
          <w:highlight w:val="none"/>
        </w:rPr>
        <w:t>交易所对违规行为核查后，事实清楚、证据确凿的，依照交易所章程、交易规则以及本办法规定予以裁决，对实施违规行为的期货市场参与者进行纪律处分或者采取其他自律管理措施。</w:t>
      </w:r>
    </w:p>
    <w:p>
      <w:pPr>
        <w:pStyle w:val="7"/>
        <w:shd w:val="clear" w:color="auto" w:fill="FFFFFF"/>
        <w:spacing w:before="0" w:beforeAutospacing="0" w:after="0" w:afterAutospacing="0" w:line="360" w:lineRule="auto"/>
        <w:ind w:left="0" w:leftChars="0" w:firstLine="548" w:firstLineChars="196"/>
        <w:rPr>
          <w:sz w:val="28"/>
          <w:szCs w:val="28"/>
          <w:highlight w:val="none"/>
        </w:rPr>
      </w:pPr>
      <w:r>
        <w:rPr>
          <w:rFonts w:hint="eastAsia"/>
          <w:sz w:val="28"/>
          <w:szCs w:val="28"/>
          <w:highlight w:val="none"/>
        </w:rPr>
        <w:t>纪律处分由交易所作出决定并实施，其他自律管理措施由交易所或者交易所指定部门作出决定并实施。</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第四十</w:t>
      </w:r>
      <w:r>
        <w:rPr>
          <w:rFonts w:hint="eastAsia" w:ascii="黑体" w:hAnsi="黑体" w:eastAsia="黑体"/>
          <w:sz w:val="28"/>
          <w:szCs w:val="28"/>
          <w:highlight w:val="none"/>
          <w:lang w:eastAsia="zh-CN"/>
        </w:rPr>
        <w:t>三</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交易所设立纪律处分审理机构，对拟进行纪律处分的违规案件进行审理。</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第四十</w:t>
      </w:r>
      <w:r>
        <w:rPr>
          <w:rFonts w:hint="eastAsia" w:ascii="黑体" w:hAnsi="黑体" w:eastAsia="黑体"/>
          <w:sz w:val="28"/>
          <w:szCs w:val="28"/>
          <w:highlight w:val="none"/>
          <w:lang w:eastAsia="zh-CN"/>
        </w:rPr>
        <w:t>四</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交易所实行纪律处分听证制度。符合听证条件的当事人，交易所应当告知其有权申请纪律处分听证。当事人按照规定申请听证的，交易所应当组织召开听证会议。</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可以申请纪律处分听证的情形及听证具体规则由交易所另行规定。</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第四十</w:t>
      </w:r>
      <w:r>
        <w:rPr>
          <w:rFonts w:hint="eastAsia" w:ascii="黑体" w:hAnsi="黑体" w:eastAsia="黑体"/>
          <w:sz w:val="28"/>
          <w:szCs w:val="28"/>
          <w:highlight w:val="none"/>
          <w:lang w:eastAsia="zh-CN"/>
        </w:rPr>
        <w:t>五</w:t>
      </w:r>
      <w:r>
        <w:rPr>
          <w:rFonts w:hint="eastAsia" w:ascii="黑体" w:hAnsi="黑体" w:eastAsia="黑体"/>
          <w:sz w:val="28"/>
          <w:szCs w:val="28"/>
          <w:highlight w:val="none"/>
        </w:rPr>
        <w:t xml:space="preserve">条 </w:t>
      </w:r>
      <w:r>
        <w:rPr>
          <w:rFonts w:hint="eastAsia" w:ascii="宋体" w:hAnsi="宋体" w:eastAsia="宋体"/>
          <w:sz w:val="28"/>
          <w:szCs w:val="28"/>
          <w:highlight w:val="none"/>
        </w:rPr>
        <w:t>交易所作出取消会员资格、取消境外特殊参与者资格、宣布为“市场禁止进入者”的纪律处分应当由交易所理事会决定。</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第四十</w:t>
      </w:r>
      <w:r>
        <w:rPr>
          <w:rFonts w:hint="eastAsia" w:ascii="黑体" w:hAnsi="黑体" w:eastAsia="黑体"/>
          <w:sz w:val="28"/>
          <w:szCs w:val="28"/>
          <w:highlight w:val="none"/>
          <w:lang w:eastAsia="zh-CN"/>
        </w:rPr>
        <w:t>六</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交易所作出</w:t>
      </w:r>
      <w:r>
        <w:rPr>
          <w:rFonts w:hint="eastAsia" w:ascii="宋体" w:hAnsi="宋体" w:eastAsia="宋体"/>
          <w:bCs/>
          <w:sz w:val="28"/>
          <w:szCs w:val="28"/>
          <w:highlight w:val="none"/>
        </w:rPr>
        <w:t>纪律处分</w:t>
      </w:r>
      <w:r>
        <w:rPr>
          <w:rFonts w:hint="eastAsia" w:ascii="宋体" w:hAnsi="宋体" w:eastAsia="宋体"/>
          <w:sz w:val="28"/>
          <w:szCs w:val="28"/>
          <w:highlight w:val="none"/>
        </w:rPr>
        <w:t>裁决应当制作纪律处分决定书。</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纪律处分决定书主要包括以下内容：</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（一）当事人的姓名或者名称、住所；</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（二）违规事实和证据；</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（三）纪律处分种类和依据；</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（四）纪律处分的履行方式和期限；</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（五）不服纪律处分决定申请复核途径和期限；</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（六）作出纪律处分决定的日期。</w:t>
      </w:r>
    </w:p>
    <w:p>
      <w:pPr>
        <w:spacing w:line="360" w:lineRule="auto"/>
        <w:ind w:firstLine="560" w:firstLineChars="200"/>
        <w:rPr>
          <w:rFonts w:ascii="宋体" w:hAnsi="宋体" w:eastAsia="宋体"/>
          <w:dstrike/>
          <w:sz w:val="28"/>
          <w:szCs w:val="28"/>
          <w:highlight w:val="none"/>
        </w:rPr>
      </w:pPr>
      <w:r>
        <w:rPr>
          <w:rFonts w:hint="eastAsia" w:ascii="黑体" w:hAnsi="黑体" w:eastAsia="黑体"/>
          <w:sz w:val="28"/>
          <w:szCs w:val="28"/>
          <w:highlight w:val="none"/>
        </w:rPr>
        <w:t>第四十</w:t>
      </w:r>
      <w:r>
        <w:rPr>
          <w:rFonts w:hint="eastAsia" w:ascii="黑体" w:hAnsi="黑体" w:eastAsia="黑体"/>
          <w:sz w:val="28"/>
          <w:szCs w:val="28"/>
          <w:highlight w:val="none"/>
          <w:lang w:eastAsia="zh-CN"/>
        </w:rPr>
        <w:t>七</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交易所应当将纪律处分决定书送达当事人，并抄报中国证监会。交易所可以直接或者委托其他机构送达纪律处分决定书，送达方式包括邮寄送达、数据电文送达和公告送达。</w:t>
      </w:r>
    </w:p>
    <w:p>
      <w:pPr>
        <w:spacing w:line="360" w:lineRule="auto"/>
        <w:ind w:firstLine="560" w:firstLineChars="200"/>
        <w:rPr>
          <w:rFonts w:ascii="宋体" w:hAnsi="宋体" w:eastAsia="宋体"/>
          <w:sz w:val="28"/>
          <w:szCs w:val="28"/>
          <w:highlight w:val="none"/>
          <w:shd w:val="pct10" w:color="auto" w:fill="FFFFFF"/>
        </w:rPr>
      </w:pPr>
      <w:r>
        <w:rPr>
          <w:rFonts w:hint="eastAsia" w:ascii="宋体" w:hAnsi="宋体" w:eastAsia="宋体"/>
          <w:sz w:val="28"/>
          <w:szCs w:val="28"/>
          <w:highlight w:val="none"/>
        </w:rPr>
        <w:t>以邮寄方式送达的，自邮件寄出之日起，境内</w:t>
      </w:r>
      <w:r>
        <w:rPr>
          <w:rFonts w:ascii="宋体" w:hAnsi="宋体" w:eastAsia="宋体"/>
          <w:sz w:val="28"/>
          <w:szCs w:val="28"/>
          <w:highlight w:val="none"/>
        </w:rPr>
        <w:t>5个</w:t>
      </w:r>
      <w:r>
        <w:rPr>
          <w:rFonts w:hint="eastAsia" w:ascii="宋体" w:hAnsi="宋体" w:eastAsia="宋体"/>
          <w:sz w:val="28"/>
          <w:szCs w:val="28"/>
          <w:highlight w:val="none"/>
        </w:rPr>
        <w:t>交易日</w:t>
      </w:r>
      <w:r>
        <w:rPr>
          <w:rFonts w:ascii="宋体" w:hAnsi="宋体" w:eastAsia="宋体"/>
          <w:sz w:val="28"/>
          <w:szCs w:val="28"/>
          <w:highlight w:val="none"/>
        </w:rPr>
        <w:t>、境外10个</w:t>
      </w:r>
      <w:r>
        <w:rPr>
          <w:rFonts w:hint="eastAsia" w:ascii="宋体" w:hAnsi="宋体" w:eastAsia="宋体"/>
          <w:sz w:val="28"/>
          <w:szCs w:val="28"/>
          <w:highlight w:val="none"/>
        </w:rPr>
        <w:t>交易</w:t>
      </w:r>
      <w:r>
        <w:rPr>
          <w:rFonts w:ascii="宋体" w:hAnsi="宋体" w:eastAsia="宋体"/>
          <w:sz w:val="28"/>
          <w:szCs w:val="28"/>
          <w:highlight w:val="none"/>
        </w:rPr>
        <w:t>日</w:t>
      </w:r>
      <w:r>
        <w:rPr>
          <w:rFonts w:hint="eastAsia" w:ascii="宋体" w:hAnsi="宋体" w:eastAsia="宋体"/>
          <w:sz w:val="28"/>
          <w:szCs w:val="28"/>
          <w:highlight w:val="none"/>
        </w:rPr>
        <w:t>即</w:t>
      </w:r>
      <w:r>
        <w:rPr>
          <w:rFonts w:ascii="宋体" w:hAnsi="宋体" w:eastAsia="宋体"/>
          <w:sz w:val="28"/>
          <w:szCs w:val="28"/>
          <w:highlight w:val="none"/>
        </w:rPr>
        <w:t>视为送达</w:t>
      </w:r>
      <w:r>
        <w:rPr>
          <w:rFonts w:hint="eastAsia" w:ascii="宋体" w:hAnsi="宋体" w:eastAsia="宋体"/>
          <w:sz w:val="28"/>
          <w:szCs w:val="28"/>
          <w:highlight w:val="none"/>
        </w:rPr>
        <w:t>。以数据电文方式送达的，该数据电文进入当事人的特定系统即视为送达。</w:t>
      </w:r>
    </w:p>
    <w:p>
      <w:pPr>
        <w:spacing w:line="360" w:lineRule="auto"/>
        <w:ind w:firstLine="551" w:firstLineChars="197"/>
        <w:rPr>
          <w:rFonts w:ascii="宋体" w:hAnsi="宋体" w:eastAsia="宋体"/>
          <w:sz w:val="28"/>
          <w:szCs w:val="28"/>
          <w:highlight w:val="none"/>
        </w:rPr>
      </w:pPr>
      <w:r>
        <w:rPr>
          <w:rFonts w:hint="eastAsia" w:ascii="宋体" w:hAnsi="宋体" w:eastAsia="宋体"/>
          <w:sz w:val="28"/>
          <w:szCs w:val="28"/>
          <w:highlight w:val="none"/>
        </w:rPr>
        <w:t>当事人下落不明、躲避或者规避送达、通过其他方式无法送达的，交易所可以在本所网站发布公告，自公告之日起满</w:t>
      </w:r>
      <w:r>
        <w:rPr>
          <w:rFonts w:ascii="宋体" w:hAnsi="宋体" w:eastAsia="宋体"/>
          <w:sz w:val="28"/>
          <w:szCs w:val="28"/>
          <w:highlight w:val="none"/>
        </w:rPr>
        <w:t>10</w:t>
      </w:r>
      <w:r>
        <w:rPr>
          <w:rFonts w:hint="eastAsia" w:ascii="宋体" w:hAnsi="宋体" w:eastAsia="宋体"/>
          <w:sz w:val="28"/>
          <w:szCs w:val="28"/>
          <w:highlight w:val="none"/>
        </w:rPr>
        <w:t>个交易日即视为送达。</w:t>
      </w:r>
    </w:p>
    <w:p>
      <w:pPr>
        <w:spacing w:line="360" w:lineRule="auto"/>
        <w:ind w:firstLine="551" w:firstLineChars="197"/>
        <w:rPr>
          <w:rFonts w:ascii="宋体" w:hAnsi="宋体" w:eastAsia="宋体"/>
          <w:sz w:val="28"/>
          <w:szCs w:val="28"/>
          <w:highlight w:val="none"/>
        </w:rPr>
      </w:pPr>
      <w:r>
        <w:rPr>
          <w:rFonts w:hint="eastAsia" w:ascii="宋体" w:hAnsi="宋体" w:eastAsia="宋体"/>
          <w:sz w:val="28"/>
          <w:szCs w:val="28"/>
          <w:highlight w:val="none"/>
        </w:rPr>
        <w:t>通过两种以上方式送达的，以最先送达之日为送达日期。</w:t>
      </w:r>
    </w:p>
    <w:p>
      <w:pPr>
        <w:spacing w:line="360" w:lineRule="auto"/>
        <w:ind w:firstLine="551" w:firstLineChars="197"/>
        <w:rPr>
          <w:rFonts w:ascii="宋体" w:hAnsi="宋体" w:eastAsia="宋体"/>
          <w:sz w:val="28"/>
          <w:szCs w:val="28"/>
          <w:highlight w:val="none"/>
        </w:rPr>
      </w:pPr>
      <w:r>
        <w:rPr>
          <w:rFonts w:hint="eastAsia" w:ascii="宋体" w:hAnsi="宋体" w:eastAsia="宋体"/>
          <w:sz w:val="28"/>
          <w:szCs w:val="28"/>
          <w:highlight w:val="none"/>
        </w:rPr>
        <w:t>当事人的邮寄地址、传真号码、电话号码、电子邮箱等联系方式以期货市场统一开户系统留存为准。当事人留存联系方式不准确或者信息变更未书面告知交易所的，应当承担无法接收纪律处分决定书的相应后果。</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交易所有关违规调查处理的文书、通知、材料等，可以参照前款规定进行送达。</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第四十</w:t>
      </w:r>
      <w:r>
        <w:rPr>
          <w:rFonts w:hint="eastAsia" w:ascii="黑体" w:hAnsi="黑体" w:eastAsia="黑体"/>
          <w:sz w:val="28"/>
          <w:szCs w:val="28"/>
          <w:highlight w:val="none"/>
          <w:lang w:eastAsia="zh-CN"/>
        </w:rPr>
        <w:t>八</w:t>
      </w:r>
      <w:r>
        <w:rPr>
          <w:rFonts w:hint="eastAsia" w:ascii="黑体" w:hAnsi="黑体" w:eastAsia="黑体"/>
          <w:sz w:val="28"/>
          <w:szCs w:val="28"/>
          <w:highlight w:val="none"/>
        </w:rPr>
        <w:t xml:space="preserve">条 </w:t>
      </w:r>
      <w:r>
        <w:rPr>
          <w:rFonts w:hint="eastAsia" w:ascii="宋体" w:hAnsi="宋体" w:eastAsia="宋体"/>
          <w:sz w:val="28"/>
          <w:szCs w:val="28"/>
          <w:highlight w:val="none"/>
        </w:rPr>
        <w:t>交易所作出的纪律处分决定书自送达之日起生效。</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当事人对纪律处分决定书不服的，可以于决定书生效之日起</w:t>
      </w:r>
      <w:r>
        <w:rPr>
          <w:rFonts w:ascii="宋体" w:hAnsi="宋体" w:eastAsia="宋体"/>
          <w:sz w:val="28"/>
          <w:szCs w:val="28"/>
          <w:highlight w:val="none"/>
        </w:rPr>
        <w:t>10个</w:t>
      </w:r>
      <w:r>
        <w:rPr>
          <w:rFonts w:hint="eastAsia" w:ascii="宋体" w:hAnsi="宋体" w:eastAsia="宋体"/>
          <w:sz w:val="28"/>
          <w:szCs w:val="28"/>
          <w:highlight w:val="none"/>
        </w:rPr>
        <w:t>交易</w:t>
      </w:r>
      <w:r>
        <w:rPr>
          <w:rFonts w:ascii="宋体" w:hAnsi="宋体" w:eastAsia="宋体"/>
          <w:sz w:val="28"/>
          <w:szCs w:val="28"/>
          <w:highlight w:val="none"/>
        </w:rPr>
        <w:t>日内向交易所书面申请复核一次。复核期间不停止决定的执行。</w:t>
      </w:r>
    </w:p>
    <w:p>
      <w:pPr>
        <w:spacing w:line="360" w:lineRule="auto"/>
        <w:ind w:firstLine="560" w:firstLineChars="200"/>
        <w:rPr>
          <w:rFonts w:ascii="宋体" w:hAnsi="宋体" w:eastAsia="宋体"/>
          <w:color w:val="333333"/>
          <w:sz w:val="28"/>
          <w:szCs w:val="28"/>
          <w:highlight w:val="none"/>
        </w:rPr>
      </w:pPr>
      <w:r>
        <w:rPr>
          <w:rFonts w:hint="eastAsia" w:ascii="黑体" w:hAnsi="黑体" w:eastAsia="黑体"/>
          <w:sz w:val="28"/>
          <w:szCs w:val="28"/>
          <w:highlight w:val="none"/>
        </w:rPr>
        <w:t>第四十</w:t>
      </w:r>
      <w:r>
        <w:rPr>
          <w:rFonts w:hint="eastAsia" w:ascii="黑体" w:hAnsi="黑体" w:eastAsia="黑体"/>
          <w:sz w:val="28"/>
          <w:szCs w:val="28"/>
          <w:highlight w:val="none"/>
          <w:lang w:eastAsia="zh-CN"/>
        </w:rPr>
        <w:t>九</w:t>
      </w:r>
      <w:r>
        <w:rPr>
          <w:rFonts w:hint="eastAsia" w:ascii="黑体" w:hAnsi="黑体" w:eastAsia="黑体"/>
          <w:sz w:val="28"/>
          <w:szCs w:val="28"/>
          <w:highlight w:val="none"/>
        </w:rPr>
        <w:t xml:space="preserve">条 </w:t>
      </w:r>
      <w:r>
        <w:rPr>
          <w:rFonts w:hint="eastAsia" w:ascii="宋体" w:hAnsi="宋体" w:eastAsia="宋体"/>
          <w:sz w:val="28"/>
          <w:szCs w:val="28"/>
          <w:highlight w:val="none"/>
        </w:rPr>
        <w:t>交易所应当于收到</w:t>
      </w:r>
      <w:r>
        <w:rPr>
          <w:rFonts w:ascii="宋体" w:hAnsi="宋体" w:eastAsia="宋体"/>
          <w:sz w:val="28"/>
          <w:szCs w:val="28"/>
          <w:highlight w:val="none"/>
        </w:rPr>
        <w:t>复核</w:t>
      </w:r>
      <w:r>
        <w:rPr>
          <w:rFonts w:hint="eastAsia" w:ascii="宋体" w:hAnsi="宋体" w:eastAsia="宋体"/>
          <w:sz w:val="28"/>
          <w:szCs w:val="28"/>
          <w:highlight w:val="none"/>
        </w:rPr>
        <w:t>申请书之日起两</w:t>
      </w:r>
      <w:r>
        <w:rPr>
          <w:rFonts w:ascii="宋体" w:hAnsi="宋体" w:eastAsia="宋体"/>
          <w:sz w:val="28"/>
          <w:szCs w:val="28"/>
          <w:highlight w:val="none"/>
        </w:rPr>
        <w:t>个月</w:t>
      </w:r>
      <w:r>
        <w:rPr>
          <w:rFonts w:hint="eastAsia" w:ascii="宋体" w:hAnsi="宋体" w:eastAsia="宋体"/>
          <w:sz w:val="28"/>
          <w:szCs w:val="28"/>
          <w:highlight w:val="none"/>
        </w:rPr>
        <w:t>内作出</w:t>
      </w:r>
      <w:r>
        <w:rPr>
          <w:rFonts w:ascii="宋体" w:hAnsi="宋体" w:eastAsia="宋体"/>
          <w:sz w:val="28"/>
          <w:szCs w:val="28"/>
          <w:highlight w:val="none"/>
        </w:rPr>
        <w:t>复核</w:t>
      </w:r>
      <w:r>
        <w:rPr>
          <w:rFonts w:hint="eastAsia" w:ascii="宋体" w:hAnsi="宋体" w:eastAsia="宋体"/>
          <w:sz w:val="28"/>
          <w:szCs w:val="28"/>
          <w:highlight w:val="none"/>
        </w:rPr>
        <w:t>决定，</w:t>
      </w:r>
      <w:r>
        <w:rPr>
          <w:rFonts w:ascii="宋体" w:hAnsi="宋体" w:eastAsia="宋体"/>
          <w:sz w:val="28"/>
          <w:szCs w:val="28"/>
          <w:highlight w:val="none"/>
        </w:rPr>
        <w:t>复核</w:t>
      </w:r>
      <w:r>
        <w:rPr>
          <w:rFonts w:hint="eastAsia" w:ascii="宋体" w:hAnsi="宋体" w:eastAsia="宋体"/>
          <w:sz w:val="28"/>
          <w:szCs w:val="28"/>
          <w:highlight w:val="none"/>
        </w:rPr>
        <w:t>决定为终局决定。</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w:t>
      </w:r>
      <w:r>
        <w:rPr>
          <w:rFonts w:hint="eastAsia" w:ascii="黑体" w:hAnsi="黑体" w:eastAsia="黑体"/>
          <w:sz w:val="28"/>
          <w:szCs w:val="28"/>
          <w:highlight w:val="none"/>
          <w:lang w:eastAsia="zh-CN"/>
        </w:rPr>
        <w:t>五十</w:t>
      </w:r>
      <w:r>
        <w:rPr>
          <w:rFonts w:hint="eastAsia" w:ascii="黑体" w:hAnsi="黑体" w:eastAsia="黑体"/>
          <w:sz w:val="28"/>
          <w:szCs w:val="28"/>
          <w:highlight w:val="none"/>
        </w:rPr>
        <w:t>条</w:t>
      </w:r>
      <w:r>
        <w:rPr>
          <w:rFonts w:hint="eastAsia" w:ascii="宋体" w:hAnsi="宋体" w:eastAsia="宋体"/>
          <w:sz w:val="28"/>
          <w:szCs w:val="28"/>
          <w:highlight w:val="none"/>
        </w:rPr>
        <w:t xml:space="preserve"> 期货市场参与者应当履行或者配合履行交易所纪律处分决定。期货市场参与者不履行或者不配合履行纪律处分决定相关义务的</w:t>
      </w:r>
      <w:r>
        <w:rPr>
          <w:rFonts w:ascii="宋体" w:hAnsi="宋体" w:eastAsia="宋体"/>
          <w:sz w:val="28"/>
          <w:szCs w:val="28"/>
          <w:highlight w:val="none"/>
        </w:rPr>
        <w:t>,</w:t>
      </w:r>
      <w:r>
        <w:rPr>
          <w:rFonts w:hint="eastAsia" w:ascii="宋体" w:hAnsi="宋体" w:eastAsia="宋体"/>
          <w:sz w:val="28"/>
          <w:szCs w:val="28"/>
          <w:highlight w:val="none"/>
        </w:rPr>
        <w:t>交易所可以强制执行。</w:t>
      </w:r>
    </w:p>
    <w:p>
      <w:pPr>
        <w:spacing w:line="360" w:lineRule="auto"/>
        <w:ind w:firstLine="560" w:firstLineChars="200"/>
        <w:rPr>
          <w:rFonts w:ascii="宋体" w:hAnsi="宋体" w:eastAsia="宋体"/>
          <w:dstrike/>
          <w:sz w:val="28"/>
          <w:szCs w:val="28"/>
          <w:highlight w:val="none"/>
        </w:rPr>
      </w:pPr>
      <w:r>
        <w:rPr>
          <w:rFonts w:hint="eastAsia" w:ascii="黑体" w:hAnsi="黑体" w:eastAsia="黑体"/>
          <w:sz w:val="28"/>
          <w:szCs w:val="28"/>
          <w:highlight w:val="none"/>
        </w:rPr>
        <w:t>第五十</w:t>
      </w:r>
      <w:r>
        <w:rPr>
          <w:rFonts w:hint="eastAsia" w:ascii="黑体" w:hAnsi="黑体" w:eastAsia="黑体"/>
          <w:sz w:val="28"/>
          <w:szCs w:val="28"/>
          <w:highlight w:val="none"/>
          <w:lang w:eastAsia="zh-CN"/>
        </w:rPr>
        <w:t>一</w:t>
      </w:r>
      <w:r>
        <w:rPr>
          <w:rFonts w:hint="eastAsia" w:ascii="黑体" w:hAnsi="黑体" w:eastAsia="黑体"/>
          <w:sz w:val="28"/>
          <w:szCs w:val="28"/>
          <w:highlight w:val="none"/>
        </w:rPr>
        <w:t>条</w:t>
      </w:r>
      <w:r>
        <w:rPr>
          <w:rFonts w:hint="eastAsia" w:ascii="宋体" w:hAnsi="宋体" w:eastAsia="宋体"/>
          <w:sz w:val="28"/>
          <w:szCs w:val="28"/>
          <w:highlight w:val="none"/>
        </w:rPr>
        <w:t xml:space="preserve"> 纪律处分决定中，</w:t>
      </w:r>
      <w:r>
        <w:rPr>
          <w:rFonts w:ascii="宋体" w:hAnsi="宋体" w:eastAsia="宋体"/>
          <w:sz w:val="28"/>
          <w:szCs w:val="28"/>
          <w:highlight w:val="none"/>
        </w:rPr>
        <w:t>具有罚没款项的</w:t>
      </w:r>
      <w:r>
        <w:rPr>
          <w:rFonts w:hint="eastAsia" w:ascii="宋体" w:hAnsi="宋体" w:eastAsia="宋体"/>
          <w:sz w:val="28"/>
          <w:szCs w:val="28"/>
          <w:highlight w:val="none"/>
        </w:rPr>
        <w:t>，</w:t>
      </w:r>
      <w:r>
        <w:rPr>
          <w:rFonts w:ascii="宋体" w:hAnsi="宋体" w:eastAsia="宋体"/>
          <w:sz w:val="28"/>
          <w:szCs w:val="28"/>
          <w:highlight w:val="none"/>
        </w:rPr>
        <w:t>当事人应</w:t>
      </w:r>
      <w:r>
        <w:rPr>
          <w:rFonts w:hint="eastAsia" w:ascii="宋体" w:hAnsi="宋体" w:eastAsia="宋体"/>
          <w:sz w:val="28"/>
          <w:szCs w:val="28"/>
          <w:highlight w:val="none"/>
        </w:rPr>
        <w:t>当在纪律处分决定书生效之日起</w:t>
      </w:r>
      <w:r>
        <w:rPr>
          <w:rFonts w:ascii="宋体" w:hAnsi="宋体" w:eastAsia="宋体"/>
          <w:sz w:val="28"/>
          <w:szCs w:val="28"/>
          <w:highlight w:val="none"/>
        </w:rPr>
        <w:t>5个</w:t>
      </w:r>
      <w:r>
        <w:rPr>
          <w:rFonts w:hint="eastAsia" w:ascii="宋体" w:hAnsi="宋体" w:eastAsia="宋体"/>
          <w:sz w:val="28"/>
          <w:szCs w:val="28"/>
          <w:highlight w:val="none"/>
        </w:rPr>
        <w:t>交易</w:t>
      </w:r>
      <w:r>
        <w:rPr>
          <w:rFonts w:ascii="宋体" w:hAnsi="宋体" w:eastAsia="宋体"/>
          <w:sz w:val="28"/>
          <w:szCs w:val="28"/>
          <w:highlight w:val="none"/>
        </w:rPr>
        <w:t>日内将罚没款项如数缴纳至交易所指定账户。</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对会员工作人员的罚没款项，由会员代缴</w:t>
      </w:r>
      <w:r>
        <w:rPr>
          <w:rFonts w:ascii="宋体" w:hAnsi="宋体" w:eastAsia="宋体"/>
          <w:sz w:val="28"/>
          <w:szCs w:val="28"/>
          <w:highlight w:val="none"/>
        </w:rPr>
        <w:t>;</w:t>
      </w:r>
      <w:r>
        <w:rPr>
          <w:rFonts w:hint="eastAsia" w:ascii="宋体" w:hAnsi="宋体" w:eastAsia="宋体"/>
          <w:sz w:val="28"/>
          <w:szCs w:val="28"/>
          <w:highlight w:val="none"/>
        </w:rPr>
        <w:t>对交割仓库工作人员的罚没款项，由交割仓库代缴。交割仓库逾期不缴纳罚没款项的，交易所可以从其交割担保金中扣划。</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会员、境外特殊参与者、境外</w:t>
      </w:r>
      <w:r>
        <w:rPr>
          <w:rFonts w:hint="eastAsia" w:ascii="宋体" w:hAnsi="宋体"/>
          <w:sz w:val="28"/>
          <w:szCs w:val="28"/>
          <w:highlight w:val="none"/>
          <w:lang w:eastAsia="zh-CN"/>
        </w:rPr>
        <w:t>中介</w:t>
      </w:r>
      <w:r>
        <w:rPr>
          <w:rFonts w:hint="eastAsia" w:ascii="宋体" w:hAnsi="宋体" w:eastAsia="宋体"/>
          <w:sz w:val="28"/>
          <w:szCs w:val="28"/>
          <w:highlight w:val="none"/>
        </w:rPr>
        <w:t>机构应当配合执行交易所对客户、做市商的纪律处分，划拨客户、做市商在该会员处的资金。</w:t>
      </w:r>
    </w:p>
    <w:p>
      <w:pPr>
        <w:spacing w:line="360" w:lineRule="auto"/>
        <w:ind w:firstLine="560" w:firstLineChars="200"/>
        <w:rPr>
          <w:rFonts w:ascii="宋体" w:hAnsi="宋体" w:eastAsia="宋体"/>
          <w:sz w:val="28"/>
          <w:szCs w:val="28"/>
          <w:highlight w:val="none"/>
          <w:shd w:val="pct10" w:color="auto" w:fill="FFFFFF"/>
        </w:rPr>
      </w:pPr>
      <w:r>
        <w:rPr>
          <w:rFonts w:hint="eastAsia" w:ascii="宋体" w:hAnsi="宋体" w:eastAsia="宋体"/>
          <w:sz w:val="28"/>
          <w:szCs w:val="28"/>
          <w:highlight w:val="none"/>
        </w:rPr>
        <w:t>期货市场参与者逾期不缴纳罚没款项的，交易所可以对其采取暂停开仓交易、暂停部分期货</w:t>
      </w:r>
      <w:r>
        <w:rPr>
          <w:rFonts w:ascii="宋体" w:hAnsi="宋体" w:eastAsia="宋体"/>
          <w:sz w:val="28"/>
          <w:szCs w:val="28"/>
          <w:highlight w:val="none"/>
        </w:rPr>
        <w:t>或者期权</w:t>
      </w:r>
      <w:r>
        <w:rPr>
          <w:rFonts w:hint="eastAsia" w:ascii="宋体" w:hAnsi="宋体" w:eastAsia="宋体"/>
          <w:sz w:val="28"/>
          <w:szCs w:val="28"/>
          <w:highlight w:val="none"/>
        </w:rPr>
        <w:t>业务等措施直至其缴纳罚没款项。</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第五十</w:t>
      </w:r>
      <w:r>
        <w:rPr>
          <w:rFonts w:hint="eastAsia" w:ascii="黑体" w:hAnsi="黑体" w:eastAsia="黑体"/>
          <w:sz w:val="28"/>
          <w:szCs w:val="28"/>
          <w:highlight w:val="none"/>
          <w:lang w:eastAsia="zh-CN"/>
        </w:rPr>
        <w:t>二</w:t>
      </w:r>
      <w:r>
        <w:rPr>
          <w:rFonts w:hint="eastAsia" w:ascii="黑体" w:hAnsi="黑体" w:eastAsia="黑体"/>
          <w:sz w:val="28"/>
          <w:szCs w:val="28"/>
          <w:highlight w:val="none"/>
        </w:rPr>
        <w:t xml:space="preserve">条 </w:t>
      </w:r>
      <w:r>
        <w:rPr>
          <w:rFonts w:hint="eastAsia" w:ascii="宋体" w:hAnsi="宋体" w:eastAsia="宋体"/>
          <w:sz w:val="28"/>
          <w:szCs w:val="28"/>
          <w:highlight w:val="none"/>
        </w:rPr>
        <w:t>被交易所宣布为“市场禁止进入者”的</w:t>
      </w:r>
      <w:r>
        <w:rPr>
          <w:rFonts w:ascii="宋体" w:hAnsi="宋体" w:eastAsia="宋体"/>
          <w:sz w:val="28"/>
          <w:szCs w:val="28"/>
          <w:highlight w:val="none"/>
        </w:rPr>
        <w:t xml:space="preserve">,应当自宣布生效之日起20个交易日内清理原有持仓,了结交易业务, </w:t>
      </w:r>
      <w:r>
        <w:rPr>
          <w:rFonts w:hint="eastAsia" w:ascii="宋体" w:hAnsi="宋体" w:eastAsia="宋体"/>
          <w:sz w:val="28"/>
          <w:szCs w:val="28"/>
          <w:highlight w:val="none"/>
        </w:rPr>
        <w:t>结清债权债务。未在规定时间内清理持仓的，交易所予以强行平仓。</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被中国证监会或者其他期货交易所宣布为“市场禁止进入者”或者“不受市场欢迎的人”的，在市场禁止进入期限内不得从事交易所期货、期权业务，其在交易所的原有持仓参照前款规定处理。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黑体" w:hAnsi="黑体" w:eastAsia="黑体"/>
          <w:sz w:val="28"/>
          <w:szCs w:val="28"/>
          <w:highlight w:val="none"/>
        </w:rPr>
        <w:t>第五十</w:t>
      </w:r>
      <w:r>
        <w:rPr>
          <w:rFonts w:hint="eastAsia" w:ascii="黑体" w:hAnsi="黑体" w:eastAsia="黑体"/>
          <w:sz w:val="28"/>
          <w:szCs w:val="28"/>
          <w:highlight w:val="none"/>
          <w:lang w:eastAsia="zh-CN"/>
        </w:rPr>
        <w:t>三</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交易所可以根据情况将对期货市场参与者实施的纪律处分通过交易所网站或者其他方式予以公布，并根据中国证监会有关规定记入证券期货市场诚信档案。</w:t>
      </w:r>
    </w:p>
    <w:p>
      <w:pPr>
        <w:pStyle w:val="15"/>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Chars="0"/>
        <w:jc w:val="center"/>
        <w:textAlignment w:val="auto"/>
        <w:rPr>
          <w:rFonts w:ascii="黑体" w:hAnsi="黑体" w:eastAsia="黑体" w:cs="Calibri"/>
          <w:sz w:val="32"/>
          <w:szCs w:val="32"/>
          <w:highlight w:val="none"/>
        </w:rPr>
      </w:pPr>
      <w:r>
        <w:rPr>
          <w:rFonts w:hint="eastAsia" w:ascii="黑体" w:hAnsi="黑体" w:eastAsia="黑体" w:cs="Calibri"/>
          <w:sz w:val="32"/>
          <w:szCs w:val="32"/>
          <w:highlight w:val="none"/>
        </w:rPr>
        <w:t>纠纷调解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黑体" w:hAnsi="黑体" w:eastAsia="黑体"/>
          <w:sz w:val="28"/>
          <w:szCs w:val="28"/>
          <w:highlight w:val="none"/>
        </w:rPr>
        <w:t>第五十</w:t>
      </w:r>
      <w:r>
        <w:rPr>
          <w:rFonts w:hint="eastAsia" w:ascii="黑体" w:hAnsi="黑体" w:eastAsia="黑体"/>
          <w:sz w:val="28"/>
          <w:szCs w:val="28"/>
          <w:highlight w:val="none"/>
          <w:lang w:eastAsia="zh-CN"/>
        </w:rPr>
        <w:t>四</w:t>
      </w:r>
      <w:r>
        <w:rPr>
          <w:rFonts w:hint="eastAsia" w:ascii="黑体" w:hAnsi="黑体" w:eastAsia="黑体"/>
          <w:sz w:val="28"/>
          <w:szCs w:val="28"/>
          <w:highlight w:val="none"/>
        </w:rPr>
        <w:t>条</w:t>
      </w:r>
      <w:r>
        <w:rPr>
          <w:rFonts w:hint="eastAsia" w:ascii="宋体" w:hAnsi="宋体" w:eastAsia="宋体"/>
          <w:sz w:val="28"/>
          <w:szCs w:val="28"/>
          <w:highlight w:val="none"/>
        </w:rPr>
        <w:t xml:space="preserve"> 期货市场参与者之间发生的期货业务纠纷可以自行协商解决，也可以提请交易所调解。</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第五十</w:t>
      </w:r>
      <w:r>
        <w:rPr>
          <w:rFonts w:hint="eastAsia" w:ascii="黑体" w:hAnsi="黑体" w:eastAsia="黑体"/>
          <w:sz w:val="28"/>
          <w:szCs w:val="28"/>
          <w:highlight w:val="none"/>
          <w:lang w:eastAsia="zh-CN"/>
        </w:rPr>
        <w:t>五</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交易所的调解机构是交易所理事会下设的调解委员会，其常设办事机构设在交易所法律部门。</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第五十</w:t>
      </w:r>
      <w:r>
        <w:rPr>
          <w:rFonts w:hint="eastAsia" w:ascii="黑体" w:hAnsi="黑体" w:eastAsia="黑体"/>
          <w:sz w:val="28"/>
          <w:szCs w:val="28"/>
          <w:highlight w:val="none"/>
          <w:lang w:eastAsia="zh-CN"/>
        </w:rPr>
        <w:t>六</w:t>
      </w:r>
      <w:r>
        <w:rPr>
          <w:rFonts w:hint="eastAsia" w:ascii="黑体" w:hAnsi="黑体" w:eastAsia="黑体"/>
          <w:sz w:val="28"/>
          <w:szCs w:val="28"/>
          <w:highlight w:val="none"/>
        </w:rPr>
        <w:t>条</w:t>
      </w:r>
      <w:r>
        <w:rPr>
          <w:rFonts w:hint="eastAsia" w:ascii="宋体" w:hAnsi="宋体" w:eastAsia="宋体"/>
          <w:sz w:val="28"/>
          <w:szCs w:val="28"/>
          <w:highlight w:val="none"/>
        </w:rPr>
        <w:t xml:space="preserve"> 调解应当在事实清楚、责任明确的基础上依据国家有关期货交易的法律、法规和交易所的规章制度进行。</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第五十</w:t>
      </w:r>
      <w:r>
        <w:rPr>
          <w:rFonts w:hint="eastAsia" w:ascii="黑体" w:hAnsi="黑体" w:eastAsia="黑体"/>
          <w:sz w:val="28"/>
          <w:szCs w:val="28"/>
          <w:highlight w:val="none"/>
          <w:lang w:eastAsia="zh-CN"/>
        </w:rPr>
        <w:t>七</w:t>
      </w:r>
      <w:r>
        <w:rPr>
          <w:rFonts w:hint="eastAsia" w:ascii="黑体" w:hAnsi="黑体" w:eastAsia="黑体"/>
          <w:sz w:val="28"/>
          <w:szCs w:val="28"/>
          <w:highlight w:val="none"/>
        </w:rPr>
        <w:t>条</w:t>
      </w:r>
      <w:r>
        <w:rPr>
          <w:rFonts w:hint="eastAsia" w:ascii="宋体" w:hAnsi="宋体" w:eastAsia="宋体"/>
          <w:b/>
          <w:sz w:val="28"/>
          <w:szCs w:val="28"/>
          <w:highlight w:val="none"/>
        </w:rPr>
        <w:t xml:space="preserve"> </w:t>
      </w:r>
      <w:r>
        <w:rPr>
          <w:rFonts w:hint="eastAsia" w:ascii="宋体" w:hAnsi="宋体" w:eastAsia="宋体"/>
          <w:sz w:val="28"/>
          <w:szCs w:val="28"/>
          <w:highlight w:val="none"/>
        </w:rPr>
        <w:t>当事人申请调解应当符合下列条件：</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（一）有调解申请书；</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（二）有具体的事实、理由和请求；</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（三）属于调解委员会的受理范围。</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第五十</w:t>
      </w:r>
      <w:r>
        <w:rPr>
          <w:rFonts w:hint="eastAsia" w:ascii="黑体" w:hAnsi="黑体" w:eastAsia="黑体"/>
          <w:sz w:val="28"/>
          <w:szCs w:val="28"/>
          <w:highlight w:val="none"/>
          <w:lang w:eastAsia="zh-CN"/>
        </w:rPr>
        <w:t>八</w:t>
      </w:r>
      <w:r>
        <w:rPr>
          <w:rFonts w:hint="eastAsia" w:ascii="黑体" w:hAnsi="黑体" w:eastAsia="黑体"/>
          <w:sz w:val="28"/>
          <w:szCs w:val="28"/>
          <w:highlight w:val="none"/>
        </w:rPr>
        <w:t>条</w:t>
      </w:r>
      <w:r>
        <w:rPr>
          <w:rFonts w:hint="eastAsia" w:ascii="宋体" w:hAnsi="宋体" w:eastAsia="宋体"/>
          <w:sz w:val="28"/>
          <w:szCs w:val="28"/>
          <w:highlight w:val="none"/>
        </w:rPr>
        <w:t xml:space="preserve"> 当事人向调解委员会申请调解，应当提交书面申请和有关材料。调解申请书应当写明以下事项：</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（一）当事人的姓名或者名称、身份证号或者统一社会信用代码、住所或者联系地址、电话号码等联系方式；</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（二）请求调解的事实、理由及要求；</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（三）有关证据。</w:t>
      </w:r>
    </w:p>
    <w:p>
      <w:pPr>
        <w:tabs>
          <w:tab w:val="left" w:pos="871"/>
        </w:tabs>
        <w:adjustRightInd w:val="0"/>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第五十</w:t>
      </w:r>
      <w:r>
        <w:rPr>
          <w:rFonts w:hint="eastAsia" w:ascii="黑体" w:hAnsi="黑体" w:eastAsia="黑体"/>
          <w:sz w:val="28"/>
          <w:szCs w:val="28"/>
          <w:highlight w:val="none"/>
          <w:lang w:eastAsia="zh-CN"/>
        </w:rPr>
        <w:t>九</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交易所调解委员会收到调解申请后，应当认真审查有关材料是否符合要求，并</w:t>
      </w:r>
      <w:r>
        <w:rPr>
          <w:rFonts w:ascii="宋体" w:hAnsi="宋体" w:eastAsia="宋体"/>
          <w:sz w:val="28"/>
          <w:szCs w:val="28"/>
          <w:highlight w:val="none"/>
        </w:rPr>
        <w:t>以书面方式通知当事人是否受理。</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w:t>
      </w:r>
      <w:r>
        <w:rPr>
          <w:rFonts w:hint="eastAsia" w:ascii="黑体" w:hAnsi="黑体" w:eastAsia="黑体"/>
          <w:sz w:val="28"/>
          <w:szCs w:val="28"/>
          <w:highlight w:val="none"/>
          <w:lang w:eastAsia="zh-CN"/>
        </w:rPr>
        <w:t>六十</w:t>
      </w:r>
      <w:r>
        <w:rPr>
          <w:rFonts w:hint="eastAsia" w:ascii="黑体" w:hAnsi="黑体" w:eastAsia="黑体"/>
          <w:sz w:val="28"/>
          <w:szCs w:val="28"/>
          <w:highlight w:val="none"/>
        </w:rPr>
        <w:t>条</w:t>
      </w:r>
      <w:r>
        <w:rPr>
          <w:rFonts w:hint="eastAsia" w:ascii="宋体" w:hAnsi="宋体" w:eastAsia="宋体"/>
          <w:sz w:val="28"/>
          <w:szCs w:val="28"/>
          <w:highlight w:val="none"/>
        </w:rPr>
        <w:t xml:space="preserve"> 有下列情形之一的，交易所调解委员会不予受理：</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（一）当事人已向人民法院起诉的；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（二）当事人已向仲裁机构申请仲裁的；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（三）当事人一方要求调解，另一方不愿意调解的；</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（四）交易所调解委员会认定不予受理的其他情形。</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第六十</w:t>
      </w:r>
      <w:r>
        <w:rPr>
          <w:rFonts w:hint="eastAsia" w:ascii="黑体" w:hAnsi="黑体" w:eastAsia="黑体"/>
          <w:sz w:val="28"/>
          <w:szCs w:val="28"/>
          <w:highlight w:val="none"/>
          <w:lang w:eastAsia="zh-CN"/>
        </w:rPr>
        <w:t>一</w:t>
      </w:r>
      <w:r>
        <w:rPr>
          <w:rFonts w:hint="eastAsia" w:ascii="黑体" w:hAnsi="黑体" w:eastAsia="黑体"/>
          <w:sz w:val="28"/>
          <w:szCs w:val="28"/>
          <w:highlight w:val="none"/>
        </w:rPr>
        <w:t>条</w:t>
      </w:r>
      <w:r>
        <w:rPr>
          <w:rFonts w:hint="eastAsia" w:ascii="宋体" w:hAnsi="宋体" w:eastAsia="宋体"/>
          <w:sz w:val="28"/>
          <w:szCs w:val="28"/>
          <w:highlight w:val="none"/>
        </w:rPr>
        <w:t xml:space="preserve"> 交易所调解委员会应当自受理调解申请之日起</w:t>
      </w:r>
      <w:r>
        <w:rPr>
          <w:rFonts w:ascii="宋体" w:hAnsi="宋体" w:eastAsia="宋体"/>
          <w:sz w:val="28"/>
          <w:szCs w:val="28"/>
          <w:highlight w:val="none"/>
        </w:rPr>
        <w:t>两</w:t>
      </w:r>
      <w:r>
        <w:rPr>
          <w:rFonts w:hint="eastAsia" w:ascii="宋体" w:hAnsi="宋体" w:eastAsia="宋体"/>
          <w:sz w:val="28"/>
          <w:szCs w:val="28"/>
          <w:highlight w:val="none"/>
        </w:rPr>
        <w:t>个月</w:t>
      </w:r>
      <w:r>
        <w:rPr>
          <w:rFonts w:ascii="宋体" w:hAnsi="宋体" w:eastAsia="宋体"/>
          <w:sz w:val="28"/>
          <w:szCs w:val="28"/>
          <w:highlight w:val="none"/>
        </w:rPr>
        <w:t>内完成调解。情况复杂，不能在规定期限内完成调解的，经双方当事人同意后，可以继续调解；双方当事人未达成继续调解事宜的，终止调解。</w:t>
      </w:r>
    </w:p>
    <w:p>
      <w:pPr>
        <w:autoSpaceDE w:val="0"/>
        <w:autoSpaceDN w:val="0"/>
        <w:adjustRightInd w:val="0"/>
        <w:spacing w:line="360" w:lineRule="auto"/>
        <w:ind w:firstLine="560" w:firstLineChars="200"/>
        <w:rPr>
          <w:rFonts w:ascii="宋体" w:hAnsi="宋体" w:eastAsia="宋体"/>
          <w:color w:val="000000"/>
          <w:sz w:val="28"/>
          <w:szCs w:val="28"/>
          <w:highlight w:val="none"/>
        </w:rPr>
      </w:pPr>
      <w:r>
        <w:rPr>
          <w:rFonts w:hint="eastAsia" w:ascii="黑体" w:hAnsi="黑体" w:eastAsia="黑体"/>
          <w:sz w:val="28"/>
          <w:szCs w:val="28"/>
          <w:highlight w:val="none"/>
        </w:rPr>
        <w:t>第六十</w:t>
      </w:r>
      <w:r>
        <w:rPr>
          <w:rFonts w:hint="eastAsia" w:ascii="黑体" w:hAnsi="黑体" w:eastAsia="黑体"/>
          <w:sz w:val="28"/>
          <w:szCs w:val="28"/>
          <w:highlight w:val="none"/>
          <w:lang w:eastAsia="zh-CN"/>
        </w:rPr>
        <w:t>二</w:t>
      </w:r>
      <w:r>
        <w:rPr>
          <w:rFonts w:hint="eastAsia" w:ascii="黑体" w:hAnsi="黑体" w:eastAsia="黑体"/>
          <w:sz w:val="28"/>
          <w:szCs w:val="28"/>
          <w:highlight w:val="none"/>
        </w:rPr>
        <w:t>条</w:t>
      </w:r>
      <w:r>
        <w:rPr>
          <w:rFonts w:hint="eastAsia" w:ascii="宋体" w:hAnsi="宋体" w:eastAsia="宋体"/>
          <w:color w:val="000000"/>
          <w:sz w:val="28"/>
          <w:szCs w:val="28"/>
          <w:highlight w:val="none"/>
        </w:rPr>
        <w:t xml:space="preserve"> 有下列情形之一的，交易所调解委员会可以终止调解：</w:t>
      </w:r>
    </w:p>
    <w:p>
      <w:pPr>
        <w:autoSpaceDE w:val="0"/>
        <w:autoSpaceDN w:val="0"/>
        <w:adjustRightInd w:val="0"/>
        <w:spacing w:line="360" w:lineRule="auto"/>
        <w:ind w:firstLine="560" w:firstLineChars="200"/>
        <w:rPr>
          <w:rFonts w:ascii="宋体" w:hAnsi="宋体" w:eastAsia="宋体"/>
          <w:color w:val="000000"/>
          <w:sz w:val="28"/>
          <w:szCs w:val="28"/>
          <w:highlight w:val="none"/>
        </w:rPr>
      </w:pPr>
      <w:r>
        <w:rPr>
          <w:rFonts w:hint="eastAsia" w:ascii="宋体" w:hAnsi="宋体" w:eastAsia="宋体"/>
          <w:color w:val="000000"/>
          <w:sz w:val="28"/>
          <w:szCs w:val="28"/>
          <w:highlight w:val="none"/>
        </w:rPr>
        <w:t>（一）当事人不参加调解或者未经许可中途退出调解的；</w:t>
      </w:r>
    </w:p>
    <w:p>
      <w:pPr>
        <w:autoSpaceDE w:val="0"/>
        <w:autoSpaceDN w:val="0"/>
        <w:adjustRightInd w:val="0"/>
        <w:spacing w:line="360" w:lineRule="auto"/>
        <w:ind w:firstLine="560" w:firstLineChars="200"/>
        <w:rPr>
          <w:rFonts w:ascii="宋体" w:hAnsi="宋体" w:eastAsia="宋体"/>
          <w:color w:val="000000"/>
          <w:sz w:val="28"/>
          <w:szCs w:val="28"/>
          <w:highlight w:val="none"/>
        </w:rPr>
      </w:pPr>
      <w:r>
        <w:rPr>
          <w:rFonts w:hint="eastAsia" w:ascii="宋体" w:hAnsi="宋体" w:eastAsia="宋体"/>
          <w:color w:val="000000"/>
          <w:sz w:val="28"/>
          <w:szCs w:val="28"/>
          <w:highlight w:val="none"/>
        </w:rPr>
        <w:t>（二）调解事项涉及第三人实体利益，且第三人不参加调解或者不同意调解结果的；</w:t>
      </w:r>
    </w:p>
    <w:p>
      <w:pPr>
        <w:autoSpaceDE w:val="0"/>
        <w:autoSpaceDN w:val="0"/>
        <w:adjustRightInd w:val="0"/>
        <w:spacing w:line="360" w:lineRule="auto"/>
        <w:ind w:firstLine="560" w:firstLineChars="200"/>
        <w:rPr>
          <w:rFonts w:ascii="宋体" w:hAnsi="宋体" w:eastAsia="宋体"/>
          <w:color w:val="000000"/>
          <w:sz w:val="28"/>
          <w:szCs w:val="28"/>
          <w:highlight w:val="none"/>
        </w:rPr>
      </w:pPr>
      <w:r>
        <w:rPr>
          <w:rFonts w:hint="eastAsia" w:ascii="宋体" w:hAnsi="宋体" w:eastAsia="宋体"/>
          <w:color w:val="000000"/>
          <w:sz w:val="28"/>
          <w:szCs w:val="28"/>
          <w:highlight w:val="none"/>
        </w:rPr>
        <w:t>（三）调解期间，当事人就调解事项另行起诉或者申请仲裁的；</w:t>
      </w:r>
    </w:p>
    <w:p>
      <w:pPr>
        <w:autoSpaceDE w:val="0"/>
        <w:autoSpaceDN w:val="0"/>
        <w:adjustRightInd w:val="0"/>
        <w:spacing w:line="360" w:lineRule="auto"/>
        <w:ind w:firstLine="560" w:firstLineChars="200"/>
        <w:rPr>
          <w:rFonts w:ascii="宋体" w:hAnsi="宋体" w:eastAsia="宋体"/>
          <w:color w:val="000000"/>
          <w:sz w:val="28"/>
          <w:szCs w:val="28"/>
          <w:highlight w:val="none"/>
        </w:rPr>
      </w:pPr>
      <w:r>
        <w:rPr>
          <w:rFonts w:hint="eastAsia" w:ascii="宋体" w:hAnsi="宋体" w:eastAsia="宋体"/>
          <w:color w:val="000000"/>
          <w:sz w:val="28"/>
          <w:szCs w:val="28"/>
          <w:highlight w:val="none"/>
        </w:rPr>
        <w:t>（四）调解期间一方当事人要求终止调解的；</w:t>
      </w:r>
    </w:p>
    <w:p>
      <w:pPr>
        <w:autoSpaceDE w:val="0"/>
        <w:autoSpaceDN w:val="0"/>
        <w:adjustRightInd w:val="0"/>
        <w:spacing w:line="360" w:lineRule="auto"/>
        <w:ind w:firstLine="560" w:firstLineChars="200"/>
        <w:rPr>
          <w:rFonts w:ascii="宋体" w:hAnsi="宋体" w:eastAsia="宋体"/>
          <w:color w:val="000000"/>
          <w:sz w:val="28"/>
          <w:szCs w:val="28"/>
          <w:highlight w:val="none"/>
        </w:rPr>
      </w:pPr>
      <w:r>
        <w:rPr>
          <w:rFonts w:hint="eastAsia" w:ascii="宋体" w:hAnsi="宋体" w:eastAsia="宋体"/>
          <w:color w:val="000000"/>
          <w:sz w:val="28"/>
          <w:szCs w:val="28"/>
          <w:highlight w:val="none"/>
        </w:rPr>
        <w:t>（五）在规定的期间内未能达成调解协议的；</w:t>
      </w:r>
    </w:p>
    <w:p>
      <w:pPr>
        <w:autoSpaceDE w:val="0"/>
        <w:autoSpaceDN w:val="0"/>
        <w:adjustRightInd w:val="0"/>
        <w:spacing w:line="360" w:lineRule="auto"/>
        <w:ind w:firstLine="560" w:firstLineChars="200"/>
        <w:rPr>
          <w:rFonts w:ascii="宋体" w:hAnsi="宋体" w:eastAsia="宋体"/>
          <w:color w:val="000000"/>
          <w:sz w:val="28"/>
          <w:szCs w:val="28"/>
          <w:highlight w:val="none"/>
        </w:rPr>
      </w:pPr>
      <w:r>
        <w:rPr>
          <w:rFonts w:hint="eastAsia" w:ascii="宋体" w:hAnsi="宋体" w:eastAsia="宋体"/>
          <w:color w:val="000000"/>
          <w:sz w:val="28"/>
          <w:szCs w:val="28"/>
          <w:highlight w:val="none"/>
        </w:rPr>
        <w:t>（六）调解委员会认为需要终止调解的其他情形。</w:t>
      </w:r>
    </w:p>
    <w:p>
      <w:pPr>
        <w:autoSpaceDE w:val="0"/>
        <w:autoSpaceDN w:val="0"/>
        <w:adjustRightInd w:val="0"/>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第六十</w:t>
      </w:r>
      <w:r>
        <w:rPr>
          <w:rFonts w:hint="eastAsia" w:ascii="黑体" w:hAnsi="黑体" w:eastAsia="黑体"/>
          <w:sz w:val="28"/>
          <w:szCs w:val="28"/>
          <w:highlight w:val="none"/>
          <w:lang w:eastAsia="zh-CN"/>
        </w:rPr>
        <w:t>三</w:t>
      </w:r>
      <w:r>
        <w:rPr>
          <w:rFonts w:hint="eastAsia" w:ascii="黑体" w:hAnsi="黑体" w:eastAsia="黑体"/>
          <w:sz w:val="28"/>
          <w:szCs w:val="28"/>
          <w:highlight w:val="none"/>
        </w:rPr>
        <w:t>条</w:t>
      </w:r>
      <w:r>
        <w:rPr>
          <w:rFonts w:hint="eastAsia" w:ascii="宋体" w:hAnsi="宋体" w:eastAsia="宋体"/>
          <w:sz w:val="28"/>
          <w:szCs w:val="28"/>
          <w:highlight w:val="none"/>
        </w:rPr>
        <w:t xml:space="preserve"> 当事人根据有关规定负有举证的责任。调解委员会认为必要时，可以调查收集证据。</w:t>
      </w:r>
    </w:p>
    <w:p>
      <w:pPr>
        <w:autoSpaceDE w:val="0"/>
        <w:autoSpaceDN w:val="0"/>
        <w:adjustRightInd w:val="0"/>
        <w:spacing w:line="360" w:lineRule="auto"/>
        <w:ind w:firstLine="560" w:firstLineChars="200"/>
        <w:rPr>
          <w:rFonts w:ascii="宋体" w:hAnsi="宋体" w:eastAsia="宋体"/>
          <w:color w:val="000000"/>
          <w:sz w:val="28"/>
          <w:szCs w:val="28"/>
          <w:highlight w:val="none"/>
        </w:rPr>
      </w:pPr>
      <w:r>
        <w:rPr>
          <w:rFonts w:hint="eastAsia" w:ascii="黑体" w:hAnsi="黑体" w:eastAsia="黑体"/>
          <w:sz w:val="28"/>
          <w:szCs w:val="28"/>
          <w:highlight w:val="none"/>
        </w:rPr>
        <w:t>第六十</w:t>
      </w:r>
      <w:r>
        <w:rPr>
          <w:rFonts w:hint="eastAsia" w:ascii="黑体" w:hAnsi="黑体" w:eastAsia="黑体"/>
          <w:sz w:val="28"/>
          <w:szCs w:val="28"/>
          <w:highlight w:val="none"/>
          <w:lang w:eastAsia="zh-CN"/>
        </w:rPr>
        <w:t>四</w:t>
      </w:r>
      <w:r>
        <w:rPr>
          <w:rFonts w:hint="eastAsia" w:ascii="黑体" w:hAnsi="黑体" w:eastAsia="黑体"/>
          <w:sz w:val="28"/>
          <w:szCs w:val="28"/>
          <w:highlight w:val="none"/>
        </w:rPr>
        <w:t>条</w:t>
      </w:r>
      <w:r>
        <w:rPr>
          <w:rFonts w:hint="eastAsia" w:ascii="宋体" w:hAnsi="宋体" w:eastAsia="宋体"/>
          <w:b/>
          <w:sz w:val="28"/>
          <w:szCs w:val="28"/>
          <w:highlight w:val="none"/>
        </w:rPr>
        <w:t xml:space="preserve"> </w:t>
      </w:r>
      <w:r>
        <w:rPr>
          <w:rFonts w:hint="eastAsia" w:ascii="宋体" w:hAnsi="宋体" w:eastAsia="宋体"/>
          <w:sz w:val="28"/>
          <w:szCs w:val="28"/>
          <w:highlight w:val="none"/>
        </w:rPr>
        <w:t>调解委员会调解纠纷，应当在查明事实，分清是非和自愿的基础上调解，促使当事人相互谅解，达成协议。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黑体" w:hAnsi="黑体" w:eastAsia="黑体"/>
          <w:sz w:val="28"/>
          <w:szCs w:val="28"/>
          <w:highlight w:val="none"/>
        </w:rPr>
        <w:t>第六十</w:t>
      </w:r>
      <w:r>
        <w:rPr>
          <w:rFonts w:hint="eastAsia" w:ascii="黑体" w:hAnsi="黑体" w:eastAsia="黑体"/>
          <w:sz w:val="28"/>
          <w:szCs w:val="28"/>
          <w:highlight w:val="none"/>
          <w:lang w:eastAsia="zh-CN"/>
        </w:rPr>
        <w:t>五</w:t>
      </w:r>
      <w:r>
        <w:rPr>
          <w:rFonts w:hint="eastAsia" w:ascii="黑体" w:hAnsi="黑体" w:eastAsia="黑体"/>
          <w:sz w:val="28"/>
          <w:szCs w:val="28"/>
          <w:highlight w:val="none"/>
        </w:rPr>
        <w:t>条</w:t>
      </w:r>
      <w:r>
        <w:rPr>
          <w:rFonts w:hint="eastAsia" w:ascii="宋体" w:hAnsi="宋体" w:eastAsia="宋体"/>
          <w:sz w:val="28"/>
          <w:szCs w:val="28"/>
          <w:highlight w:val="none"/>
        </w:rPr>
        <w:t xml:space="preserve"> 经调解达成的协议应当记录在案，并制作调解书，由双方当事人签字，调解员署名，加盖调解委员会印章后生效。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黑体" w:hAnsi="黑体" w:eastAsia="黑体"/>
          <w:sz w:val="28"/>
          <w:szCs w:val="28"/>
          <w:highlight w:val="none"/>
        </w:rPr>
        <w:t>第六十</w:t>
      </w:r>
      <w:r>
        <w:rPr>
          <w:rFonts w:hint="eastAsia" w:ascii="黑体" w:hAnsi="黑体" w:eastAsia="黑体"/>
          <w:sz w:val="28"/>
          <w:szCs w:val="28"/>
          <w:highlight w:val="none"/>
          <w:lang w:eastAsia="zh-CN"/>
        </w:rPr>
        <w:t>六</w:t>
      </w:r>
      <w:r>
        <w:rPr>
          <w:rFonts w:hint="eastAsia" w:ascii="黑体" w:hAnsi="黑体" w:eastAsia="黑体"/>
          <w:sz w:val="28"/>
          <w:szCs w:val="28"/>
          <w:highlight w:val="none"/>
        </w:rPr>
        <w:t>条</w:t>
      </w:r>
      <w:r>
        <w:rPr>
          <w:rFonts w:hint="eastAsia" w:ascii="宋体" w:hAnsi="宋体" w:eastAsia="宋体"/>
          <w:sz w:val="28"/>
          <w:szCs w:val="28"/>
          <w:highlight w:val="none"/>
        </w:rPr>
        <w:t xml:space="preserve"> 调解不成的，当事人可以依法提请仲裁机构仲裁或者向人民法院起诉。</w:t>
      </w:r>
    </w:p>
    <w:p>
      <w:pPr>
        <w:pStyle w:val="15"/>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Chars="0"/>
        <w:jc w:val="center"/>
        <w:textAlignment w:val="auto"/>
        <w:rPr>
          <w:rFonts w:ascii="黑体" w:hAnsi="黑体" w:eastAsia="黑体" w:cs="Calibri"/>
          <w:sz w:val="32"/>
          <w:szCs w:val="32"/>
          <w:highlight w:val="none"/>
        </w:rPr>
      </w:pPr>
      <w:r>
        <w:rPr>
          <w:rFonts w:hint="eastAsia" w:ascii="黑体" w:hAnsi="黑体" w:eastAsia="黑体" w:cs="Calibri"/>
          <w:sz w:val="32"/>
          <w:szCs w:val="32"/>
          <w:highlight w:val="none"/>
        </w:rPr>
        <w:t>附 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黑体" w:hAnsi="黑体" w:eastAsia="黑体"/>
          <w:sz w:val="28"/>
          <w:szCs w:val="28"/>
          <w:highlight w:val="none"/>
        </w:rPr>
        <w:t>第六十</w:t>
      </w:r>
      <w:r>
        <w:rPr>
          <w:rFonts w:hint="eastAsia" w:ascii="黑体" w:hAnsi="黑体" w:eastAsia="黑体"/>
          <w:sz w:val="28"/>
          <w:szCs w:val="28"/>
          <w:highlight w:val="none"/>
          <w:lang w:eastAsia="zh-CN"/>
        </w:rPr>
        <w:t>七</w:t>
      </w:r>
      <w:r>
        <w:rPr>
          <w:rFonts w:hint="eastAsia" w:ascii="黑体" w:hAnsi="黑体" w:eastAsia="黑体"/>
          <w:sz w:val="28"/>
          <w:szCs w:val="28"/>
          <w:highlight w:val="none"/>
        </w:rPr>
        <w:t>条</w:t>
      </w:r>
      <w:r>
        <w:rPr>
          <w:rFonts w:hint="eastAsia" w:ascii="宋体" w:hAnsi="宋体" w:eastAsia="宋体"/>
          <w:sz w:val="28"/>
          <w:szCs w:val="28"/>
          <w:highlight w:val="none"/>
        </w:rPr>
        <w:t xml:space="preserve"> </w:t>
      </w:r>
      <w:r>
        <w:rPr>
          <w:rFonts w:hint="eastAsia" w:ascii="宋体" w:hAnsi="宋体" w:eastAsia="宋体"/>
          <w:bCs/>
          <w:kern w:val="0"/>
          <w:sz w:val="28"/>
          <w:szCs w:val="28"/>
          <w:highlight w:val="none"/>
        </w:rPr>
        <w:t>除具体条文另有规定外，本办法所称“期货市场”、“期货业务”、“期货交易”等包括期权相关活动。</w:t>
      </w:r>
    </w:p>
    <w:p>
      <w:pPr>
        <w:adjustRightInd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本办法所称交割仓库包括仓库和厂库。</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第六十</w:t>
      </w:r>
      <w:r>
        <w:rPr>
          <w:rFonts w:hint="eastAsia" w:ascii="黑体" w:hAnsi="黑体" w:eastAsia="黑体"/>
          <w:sz w:val="28"/>
          <w:szCs w:val="28"/>
          <w:highlight w:val="none"/>
          <w:lang w:eastAsia="zh-CN"/>
        </w:rPr>
        <w:t>八</w:t>
      </w:r>
      <w:r>
        <w:rPr>
          <w:rFonts w:hint="eastAsia" w:ascii="黑体" w:hAnsi="黑体" w:eastAsia="黑体"/>
          <w:sz w:val="28"/>
          <w:szCs w:val="28"/>
          <w:highlight w:val="none"/>
        </w:rPr>
        <w:t>条</w:t>
      </w:r>
      <w:r>
        <w:rPr>
          <w:rFonts w:hint="eastAsia" w:ascii="宋体" w:hAnsi="宋体" w:eastAsia="宋体"/>
          <w:sz w:val="28"/>
          <w:szCs w:val="28"/>
          <w:highlight w:val="none"/>
        </w:rPr>
        <w:t xml:space="preserve"> 本办法所称“以上”、“以下”均含本数。</w:t>
      </w:r>
    </w:p>
    <w:p>
      <w:pPr>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本办法中的货币单位为人民币元，涉及外币资金的，按照行为发生时的汇率折算人民币核定金额。</w:t>
      </w:r>
    </w:p>
    <w:p>
      <w:pPr>
        <w:spacing w:line="360" w:lineRule="auto"/>
        <w:ind w:firstLine="560" w:firstLineChars="200"/>
        <w:rPr>
          <w:rFonts w:ascii="宋体" w:hAnsi="宋体" w:eastAsia="宋体"/>
          <w:sz w:val="28"/>
          <w:szCs w:val="28"/>
          <w:highlight w:val="none"/>
        </w:rPr>
      </w:pPr>
      <w:r>
        <w:rPr>
          <w:rFonts w:hint="eastAsia" w:ascii="黑体" w:hAnsi="黑体" w:eastAsia="黑体"/>
          <w:sz w:val="28"/>
          <w:szCs w:val="28"/>
          <w:highlight w:val="none"/>
        </w:rPr>
        <w:t>第六十</w:t>
      </w:r>
      <w:r>
        <w:rPr>
          <w:rFonts w:hint="eastAsia" w:ascii="黑体" w:hAnsi="黑体" w:eastAsia="黑体"/>
          <w:sz w:val="28"/>
          <w:szCs w:val="28"/>
          <w:highlight w:val="none"/>
          <w:lang w:eastAsia="zh-CN"/>
        </w:rPr>
        <w:t>九</w:t>
      </w:r>
      <w:r>
        <w:rPr>
          <w:rFonts w:hint="eastAsia" w:ascii="黑体" w:hAnsi="黑体" w:eastAsia="黑体"/>
          <w:sz w:val="28"/>
          <w:szCs w:val="28"/>
          <w:highlight w:val="none"/>
        </w:rPr>
        <w:t>条</w:t>
      </w:r>
      <w:r>
        <w:rPr>
          <w:rFonts w:hint="eastAsia" w:ascii="宋体" w:hAnsi="宋体" w:eastAsia="宋体" w:cs="宋体"/>
          <w:b/>
          <w:kern w:val="0"/>
          <w:sz w:val="28"/>
          <w:szCs w:val="28"/>
          <w:highlight w:val="none"/>
        </w:rPr>
        <w:t xml:space="preserve"> </w:t>
      </w:r>
      <w:r>
        <w:rPr>
          <w:rFonts w:hint="eastAsia" w:ascii="宋体" w:hAnsi="宋体" w:eastAsia="宋体" w:cs="宋体"/>
          <w:kern w:val="0"/>
          <w:sz w:val="28"/>
          <w:szCs w:val="28"/>
          <w:highlight w:val="none"/>
        </w:rPr>
        <w:t>本办法解释权属于郑州商品交易所。</w:t>
      </w:r>
    </w:p>
    <w:p>
      <w:pPr>
        <w:spacing w:line="360" w:lineRule="auto"/>
        <w:ind w:firstLine="560" w:firstLineChars="200"/>
        <w:rPr>
          <w:rFonts w:ascii="仿宋" w:hAnsi="仿宋" w:eastAsia="仿宋"/>
          <w:sz w:val="32"/>
          <w:szCs w:val="32"/>
          <w:highlight w:val="none"/>
        </w:rPr>
      </w:pPr>
      <w:r>
        <w:rPr>
          <w:rFonts w:hint="eastAsia" w:ascii="黑体" w:hAnsi="黑体" w:eastAsia="黑体"/>
          <w:sz w:val="28"/>
          <w:szCs w:val="28"/>
          <w:highlight w:val="none"/>
        </w:rPr>
        <w:t>第</w:t>
      </w:r>
      <w:r>
        <w:rPr>
          <w:rFonts w:hint="eastAsia" w:ascii="黑体" w:hAnsi="黑体" w:eastAsia="黑体"/>
          <w:sz w:val="28"/>
          <w:szCs w:val="28"/>
          <w:highlight w:val="none"/>
          <w:lang w:eastAsia="zh-CN"/>
        </w:rPr>
        <w:t>七十</w:t>
      </w:r>
      <w:r>
        <w:rPr>
          <w:rFonts w:hint="eastAsia" w:ascii="黑体" w:hAnsi="黑体" w:eastAsia="黑体"/>
          <w:sz w:val="28"/>
          <w:szCs w:val="28"/>
          <w:highlight w:val="none"/>
        </w:rPr>
        <w:t>条</w:t>
      </w:r>
      <w:r>
        <w:rPr>
          <w:rFonts w:hint="eastAsia" w:ascii="宋体" w:hAnsi="宋体" w:eastAsia="宋体"/>
          <w:sz w:val="28"/>
          <w:szCs w:val="28"/>
          <w:highlight w:val="none"/>
        </w:rPr>
        <w:t xml:space="preserve"> 本办法自</w:t>
      </w:r>
      <w:r>
        <w:rPr>
          <w:rFonts w:hint="eastAsia" w:ascii="宋体" w:hAnsi="宋体"/>
          <w:sz w:val="28"/>
          <w:szCs w:val="28"/>
          <w:highlight w:val="none"/>
          <w:lang w:val="en-US" w:eastAsia="zh-CN"/>
        </w:rPr>
        <w:t>2026</w:t>
      </w:r>
      <w:r>
        <w:rPr>
          <w:rFonts w:ascii="宋体" w:hAnsi="宋体" w:eastAsia="宋体"/>
          <w:sz w:val="28"/>
          <w:szCs w:val="28"/>
          <w:highlight w:val="none"/>
        </w:rPr>
        <w:t>年</w:t>
      </w:r>
      <w:r>
        <w:rPr>
          <w:rFonts w:hint="default" w:ascii="宋体" w:hAnsi="宋体"/>
          <w:sz w:val="28"/>
          <w:szCs w:val="28"/>
          <w:highlight w:val="none"/>
          <w:lang w:val="en-US" w:eastAsia="zh-CN"/>
        </w:rPr>
        <w:t>5</w:t>
      </w:r>
      <w:r>
        <w:rPr>
          <w:rFonts w:ascii="宋体" w:hAnsi="宋体" w:eastAsia="宋体"/>
          <w:sz w:val="28"/>
          <w:szCs w:val="28"/>
          <w:highlight w:val="none"/>
        </w:rPr>
        <w:t>月</w:t>
      </w:r>
      <w:r>
        <w:rPr>
          <w:rFonts w:hint="default" w:ascii="宋体" w:hAnsi="宋体"/>
          <w:sz w:val="28"/>
          <w:szCs w:val="28"/>
          <w:highlight w:val="none"/>
          <w:lang w:val="en-US" w:eastAsia="zh-CN"/>
        </w:rPr>
        <w:t>7</w:t>
      </w:r>
      <w:r>
        <w:rPr>
          <w:rFonts w:ascii="宋体" w:hAnsi="宋体" w:eastAsia="宋体"/>
          <w:sz w:val="28"/>
          <w:szCs w:val="28"/>
          <w:highlight w:val="none"/>
        </w:rPr>
        <w:t>日</w:t>
      </w:r>
      <w:r>
        <w:rPr>
          <w:rFonts w:hint="eastAsia" w:ascii="宋体" w:hAnsi="宋体" w:eastAsia="宋体"/>
          <w:sz w:val="28"/>
          <w:szCs w:val="28"/>
          <w:highlight w:val="none"/>
        </w:rPr>
        <w:t>起施行。</w:t>
      </w:r>
    </w:p>
    <w:p>
      <w:pPr>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br w:type="page"/>
      </w:r>
      <w:r>
        <w:rPr>
          <w:rFonts w:hint="eastAsia" w:ascii="黑体" w:hAnsi="黑体" w:eastAsia="黑体" w:cs="黑体"/>
          <w:sz w:val="32"/>
          <w:szCs w:val="32"/>
          <w:highlight w:val="none"/>
          <w:lang w:val="en-US" w:eastAsia="zh-CN"/>
        </w:rPr>
        <w:t>附件16</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lang w:val="en-US" w:eastAsia="zh-CN"/>
        </w:rPr>
      </w:pPr>
      <w:r>
        <w:rPr>
          <w:rFonts w:hint="eastAsia" w:ascii="黑体" w:hAnsi="黑体" w:eastAsia="黑体" w:cs="黑体"/>
          <w:sz w:val="40"/>
          <w:szCs w:val="40"/>
          <w:highlight w:val="none"/>
          <w:lang w:val="en-US" w:eastAsia="zh-CN"/>
        </w:rPr>
        <w:t>郑州商品交易所程序化交易管理办法修订案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对《郑州商品交易所程序化交易管理办法》作如下修订：</w:t>
      </w:r>
    </w:p>
    <w:p>
      <w:pPr>
        <w:keepNext w:val="0"/>
        <w:keepLines w:val="0"/>
        <w:pageBreakBefore w:val="0"/>
        <w:widowControl w:val="0"/>
        <w:numPr>
          <w:ilvl w:val="0"/>
          <w:numId w:val="2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将第一章第三条修订为：“本办法所称程序化交易者，是指进行程序化交易的非期货公司会员、境外特殊非经纪参与者、客户。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“本办法所称高频交易者，是指进行高频交易的程序化交易者。”</w:t>
      </w:r>
    </w:p>
    <w:p>
      <w:pPr>
        <w:keepNext w:val="0"/>
        <w:keepLines w:val="0"/>
        <w:pageBreakBefore w:val="0"/>
        <w:widowControl w:val="0"/>
        <w:numPr>
          <w:ilvl w:val="0"/>
          <w:numId w:val="2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将第二章第七条修订为：“期货公司会员接受客户程序化交易委托前，应当按照有关规定，与客户签订程序化交易委托协议（以下简称委托协议），约定双方的权利、义务等事项，明确报告管理、风险控制等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“境外特殊经纪参与者、境外中介机构接受客户程序化交易委托的，参照前款规定要求执行。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“期货公司会员、境外特殊经纪参与者接受境外中介机构程序化交易委托前，应当与境外中介机构约定双方的权利、义务等事项，明确报告管理、风险控制等要求。”</w:t>
      </w:r>
    </w:p>
    <w:p>
      <w:pPr>
        <w:keepNext w:val="0"/>
        <w:keepLines w:val="0"/>
        <w:pageBreakBefore w:val="0"/>
        <w:widowControl w:val="0"/>
        <w:numPr>
          <w:ilvl w:val="0"/>
          <w:numId w:val="2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将第二章第八条修订为：“客户从事程序化交易前，应当向其委托的期货公司会员、境外特殊经纪参与者、境外中介机构报告有关信息。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“期货公司会员</w:t>
      </w:r>
      <w:r>
        <w:rPr>
          <w:rFonts w:hint="eastAsia" w:ascii="仿宋" w:hAnsi="仿宋" w:eastAsia="仿宋" w:cs="仿宋"/>
          <w:sz w:val="32"/>
          <w:szCs w:val="32"/>
          <w:highlight w:val="none"/>
          <w:lang w:eastAsia="zh-CN"/>
        </w:rPr>
        <w:t>、境外特殊经纪参与者</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境外中介机构</w:t>
      </w:r>
      <w:r>
        <w:rPr>
          <w:rFonts w:hint="eastAsia" w:ascii="仿宋" w:hAnsi="仿宋" w:eastAsia="仿宋" w:cs="仿宋"/>
          <w:sz w:val="32"/>
          <w:szCs w:val="32"/>
          <w:highlight w:val="none"/>
          <w:lang w:val="en-US" w:eastAsia="zh-CN"/>
        </w:rPr>
        <w:t>应当对客户报告信息进行核查。核查无误的，期货公司会员</w:t>
      </w:r>
      <w:r>
        <w:rPr>
          <w:rFonts w:hint="eastAsia" w:ascii="仿宋" w:hAnsi="仿宋" w:eastAsia="仿宋" w:cs="仿宋"/>
          <w:sz w:val="32"/>
          <w:szCs w:val="32"/>
          <w:highlight w:val="none"/>
          <w:lang w:eastAsia="zh-CN"/>
        </w:rPr>
        <w:t>、境外特殊经纪参与者</w:t>
      </w:r>
      <w:r>
        <w:rPr>
          <w:rFonts w:hint="eastAsia" w:ascii="仿宋" w:hAnsi="仿宋" w:eastAsia="仿宋" w:cs="仿宋"/>
          <w:sz w:val="32"/>
          <w:szCs w:val="32"/>
          <w:highlight w:val="none"/>
          <w:lang w:val="en-US" w:eastAsia="zh-CN"/>
        </w:rPr>
        <w:t>应当在5个交易日内向交易所报告，</w:t>
      </w:r>
      <w:r>
        <w:rPr>
          <w:rFonts w:hint="eastAsia" w:ascii="仿宋" w:hAnsi="仿宋" w:eastAsia="仿宋" w:cs="仿宋"/>
          <w:sz w:val="32"/>
          <w:szCs w:val="32"/>
          <w:highlight w:val="none"/>
          <w:lang w:eastAsia="zh-CN"/>
        </w:rPr>
        <w:t>境外中介机构</w:t>
      </w:r>
      <w:r>
        <w:rPr>
          <w:rFonts w:hint="eastAsia" w:ascii="仿宋" w:hAnsi="仿宋" w:eastAsia="仿宋" w:cs="仿宋"/>
          <w:sz w:val="32"/>
          <w:szCs w:val="32"/>
          <w:highlight w:val="none"/>
          <w:lang w:val="en-US" w:eastAsia="zh-CN"/>
        </w:rPr>
        <w:t>机构应当在5个交易日内通过期货公司会员</w:t>
      </w:r>
      <w:r>
        <w:rPr>
          <w:rFonts w:hint="eastAsia" w:ascii="仿宋" w:hAnsi="仿宋" w:eastAsia="仿宋" w:cs="仿宋"/>
          <w:sz w:val="32"/>
          <w:szCs w:val="32"/>
          <w:highlight w:val="none"/>
          <w:lang w:eastAsia="zh-CN"/>
        </w:rPr>
        <w:t>、境外特殊经纪参与者</w:t>
      </w:r>
      <w:r>
        <w:rPr>
          <w:rFonts w:hint="eastAsia" w:ascii="仿宋" w:hAnsi="仿宋" w:eastAsia="仿宋" w:cs="仿宋"/>
          <w:sz w:val="32"/>
          <w:szCs w:val="32"/>
          <w:highlight w:val="none"/>
          <w:lang w:val="en-US" w:eastAsia="zh-CN"/>
        </w:rPr>
        <w:t>向交易所报告。交易所收到报告后在5个交易日内予以反馈。期货公司会员</w:t>
      </w:r>
      <w:r>
        <w:rPr>
          <w:rFonts w:hint="eastAsia" w:ascii="仿宋" w:hAnsi="仿宋" w:eastAsia="仿宋" w:cs="仿宋"/>
          <w:sz w:val="32"/>
          <w:szCs w:val="32"/>
          <w:highlight w:val="none"/>
          <w:lang w:eastAsia="zh-CN"/>
        </w:rPr>
        <w:t>、境外特殊经纪参与者</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境外中介机构</w:t>
      </w:r>
      <w:r>
        <w:rPr>
          <w:rFonts w:hint="eastAsia" w:ascii="仿宋" w:hAnsi="仿宋" w:eastAsia="仿宋" w:cs="仿宋"/>
          <w:sz w:val="32"/>
          <w:szCs w:val="32"/>
          <w:highlight w:val="none"/>
          <w:lang w:val="en-US" w:eastAsia="zh-CN"/>
        </w:rPr>
        <w:t>应当在收到交易所反馈后向客户确认。客户收到确认后，方可从事程序化交易。</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将第二章第九条修订为：“非期货公司会员、境外特殊非经纪参与者从事程序化交易前，应当向交易所报告有关信息。交易所在5个交易日内予以反馈。非期货公司会员、境外特殊非经纪参与者收到交易所确认后方可从事程序化交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“非期货公司会员、境外特殊非经纪参与者不得从事高频交易。”</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将第二章第十条修订为：“</w:t>
      </w:r>
      <w:r>
        <w:rPr>
          <w:rFonts w:hint="eastAsia" w:ascii="仿宋" w:hAnsi="仿宋" w:eastAsia="仿宋" w:cs="仿宋"/>
          <w:sz w:val="32"/>
          <w:szCs w:val="32"/>
          <w:highlight w:val="none"/>
          <w:lang w:val="en-US" w:eastAsia="zh-CN"/>
        </w:rPr>
        <w:t>程序化交易者应当真实、准确、完整报告以下信息：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“（一）账户基本信息，包括交易者名称、交易编码、产品管理人和委托的期货公司会员、境外特殊经纪参与者或者境外中介机构等；……</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将第三章第十二条修订为：“</w:t>
      </w:r>
      <w:r>
        <w:rPr>
          <w:rFonts w:hint="eastAsia" w:ascii="仿宋" w:hAnsi="仿宋" w:eastAsia="仿宋" w:cs="仿宋"/>
          <w:sz w:val="32"/>
          <w:szCs w:val="32"/>
          <w:highlight w:val="none"/>
          <w:lang w:val="en-US" w:eastAsia="zh-CN"/>
        </w:rPr>
        <w:t>期货公司会员、境外特殊经纪参与者、境外中介机构应当每半年或者按交易所要求对程序化交易客户报告的信息进行核查，发现未按规定报告的，应当督促客户及时改正。经督促仍不改正的，期货公司会员、境外特殊经纪参与者、境外中介机构应当按照委托协议约定，拒绝继续接受其开仓委托。</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将第二章第十四条修订为：“</w:t>
      </w:r>
      <w:r>
        <w:rPr>
          <w:rFonts w:hint="eastAsia" w:ascii="仿宋" w:hAnsi="仿宋" w:eastAsia="仿宋" w:cs="仿宋"/>
          <w:sz w:val="32"/>
          <w:szCs w:val="32"/>
          <w:highlight w:val="none"/>
          <w:lang w:val="en-US" w:eastAsia="zh-CN"/>
        </w:rPr>
        <w:t>期货公司会员、境外特殊经纪参与者、境外中介机构应当对客户报告的信息保密，不得非法买卖、提供、公开或者以其他不正当手段使用客户报告的信息，不得泄露所知悉的商业秘密等。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期货公司会员、境外特殊经纪参与者、境外中介机构应当妥善保存客户的报告信息和核查工作记录，保存期限不得少于二十年。</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十六条修订为：“期货公司会员、境外特殊经纪参与者、境外中介机构、程序化交易者应当确保用于程序化交易的技术系统符合中国证监会有关规定及交易所业务规则，遵循合规审慎、风险可控原则，不得影响交易所系统安全和市场公平，不得侵害其他交易者的合法权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“期货公司会员、境外特殊经纪参与者、境外中介机构应当将系统外部接入管理纳入合规风控体系，建立健全接入测试、交易监测、异常处理、应急处置、退出安排等全流程管理机制。”</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将第二章第十七条修订为：“交易者用于程序化交易的技术系统应当满足下列要求：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“……除前款规定的要求外，非期货公司会员、境外特殊非经纪参与者用于程序化交易的技术系统还应当满足下列要求：……”</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将第二章第十八条修订为：“期货公司会员、境外特殊经纪参与者使用的交易信息系统应当满足下列要求：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“……境外中介机构用于程序化交易的技术系统应当满足前款第（一）项、第（二）项、第（四）至第（九）项、第（十一）项要求。”</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十九条修订为：“客户和境外中介机构用于程序化交易的技术系统，在接入期货公司会员、境外特殊经纪参与者前，应当由期货公司会员、境外特殊经纪参与者对其技术系统进行测试，期货公司会员、境外特殊经纪参与者可以自行或者委托第三方测试机构进行测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“期货公司会员、境外特殊经纪参与者应当妥善保存前款要求的测试记录，保存期限不得少于二十年。”</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将第二章第二十条修订为：“期货公司会员、境外特殊经纪参与者为程序化交易提供期货经纪业务服务前，应当建立独立于生产环境的仿真测试环境，对自身的交易信息系统进行测试。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“期货公司会员、境外特殊经纪参与者应当妥善保存前款要求的测试记录，保存期限不得少于二十年。”</w:t>
      </w:r>
    </w:p>
    <w:p>
      <w:pPr>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二十一条修订为：“期货公司会员、境外特殊经纪参与者不得将交易信息系统与客户、境外中介机构的技术系统部署于同一物理设备，不得将交易信息系统的管理权限开放给客户、境外中介机构、信息技术系统服务机构，不得将客户、境外中介机构的技术系统直接接入交易所交易系统……”。</w:t>
      </w:r>
    </w:p>
    <w:p>
      <w:pPr>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将第二章第二十六条修订为：“期货公司会员、境外特殊经纪参与者应当建立交易席位管理制度，公平分配交易席位，并向交易所报告程序化交易客户使用交易席位的情况。”</w:t>
      </w:r>
    </w:p>
    <w:p>
      <w:pPr>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将第二章第二十八条修订为：“期货公司会员、境外特殊经纪参与者、境外中介机构应当建立并有效执行程序化交易内部控制、风险管理、合规管理等制度。</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“期货公司会员、境外特殊经纪参与者、境外中介机构应当加强对客户程序化交易行为的监控，进行程序化交易委托指令审核，及时识别、管理异常交易行为</w:t>
      </w:r>
      <w:r>
        <w:rPr>
          <w:rFonts w:hint="eastAsia" w:ascii="仿宋" w:hAnsi="仿宋" w:eastAsia="仿宋" w:cs="仿宋"/>
          <w:sz w:val="32"/>
          <w:szCs w:val="32"/>
          <w:highlight w:val="none"/>
          <w:lang w:val="zh-TW" w:eastAsia="zh-CN"/>
        </w:rPr>
        <w:t>，并</w:t>
      </w:r>
      <w:r>
        <w:rPr>
          <w:rFonts w:hint="eastAsia" w:ascii="仿宋" w:hAnsi="仿宋" w:eastAsia="仿宋" w:cs="仿宋"/>
          <w:sz w:val="32"/>
          <w:szCs w:val="32"/>
          <w:highlight w:val="none"/>
          <w:lang w:val="en-US" w:eastAsia="zh-CN"/>
        </w:rPr>
        <w:t>配合交易所采取相关措施。”</w:t>
      </w:r>
    </w:p>
    <w:p>
      <w:pPr>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章第三十一条修订为：“交易者从事程序化交易，因不可抗力、意外事件、重大技术故障、重大人为差错等突发事件，可能引发期货价格或者市场重大异常波动的，应当立即采取暂停交易、撤销委托等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“出现上述情形的，客户应当及时向其委托的期货公司会员、境外特殊经纪参与者、境外中介机构报告，非期货公司会员、境外特殊非经纪参与者应当及时向交易所报告。”</w:t>
      </w:r>
    </w:p>
    <w:p>
      <w:pPr>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二条第三十二条修订为：“期货公司会员、境外特殊经纪参与者、境外中介机构发现客户出现第三十一条第一款情形的，应当按照委托协议约定，立即采取暂停接受其委托、撤销相关报单等措施，并及时向交易所报告。境外中介机构可以通过期货公司会员或者直接向交易所报告。</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“期货公司会员的客户出现前款情形的，期货公司会员还应当同时向公司住所地中国证监会派出机构报告。”</w:t>
      </w:r>
    </w:p>
    <w:p>
      <w:pPr>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六章第三十四条修订为：“交易所可以根据自律管理需要，对期货公司会员、境外特殊经纪参与者、境外中介机构、程序化交易者遵守本办法的情况进行现场检查或者非现场检查。相关机构和个人应当予以配合，真实、准确、完整、及时地提供相关资料。”</w:t>
      </w:r>
    </w:p>
    <w:p>
      <w:pPr>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将第六章第三十五条修订为：“程序化交易者具有下列情形之一的，交易所责令改正，并可以采取提示、要求提交书面说明、约见谈话、限制开仓等措施：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“……（二）非期货公司会员、境外特殊非经纪参与者违反规定从事高频交易的；……”</w:t>
      </w:r>
    </w:p>
    <w:p>
      <w:pPr>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将第六章第三十六条修订为：“期货公司会员、境外特殊经纪参与者、境外中介机构具有下列情形之一的，交易所责令改正，并可以采取提示、约见谈话、出具监管警示函、发出监管意见函等措施：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“（一）未按规定核查客户程序化交易报告信息、未按规定督促客户改正或者未按规定拒绝经督促仍未改正客户开仓委托的；</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“（二）使用的交易信息系统、用于程序化交易的技术系统不符合规定，或者未按规定进行测试的；</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期货公司会员、境外特殊经纪参与者将交易信息系统与客户、境外中介机构的技术系统部署于同一物理设备，将交易信息系统的管理权限开放给客户、境外中介机构、信息技术系统服务机构，或者将客户、境外中介机构的技术系统直接接入交易所交易系统的；……”</w:t>
      </w:r>
    </w:p>
    <w:p>
      <w:pPr>
        <w:keepNext w:val="0"/>
        <w:keepLines w:val="0"/>
        <w:pageBreakBefore w:val="0"/>
        <w:widowControl/>
        <w:kinsoku/>
        <w:wordWrap/>
        <w:overflowPunct/>
        <w:topLinePunct w:val="0"/>
        <w:autoSpaceDE/>
        <w:autoSpaceDN/>
        <w:bidi w:val="0"/>
        <w:adjustRightInd w:val="0"/>
        <w:snapToGrid w:val="0"/>
        <w:spacing w:line="276" w:lineRule="auto"/>
        <w:ind w:firstLine="0" w:firstLineChars="0"/>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《郑州商品交易所程序化交易管理办法》</w:t>
      </w:r>
    </w:p>
    <w:p>
      <w:pPr>
        <w:keepNext w:val="0"/>
        <w:keepLines w:val="0"/>
        <w:pageBreakBefore w:val="0"/>
        <w:widowControl/>
        <w:kinsoku/>
        <w:wordWrap/>
        <w:overflowPunct/>
        <w:topLinePunct w:val="0"/>
        <w:autoSpaceDE/>
        <w:autoSpaceDN/>
        <w:bidi w:val="0"/>
        <w:adjustRightInd w:val="0"/>
        <w:snapToGrid w:val="0"/>
        <w:spacing w:line="276" w:lineRule="auto"/>
        <w:ind w:firstLine="0" w:firstLineChars="0"/>
        <w:jc w:val="center"/>
        <w:textAlignment w:val="auto"/>
        <w:rPr>
          <w:rFonts w:hint="eastAsia" w:ascii="方正小标宋简体" w:hAnsi="方正小标宋简体" w:eastAsia="方正小标宋简体" w:cs="方正小标宋简体"/>
          <w:b w:val="0"/>
          <w:bCs/>
          <w:sz w:val="40"/>
          <w:szCs w:val="40"/>
          <w:highlight w:val="none"/>
          <w:lang w:val="en-US" w:eastAsia="zh-CN"/>
        </w:rPr>
      </w:pPr>
      <w:r>
        <w:rPr>
          <w:rFonts w:hint="eastAsia" w:ascii="方正小标宋简体" w:hAnsi="方正小标宋简体" w:eastAsia="方正小标宋简体" w:cs="方正小标宋简体"/>
          <w:b w:val="0"/>
          <w:bCs/>
          <w:sz w:val="40"/>
          <w:szCs w:val="40"/>
          <w:highlight w:val="none"/>
        </w:rPr>
        <w:t>修订对照表</w:t>
      </w:r>
    </w:p>
    <w:p>
      <w:pPr>
        <w:widowControl/>
        <w:adjustRightInd w:val="0"/>
        <w:snapToGrid w:val="0"/>
        <w:spacing w:line="360" w:lineRule="auto"/>
        <w:jc w:val="center"/>
        <w:rPr>
          <w:rFonts w:ascii="仿宋" w:hAnsi="仿宋" w:eastAsia="仿宋"/>
          <w:sz w:val="44"/>
          <w:szCs w:val="44"/>
          <w:highlight w:val="none"/>
        </w:rPr>
      </w:pPr>
      <w:r>
        <w:rPr>
          <w:rFonts w:hint="eastAsia" w:ascii="仿宋" w:hAnsi="仿宋" w:eastAsia="仿宋" w:cs="Calibri"/>
          <w:sz w:val="32"/>
          <w:szCs w:val="32"/>
          <w:highlight w:val="none"/>
        </w:rPr>
        <w:t>（删除线部分为删除，下划线加粗部分为修改增加）</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6"/>
        <w:gridCol w:w="4377"/>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ascii="仿宋" w:hAnsi="仿宋" w:eastAsia="仿宋" w:cs="Times New Roman"/>
                <w:b/>
                <w:kern w:val="0"/>
                <w:sz w:val="24"/>
                <w:szCs w:val="24"/>
                <w:highlight w:val="none"/>
              </w:rPr>
            </w:pPr>
            <w:r>
              <w:rPr>
                <w:rFonts w:hint="eastAsia" w:ascii="仿宋" w:hAnsi="仿宋" w:eastAsia="仿宋" w:cs="Times New Roman"/>
                <w:b/>
                <w:kern w:val="0"/>
                <w:sz w:val="24"/>
                <w:szCs w:val="20"/>
                <w:highlight w:val="none"/>
                <w:lang w:eastAsia="zh-CN"/>
              </w:rPr>
              <w:t>修订前</w:t>
            </w:r>
            <w:r>
              <w:rPr>
                <w:rFonts w:hint="eastAsia" w:ascii="仿宋" w:hAnsi="仿宋" w:eastAsia="仿宋" w:cs="Times New Roman"/>
                <w:b/>
                <w:kern w:val="0"/>
                <w:sz w:val="24"/>
                <w:szCs w:val="20"/>
                <w:highlight w:val="none"/>
              </w:rPr>
              <w:t>条文</w:t>
            </w:r>
          </w:p>
        </w:tc>
        <w:tc>
          <w:tcPr>
            <w:tcW w:w="256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ascii="仿宋" w:hAnsi="仿宋" w:eastAsia="仿宋" w:cs="Times New Roman"/>
                <w:b/>
                <w:kern w:val="0"/>
                <w:sz w:val="24"/>
                <w:szCs w:val="24"/>
                <w:highlight w:val="none"/>
              </w:rPr>
            </w:pPr>
            <w:r>
              <w:rPr>
                <w:rFonts w:hint="eastAsia" w:ascii="仿宋" w:hAnsi="仿宋" w:eastAsia="仿宋" w:cs="Times New Roman"/>
                <w:b/>
                <w:kern w:val="0"/>
                <w:sz w:val="24"/>
                <w:szCs w:val="20"/>
                <w:highlight w:val="none"/>
                <w:lang w:eastAsia="zh-CN"/>
              </w:rPr>
              <w:t>修订后</w:t>
            </w:r>
            <w:r>
              <w:rPr>
                <w:rFonts w:hint="eastAsia" w:ascii="仿宋" w:hAnsi="仿宋" w:eastAsia="仿宋" w:cs="Times New Roman"/>
                <w:b/>
                <w:kern w:val="0"/>
                <w:sz w:val="24"/>
                <w:szCs w:val="20"/>
                <w:highlight w:val="none"/>
              </w:rPr>
              <w:t>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4995" w:type="pct"/>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hint="eastAsia" w:ascii="仿宋" w:hAnsi="仿宋" w:eastAsia="仿宋" w:cs="Times New Roman"/>
                <w:b/>
                <w:kern w:val="0"/>
                <w:sz w:val="24"/>
                <w:szCs w:val="20"/>
                <w:highlight w:val="none"/>
                <w:lang w:val="en-US" w:eastAsia="zh-CN"/>
              </w:rPr>
            </w:pPr>
            <w:r>
              <w:rPr>
                <w:rFonts w:hint="eastAsia" w:ascii="仿宋" w:hAnsi="仿宋" w:eastAsia="仿宋" w:cs="Times New Roman"/>
                <w:b/>
                <w:kern w:val="0"/>
                <w:sz w:val="24"/>
                <w:szCs w:val="24"/>
                <w:highlight w:val="none"/>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1716"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第三条</w:t>
            </w:r>
            <w:r>
              <w:rPr>
                <w:rFonts w:hint="eastAsia" w:ascii="仿宋" w:hAnsi="仿宋" w:eastAsia="仿宋" w:cs="Times New Roman"/>
                <w:b w:val="0"/>
                <w:bCs/>
                <w:kern w:val="0"/>
                <w:sz w:val="24"/>
                <w:szCs w:val="20"/>
                <w:highlight w:val="none"/>
              </w:rPr>
              <w:t xml:space="preserve"> 本办法所称程序化交易者，是指进行程序化交易的非期货公司会员、客户。</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rPr>
              <w:t>本办法所称高频交易者，是指进行高频交易的程序化交易者。</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第三条</w:t>
            </w:r>
            <w:r>
              <w:rPr>
                <w:rFonts w:hint="eastAsia" w:ascii="仿宋" w:hAnsi="仿宋" w:eastAsia="仿宋" w:cs="Times New Roman"/>
                <w:b w:val="0"/>
                <w:bCs/>
                <w:kern w:val="0"/>
                <w:sz w:val="24"/>
                <w:szCs w:val="20"/>
                <w:highlight w:val="none"/>
              </w:rPr>
              <w:t xml:space="preserve"> 本办法所称程序化交易者，是指进行程序化交易的非期货公司会员、</w:t>
            </w:r>
            <w:r>
              <w:rPr>
                <w:rFonts w:hint="eastAsia" w:ascii="仿宋" w:hAnsi="仿宋" w:eastAsia="仿宋" w:cs="Times New Roman"/>
                <w:b/>
                <w:bCs w:val="0"/>
                <w:kern w:val="0"/>
                <w:sz w:val="24"/>
                <w:szCs w:val="20"/>
                <w:highlight w:val="none"/>
                <w:u w:val="single"/>
              </w:rPr>
              <w:t>境外特殊非经纪参与者、</w:t>
            </w:r>
            <w:r>
              <w:rPr>
                <w:rFonts w:hint="eastAsia" w:ascii="仿宋" w:hAnsi="仿宋" w:eastAsia="仿宋" w:cs="Times New Roman"/>
                <w:b w:val="0"/>
                <w:bCs/>
                <w:kern w:val="0"/>
                <w:sz w:val="24"/>
                <w:szCs w:val="20"/>
                <w:highlight w:val="none"/>
              </w:rPr>
              <w:t>客户。</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rPr>
              <w:t>本办法所称高频交易者，是指进行高频交易的程序化交易者。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75" w:hRule="atLeast"/>
          <w:jc w:val="center"/>
        </w:trPr>
        <w:tc>
          <w:tcPr>
            <w:tcW w:w="4995" w:type="pct"/>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hint="eastAsia" w:ascii="仿宋" w:hAnsi="仿宋" w:eastAsia="仿宋" w:cs="Times New Roman"/>
                <w:b w:val="0"/>
                <w:bCs/>
                <w:kern w:val="0"/>
                <w:sz w:val="24"/>
                <w:szCs w:val="20"/>
                <w:highlight w:val="none"/>
                <w:lang w:val="en-US" w:eastAsia="zh-CN"/>
              </w:rPr>
            </w:pPr>
            <w:r>
              <w:rPr>
                <w:rFonts w:hint="default" w:ascii="仿宋" w:hAnsi="仿宋" w:eastAsia="仿宋" w:cs="Times New Roman"/>
                <w:b/>
                <w:kern w:val="0"/>
                <w:sz w:val="24"/>
                <w:szCs w:val="24"/>
                <w:highlight w:val="none"/>
                <w:lang w:val="en-US" w:eastAsia="zh-CN"/>
              </w:rPr>
              <w:t>第二章 报告管理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w:t>
            </w:r>
            <w:r>
              <w:rPr>
                <w:rFonts w:hint="eastAsia" w:ascii="仿宋" w:hAnsi="仿宋" w:eastAsia="仿宋" w:cs="Times New Roman"/>
                <w:b/>
                <w:bCs w:val="0"/>
                <w:kern w:val="0"/>
                <w:sz w:val="24"/>
                <w:szCs w:val="20"/>
                <w:highlight w:val="none"/>
                <w:lang w:eastAsia="zh-CN"/>
              </w:rPr>
              <w:t>七</w:t>
            </w:r>
            <w:r>
              <w:rPr>
                <w:rFonts w:hint="eastAsia" w:ascii="仿宋" w:hAnsi="仿宋" w:eastAsia="仿宋" w:cs="Times New Roman"/>
                <w:b/>
                <w:bCs w:val="0"/>
                <w:kern w:val="0"/>
                <w:sz w:val="24"/>
                <w:szCs w:val="20"/>
                <w:highlight w:val="none"/>
              </w:rPr>
              <w:t>条</w:t>
            </w:r>
            <w:r>
              <w:rPr>
                <w:rFonts w:hint="eastAsia" w:ascii="仿宋" w:hAnsi="仿宋" w:eastAsia="仿宋" w:cs="Times New Roman"/>
                <w:b w:val="0"/>
                <w:bCs/>
                <w:kern w:val="0"/>
                <w:sz w:val="24"/>
                <w:szCs w:val="20"/>
                <w:highlight w:val="none"/>
              </w:rPr>
              <w:t xml:space="preserve"> 期货公司会员接受客户程序化交易委托前，应当按照有关规定，与客户签订程序化交易委托协议（以下简称委托协议），约定双方的权利、义务等事项，明确报告管理、风险控制等要求。</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境外经纪机构接受客户程序化交易委托的，参照前款规定要求执行。</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rPr>
              <w:t>期货公司会员接受境外经纪机构程序化交易委托前，应当与境外经纪机构约定双方的权利、义务等事项，明确报告管理、风险控制等要求。</w:t>
            </w:r>
          </w:p>
        </w:tc>
        <w:tc>
          <w:tcPr>
            <w:tcW w:w="2567"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auto"/>
              <w:ind w:firstLine="420" w:firstLineChars="200"/>
              <w:jc w:val="both"/>
              <w:rPr>
                <w:rFonts w:hint="eastAsia" w:ascii="仿宋" w:hAnsi="仿宋" w:eastAsia="仿宋" w:cs="仿宋"/>
                <w:color w:val="auto"/>
                <w:sz w:val="24"/>
                <w:szCs w:val="24"/>
                <w:highlight w:val="none"/>
              </w:rPr>
            </w:pPr>
            <w:r>
              <w:rPr>
                <w:rFonts w:hint="eastAsia"/>
                <w:highlight w:val="none"/>
                <w:lang w:val="en-US" w:eastAsia="zh-CN"/>
              </w:rPr>
              <w:t xml:space="preserve"> </w:t>
            </w:r>
            <w:r>
              <w:rPr>
                <w:rFonts w:hint="eastAsia" w:ascii="仿宋" w:hAnsi="仿宋" w:eastAsia="仿宋" w:cs="仿宋"/>
                <w:b/>
                <w:color w:val="000000"/>
                <w:kern w:val="0"/>
                <w:sz w:val="24"/>
                <w:szCs w:val="24"/>
                <w:highlight w:val="none"/>
                <w:lang w:eastAsia="zh-CN"/>
              </w:rPr>
              <w:t>第</w:t>
            </w:r>
            <w:r>
              <w:rPr>
                <w:rFonts w:hint="eastAsia" w:ascii="仿宋" w:hAnsi="仿宋" w:eastAsia="仿宋" w:cs="Times New Roman"/>
                <w:b/>
                <w:bCs w:val="0"/>
                <w:kern w:val="0"/>
                <w:sz w:val="24"/>
                <w:szCs w:val="20"/>
                <w:highlight w:val="none"/>
                <w:lang w:eastAsia="zh-CN"/>
              </w:rPr>
              <w:t>七</w:t>
            </w:r>
            <w:r>
              <w:rPr>
                <w:rFonts w:hint="eastAsia" w:ascii="仿宋" w:hAnsi="仿宋" w:eastAsia="仿宋" w:cs="仿宋"/>
                <w:b/>
                <w:color w:val="000000"/>
                <w:kern w:val="0"/>
                <w:sz w:val="24"/>
                <w:szCs w:val="24"/>
                <w:highlight w:val="none"/>
                <w:lang w:eastAsia="zh-CN"/>
              </w:rPr>
              <w:t>条</w:t>
            </w:r>
            <w:r>
              <w:rPr>
                <w:rFonts w:hint="eastAsia" w:ascii="仿宋" w:hAnsi="仿宋" w:eastAsia="仿宋" w:cs="仿宋"/>
                <w:sz w:val="24"/>
                <w:szCs w:val="24"/>
                <w:highlight w:val="none"/>
                <w:lang w:val="en-US" w:eastAsia="zh-CN"/>
              </w:rPr>
              <w:t xml:space="preserve"> </w:t>
            </w:r>
            <w:r>
              <w:rPr>
                <w:rFonts w:hint="eastAsia" w:ascii="仿宋" w:hAnsi="仿宋" w:eastAsia="仿宋" w:cs="仿宋"/>
                <w:color w:val="auto"/>
                <w:kern w:val="0"/>
                <w:sz w:val="24"/>
                <w:szCs w:val="24"/>
                <w:highlight w:val="none"/>
              </w:rPr>
              <w:t>期货公司</w:t>
            </w:r>
            <w:r>
              <w:rPr>
                <w:rFonts w:hint="eastAsia" w:ascii="仿宋" w:hAnsi="仿宋" w:eastAsia="仿宋" w:cs="仿宋"/>
                <w:color w:val="auto"/>
                <w:sz w:val="24"/>
                <w:szCs w:val="24"/>
                <w:highlight w:val="none"/>
              </w:rPr>
              <w:t>会员接受客户程序化交易委托</w:t>
            </w:r>
            <w:r>
              <w:rPr>
                <w:rFonts w:hint="eastAsia" w:ascii="仿宋" w:hAnsi="仿宋" w:eastAsia="仿宋" w:cs="仿宋"/>
                <w:color w:val="auto"/>
                <w:sz w:val="24"/>
                <w:szCs w:val="24"/>
                <w:highlight w:val="none"/>
                <w:lang w:eastAsia="zh-CN"/>
              </w:rPr>
              <w:t>前</w:t>
            </w:r>
            <w:r>
              <w:rPr>
                <w:rFonts w:hint="eastAsia" w:ascii="仿宋" w:hAnsi="仿宋" w:eastAsia="仿宋" w:cs="仿宋"/>
                <w:color w:val="auto"/>
                <w:sz w:val="24"/>
                <w:szCs w:val="24"/>
                <w:highlight w:val="none"/>
              </w:rPr>
              <w:t>，应当</w:t>
            </w:r>
            <w:r>
              <w:rPr>
                <w:rFonts w:hint="eastAsia" w:ascii="仿宋" w:hAnsi="仿宋" w:eastAsia="仿宋" w:cs="仿宋"/>
                <w:color w:val="auto"/>
                <w:sz w:val="24"/>
                <w:szCs w:val="24"/>
                <w:highlight w:val="none"/>
                <w:lang w:eastAsia="zh-CN"/>
              </w:rPr>
              <w:t>按照有关规定，与客户</w:t>
            </w:r>
            <w:r>
              <w:rPr>
                <w:rFonts w:hint="eastAsia" w:ascii="仿宋" w:hAnsi="仿宋" w:eastAsia="仿宋" w:cs="仿宋"/>
                <w:color w:val="auto"/>
                <w:sz w:val="24"/>
                <w:szCs w:val="24"/>
                <w:highlight w:val="none"/>
              </w:rPr>
              <w:t>签订</w:t>
            </w:r>
            <w:r>
              <w:rPr>
                <w:rFonts w:hint="eastAsia" w:ascii="仿宋" w:hAnsi="仿宋" w:eastAsia="仿宋" w:cs="仿宋"/>
                <w:color w:val="auto"/>
                <w:sz w:val="24"/>
                <w:szCs w:val="24"/>
                <w:highlight w:val="none"/>
                <w:lang w:eastAsia="zh-CN"/>
              </w:rPr>
              <w:t>程序化交易</w:t>
            </w:r>
            <w:r>
              <w:rPr>
                <w:rFonts w:hint="eastAsia" w:ascii="仿宋" w:hAnsi="仿宋" w:eastAsia="仿宋" w:cs="仿宋"/>
                <w:color w:val="auto"/>
                <w:sz w:val="24"/>
                <w:szCs w:val="24"/>
                <w:highlight w:val="none"/>
              </w:rPr>
              <w:t>委托协议</w:t>
            </w:r>
            <w:r>
              <w:rPr>
                <w:rFonts w:hint="eastAsia" w:ascii="仿宋" w:hAnsi="仿宋" w:eastAsia="仿宋" w:cs="仿宋"/>
                <w:color w:val="auto"/>
                <w:sz w:val="24"/>
                <w:szCs w:val="24"/>
                <w:highlight w:val="none"/>
                <w:lang w:eastAsia="zh-CN"/>
              </w:rPr>
              <w:t>（以下简称委托协议）</w:t>
            </w:r>
            <w:r>
              <w:rPr>
                <w:rFonts w:hint="eastAsia" w:ascii="仿宋" w:hAnsi="仿宋" w:eastAsia="仿宋" w:cs="仿宋"/>
                <w:color w:val="auto"/>
                <w:sz w:val="24"/>
                <w:szCs w:val="24"/>
                <w:highlight w:val="none"/>
              </w:rPr>
              <w:t>，约定双方的权利、义务等事项，明确</w:t>
            </w:r>
            <w:r>
              <w:rPr>
                <w:rFonts w:hint="eastAsia" w:ascii="仿宋" w:hAnsi="仿宋" w:eastAsia="仿宋" w:cs="仿宋"/>
                <w:color w:val="auto"/>
                <w:sz w:val="24"/>
                <w:szCs w:val="24"/>
                <w:highlight w:val="none"/>
                <w:lang w:eastAsia="zh-CN"/>
              </w:rPr>
              <w:t>报告管理、</w:t>
            </w:r>
            <w:r>
              <w:rPr>
                <w:rFonts w:hint="eastAsia" w:ascii="仿宋" w:hAnsi="仿宋" w:eastAsia="仿宋" w:cs="仿宋"/>
                <w:color w:val="auto"/>
                <w:sz w:val="24"/>
                <w:szCs w:val="24"/>
                <w:highlight w:val="none"/>
              </w:rPr>
              <w:t>风险</w:t>
            </w:r>
            <w:r>
              <w:rPr>
                <w:rFonts w:hint="eastAsia" w:ascii="仿宋" w:hAnsi="仿宋" w:eastAsia="仿宋" w:cs="仿宋"/>
                <w:color w:val="auto"/>
                <w:sz w:val="24"/>
                <w:szCs w:val="24"/>
                <w:highlight w:val="none"/>
                <w:lang w:eastAsia="zh-CN"/>
              </w:rPr>
              <w:t>控制等</w:t>
            </w:r>
            <w:r>
              <w:rPr>
                <w:rFonts w:hint="eastAsia" w:ascii="仿宋" w:hAnsi="仿宋" w:eastAsia="仿宋" w:cs="仿宋"/>
                <w:color w:val="auto"/>
                <w:sz w:val="24"/>
                <w:szCs w:val="24"/>
                <w:highlight w:val="none"/>
              </w:rPr>
              <w:t>要求。</w:t>
            </w:r>
          </w:p>
          <w:p>
            <w:pPr>
              <w:numPr>
                <w:ilvl w:val="0"/>
                <w:numId w:val="0"/>
              </w:numPr>
              <w:spacing w:line="240" w:lineRule="auto"/>
              <w:ind w:firstLine="481"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u w:val="single"/>
                <w:lang w:eastAsia="zh-CN"/>
              </w:rPr>
              <w:t>境外特殊经纪参与者、</w:t>
            </w:r>
            <w:r>
              <w:rPr>
                <w:rFonts w:hint="eastAsia" w:ascii="仿宋" w:hAnsi="仿宋" w:eastAsia="仿宋" w:cs="仿宋"/>
                <w:color w:val="auto"/>
                <w:sz w:val="24"/>
                <w:szCs w:val="24"/>
                <w:highlight w:val="none"/>
                <w:lang w:eastAsia="zh-CN"/>
              </w:rPr>
              <w:t>境外</w:t>
            </w:r>
            <w:r>
              <w:rPr>
                <w:rFonts w:hint="eastAsia" w:ascii="仿宋" w:hAnsi="仿宋" w:eastAsia="仿宋" w:cs="仿宋"/>
                <w:strike w:val="0"/>
                <w:dstrike/>
                <w:color w:val="auto"/>
                <w:sz w:val="24"/>
                <w:szCs w:val="24"/>
                <w:highlight w:val="none"/>
                <w:lang w:eastAsia="zh-CN"/>
              </w:rPr>
              <w:t>经纪</w:t>
            </w:r>
            <w:r>
              <w:rPr>
                <w:rFonts w:hint="eastAsia" w:ascii="仿宋" w:hAnsi="仿宋" w:eastAsia="仿宋" w:cs="仿宋"/>
                <w:b/>
                <w:bCs/>
                <w:color w:val="auto"/>
                <w:sz w:val="24"/>
                <w:szCs w:val="24"/>
                <w:highlight w:val="none"/>
                <w:u w:val="single"/>
                <w:lang w:eastAsia="zh-CN"/>
              </w:rPr>
              <w:t>中介</w:t>
            </w:r>
            <w:r>
              <w:rPr>
                <w:rFonts w:hint="eastAsia" w:ascii="仿宋" w:hAnsi="仿宋" w:eastAsia="仿宋" w:cs="仿宋"/>
                <w:color w:val="auto"/>
                <w:sz w:val="24"/>
                <w:szCs w:val="24"/>
                <w:highlight w:val="none"/>
                <w:lang w:eastAsia="zh-CN"/>
              </w:rPr>
              <w:t>机构接受客户程序化交易委托的，参照前款规定要求执行。</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仿宋"/>
                <w:color w:val="auto"/>
                <w:sz w:val="24"/>
                <w:szCs w:val="24"/>
                <w:highlight w:val="none"/>
                <w:lang w:eastAsia="zh-CN"/>
              </w:rPr>
              <w:t>期货公司会员</w:t>
            </w:r>
            <w:r>
              <w:rPr>
                <w:rFonts w:hint="eastAsia" w:ascii="仿宋" w:hAnsi="仿宋" w:eastAsia="仿宋" w:cs="仿宋"/>
                <w:b/>
                <w:bCs/>
                <w:color w:val="auto"/>
                <w:sz w:val="24"/>
                <w:szCs w:val="24"/>
                <w:highlight w:val="none"/>
                <w:u w:val="single"/>
                <w:lang w:eastAsia="zh-CN"/>
              </w:rPr>
              <w:t>、境外特殊经纪参与者</w:t>
            </w:r>
            <w:r>
              <w:rPr>
                <w:rFonts w:hint="eastAsia" w:ascii="仿宋" w:hAnsi="仿宋" w:eastAsia="仿宋" w:cs="仿宋"/>
                <w:color w:val="auto"/>
                <w:sz w:val="24"/>
                <w:szCs w:val="24"/>
                <w:highlight w:val="none"/>
                <w:lang w:eastAsia="zh-CN"/>
              </w:rPr>
              <w:t>接受境外</w:t>
            </w:r>
            <w:r>
              <w:rPr>
                <w:rFonts w:hint="eastAsia" w:ascii="仿宋" w:hAnsi="仿宋" w:eastAsia="仿宋" w:cs="仿宋"/>
                <w:strike w:val="0"/>
                <w:dstrike/>
                <w:color w:val="auto"/>
                <w:sz w:val="24"/>
                <w:szCs w:val="24"/>
                <w:highlight w:val="none"/>
                <w:lang w:eastAsia="zh-CN"/>
              </w:rPr>
              <w:t>经纪</w:t>
            </w:r>
            <w:r>
              <w:rPr>
                <w:rFonts w:hint="eastAsia" w:ascii="仿宋" w:hAnsi="仿宋" w:eastAsia="仿宋" w:cs="仿宋"/>
                <w:b/>
                <w:bCs/>
                <w:color w:val="auto"/>
                <w:sz w:val="24"/>
                <w:szCs w:val="24"/>
                <w:highlight w:val="none"/>
                <w:u w:val="single"/>
                <w:lang w:eastAsia="zh-CN"/>
              </w:rPr>
              <w:t>中介</w:t>
            </w:r>
            <w:r>
              <w:rPr>
                <w:rFonts w:hint="eastAsia" w:ascii="仿宋" w:hAnsi="仿宋" w:eastAsia="仿宋" w:cs="仿宋"/>
                <w:color w:val="auto"/>
                <w:sz w:val="24"/>
                <w:szCs w:val="24"/>
                <w:highlight w:val="none"/>
                <w:lang w:eastAsia="zh-CN"/>
              </w:rPr>
              <w:t>机构程序化交易委托前，应当与境外</w:t>
            </w:r>
            <w:r>
              <w:rPr>
                <w:rFonts w:hint="eastAsia" w:ascii="仿宋" w:hAnsi="仿宋" w:eastAsia="仿宋" w:cs="仿宋"/>
                <w:strike w:val="0"/>
                <w:dstrike/>
                <w:color w:val="auto"/>
                <w:sz w:val="24"/>
                <w:szCs w:val="24"/>
                <w:highlight w:val="none"/>
                <w:lang w:eastAsia="zh-CN"/>
              </w:rPr>
              <w:t>经纪</w:t>
            </w:r>
            <w:r>
              <w:rPr>
                <w:rFonts w:hint="eastAsia" w:ascii="仿宋" w:hAnsi="仿宋" w:eastAsia="仿宋" w:cs="仿宋"/>
                <w:b/>
                <w:bCs/>
                <w:color w:val="auto"/>
                <w:sz w:val="24"/>
                <w:szCs w:val="24"/>
                <w:highlight w:val="none"/>
                <w:u w:val="single"/>
                <w:lang w:eastAsia="zh-CN"/>
              </w:rPr>
              <w:t>中介</w:t>
            </w:r>
            <w:r>
              <w:rPr>
                <w:rFonts w:hint="eastAsia" w:ascii="仿宋" w:hAnsi="仿宋" w:eastAsia="仿宋" w:cs="仿宋"/>
                <w:color w:val="auto"/>
                <w:sz w:val="24"/>
                <w:szCs w:val="24"/>
                <w:highlight w:val="none"/>
                <w:lang w:eastAsia="zh-CN"/>
              </w:rPr>
              <w:t>机构约定双方的权利、义务等事项，明确报告管理、风险控制等要求。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kern w:val="0"/>
                <w:sz w:val="24"/>
                <w:szCs w:val="20"/>
                <w:highlight w:val="none"/>
              </w:rPr>
              <w:t>第</w:t>
            </w:r>
            <w:r>
              <w:rPr>
                <w:rFonts w:hint="eastAsia" w:ascii="仿宋" w:hAnsi="仿宋" w:eastAsia="仿宋" w:cs="Times New Roman"/>
                <w:b/>
                <w:kern w:val="0"/>
                <w:sz w:val="24"/>
                <w:szCs w:val="20"/>
                <w:highlight w:val="none"/>
                <w:lang w:eastAsia="zh-CN"/>
              </w:rPr>
              <w:t>八</w:t>
            </w:r>
            <w:r>
              <w:rPr>
                <w:rFonts w:hint="eastAsia" w:ascii="仿宋" w:hAnsi="仿宋" w:eastAsia="仿宋" w:cs="Times New Roman"/>
                <w:b/>
                <w:kern w:val="0"/>
                <w:sz w:val="24"/>
                <w:szCs w:val="20"/>
                <w:highlight w:val="none"/>
              </w:rPr>
              <w:t xml:space="preserve">条 </w:t>
            </w:r>
            <w:r>
              <w:rPr>
                <w:rFonts w:hint="eastAsia" w:ascii="仿宋" w:hAnsi="仿宋" w:eastAsia="仿宋" w:cs="Times New Roman"/>
                <w:b w:val="0"/>
                <w:bCs/>
                <w:kern w:val="0"/>
                <w:sz w:val="24"/>
                <w:szCs w:val="20"/>
                <w:highlight w:val="none"/>
              </w:rPr>
              <w:t>客户</w:t>
            </w:r>
            <w:r>
              <w:rPr>
                <w:rFonts w:hint="eastAsia" w:ascii="仿宋" w:hAnsi="仿宋" w:eastAsia="仿宋" w:cs="Times New Roman"/>
                <w:b w:val="0"/>
                <w:bCs/>
                <w:kern w:val="0"/>
                <w:sz w:val="24"/>
                <w:szCs w:val="20"/>
                <w:highlight w:val="none"/>
                <w:lang w:eastAsia="zh-CN"/>
              </w:rPr>
              <w:t>从事</w:t>
            </w:r>
            <w:r>
              <w:rPr>
                <w:rFonts w:hint="eastAsia" w:ascii="仿宋" w:hAnsi="仿宋" w:eastAsia="仿宋" w:cs="Times New Roman"/>
                <w:b w:val="0"/>
                <w:bCs/>
                <w:kern w:val="0"/>
                <w:sz w:val="24"/>
                <w:szCs w:val="20"/>
                <w:highlight w:val="none"/>
              </w:rPr>
              <w:t>程序化交易前，应当向</w:t>
            </w:r>
            <w:r>
              <w:rPr>
                <w:rFonts w:hint="eastAsia" w:ascii="仿宋" w:hAnsi="仿宋" w:eastAsia="仿宋" w:cs="Times New Roman"/>
                <w:b w:val="0"/>
                <w:bCs/>
                <w:kern w:val="0"/>
                <w:sz w:val="24"/>
                <w:szCs w:val="20"/>
                <w:highlight w:val="none"/>
                <w:lang w:eastAsia="zh-CN"/>
              </w:rPr>
              <w:t>其委托的</w:t>
            </w:r>
            <w:r>
              <w:rPr>
                <w:rFonts w:hint="eastAsia" w:ascii="仿宋" w:hAnsi="仿宋" w:eastAsia="仿宋" w:cs="Times New Roman"/>
                <w:b w:val="0"/>
                <w:bCs/>
                <w:kern w:val="0"/>
                <w:sz w:val="24"/>
                <w:szCs w:val="20"/>
                <w:highlight w:val="none"/>
              </w:rPr>
              <w:t>期货公司会员</w:t>
            </w:r>
            <w:r>
              <w:rPr>
                <w:rFonts w:hint="eastAsia" w:ascii="仿宋" w:hAnsi="仿宋" w:eastAsia="仿宋" w:cs="Times New Roman"/>
                <w:b w:val="0"/>
                <w:bCs/>
                <w:kern w:val="0"/>
                <w:sz w:val="24"/>
                <w:szCs w:val="20"/>
                <w:highlight w:val="none"/>
                <w:lang w:eastAsia="zh-CN"/>
              </w:rPr>
              <w:t>、境外经纪机构报告有关信息</w:t>
            </w:r>
            <w:r>
              <w:rPr>
                <w:rFonts w:hint="eastAsia" w:ascii="仿宋" w:hAnsi="仿宋" w:eastAsia="仿宋" w:cs="Times New Roman"/>
                <w:b w:val="0"/>
                <w:bCs/>
                <w:kern w:val="0"/>
                <w:sz w:val="24"/>
                <w:szCs w:val="20"/>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期货公司会员、境外经纪机构应当对客户报告信息进行核查。核查无误的，期货公司会员应当在5个交易日内向交易所报告，境外经纪机构应当在5个交易日内通过期货公司会员向交易所报告。交易所收到报告后在5个交易日内予以反馈。期货公司会员、境外经纪机构应当在收到交易所反馈后向客户确认。客户收到确认后，方可从事程序化交易。</w:t>
            </w:r>
          </w:p>
        </w:tc>
        <w:tc>
          <w:tcPr>
            <w:tcW w:w="2567" w:type="pct"/>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481" w:firstLineChars="200"/>
              <w:jc w:val="both"/>
              <w:rPr>
                <w:rFonts w:hint="eastAsia" w:ascii="仿宋" w:hAnsi="仿宋" w:eastAsia="仿宋" w:cs="仿宋"/>
                <w:color w:val="auto"/>
                <w:sz w:val="24"/>
                <w:szCs w:val="24"/>
                <w:highlight w:val="none"/>
              </w:rPr>
            </w:pPr>
            <w:r>
              <w:rPr>
                <w:rFonts w:hint="eastAsia" w:ascii="仿宋" w:hAnsi="仿宋" w:eastAsia="仿宋" w:cs="Times New Roman"/>
                <w:b/>
                <w:kern w:val="0"/>
                <w:sz w:val="24"/>
                <w:szCs w:val="20"/>
                <w:highlight w:val="none"/>
              </w:rPr>
              <w:t>第</w:t>
            </w:r>
            <w:r>
              <w:rPr>
                <w:rFonts w:hint="eastAsia" w:ascii="仿宋" w:hAnsi="仿宋" w:eastAsia="仿宋" w:cs="Times New Roman"/>
                <w:b/>
                <w:kern w:val="0"/>
                <w:sz w:val="24"/>
                <w:szCs w:val="20"/>
                <w:highlight w:val="none"/>
                <w:lang w:eastAsia="zh-CN"/>
              </w:rPr>
              <w:t>八</w:t>
            </w:r>
            <w:r>
              <w:rPr>
                <w:rFonts w:hint="eastAsia" w:ascii="仿宋" w:hAnsi="仿宋" w:eastAsia="仿宋" w:cs="Times New Roman"/>
                <w:b/>
                <w:kern w:val="0"/>
                <w:sz w:val="24"/>
                <w:szCs w:val="20"/>
                <w:highlight w:val="none"/>
              </w:rPr>
              <w:t xml:space="preserve">条 </w:t>
            </w:r>
            <w:r>
              <w:rPr>
                <w:rFonts w:hint="eastAsia" w:ascii="仿宋" w:hAnsi="仿宋" w:eastAsia="仿宋" w:cs="仿宋"/>
                <w:color w:val="auto"/>
                <w:sz w:val="24"/>
                <w:szCs w:val="24"/>
                <w:highlight w:val="none"/>
              </w:rPr>
              <w:t>客户</w:t>
            </w:r>
            <w:r>
              <w:rPr>
                <w:rFonts w:hint="eastAsia" w:ascii="仿宋" w:hAnsi="仿宋" w:eastAsia="仿宋" w:cs="仿宋"/>
                <w:color w:val="auto"/>
                <w:sz w:val="24"/>
                <w:szCs w:val="24"/>
                <w:highlight w:val="none"/>
                <w:lang w:eastAsia="zh-CN"/>
              </w:rPr>
              <w:t>从事</w:t>
            </w:r>
            <w:r>
              <w:rPr>
                <w:rFonts w:hint="eastAsia" w:ascii="仿宋" w:hAnsi="仿宋" w:eastAsia="仿宋" w:cs="仿宋"/>
                <w:color w:val="auto"/>
                <w:sz w:val="24"/>
                <w:szCs w:val="24"/>
                <w:highlight w:val="none"/>
              </w:rPr>
              <w:t>程序化交易前，应当向</w:t>
            </w:r>
            <w:r>
              <w:rPr>
                <w:rFonts w:hint="eastAsia" w:ascii="仿宋" w:hAnsi="仿宋" w:eastAsia="仿宋" w:cs="仿宋"/>
                <w:color w:val="auto"/>
                <w:sz w:val="24"/>
                <w:szCs w:val="24"/>
                <w:highlight w:val="none"/>
                <w:lang w:eastAsia="zh-CN"/>
              </w:rPr>
              <w:t>其委托的</w:t>
            </w:r>
            <w:r>
              <w:rPr>
                <w:rFonts w:hint="eastAsia" w:ascii="仿宋" w:hAnsi="仿宋" w:eastAsia="仿宋" w:cs="仿宋"/>
                <w:color w:val="auto"/>
                <w:sz w:val="24"/>
                <w:szCs w:val="24"/>
                <w:highlight w:val="none"/>
              </w:rPr>
              <w:t>期货公司会员</w:t>
            </w:r>
            <w:r>
              <w:rPr>
                <w:rFonts w:hint="eastAsia" w:ascii="仿宋" w:hAnsi="仿宋" w:eastAsia="仿宋" w:cs="仿宋"/>
                <w:b/>
                <w:bCs/>
                <w:color w:val="auto"/>
                <w:sz w:val="24"/>
                <w:szCs w:val="24"/>
                <w:highlight w:val="none"/>
                <w:u w:val="single"/>
                <w:lang w:eastAsia="zh-CN"/>
              </w:rPr>
              <w:t>、境外特殊经纪参与者</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u w:val="none"/>
                <w:lang w:eastAsia="zh-CN"/>
              </w:rPr>
              <w:t>境外</w:t>
            </w:r>
            <w:r>
              <w:rPr>
                <w:rFonts w:hint="eastAsia" w:ascii="仿宋" w:hAnsi="仿宋" w:eastAsia="仿宋" w:cs="仿宋"/>
                <w:strike w:val="0"/>
                <w:dstrike/>
                <w:color w:val="auto"/>
                <w:sz w:val="24"/>
                <w:szCs w:val="24"/>
                <w:highlight w:val="none"/>
                <w:lang w:eastAsia="zh-CN"/>
              </w:rPr>
              <w:t>经纪</w:t>
            </w:r>
            <w:r>
              <w:rPr>
                <w:rFonts w:hint="eastAsia" w:ascii="仿宋" w:hAnsi="仿宋" w:eastAsia="仿宋" w:cs="仿宋"/>
                <w:b/>
                <w:bCs/>
                <w:color w:val="auto"/>
                <w:sz w:val="24"/>
                <w:szCs w:val="24"/>
                <w:highlight w:val="none"/>
                <w:u w:val="single"/>
                <w:lang w:eastAsia="zh-CN"/>
              </w:rPr>
              <w:t>中介</w:t>
            </w:r>
            <w:r>
              <w:rPr>
                <w:rFonts w:hint="eastAsia" w:ascii="仿宋" w:hAnsi="仿宋" w:eastAsia="仿宋" w:cs="仿宋"/>
                <w:color w:val="auto"/>
                <w:sz w:val="24"/>
                <w:szCs w:val="24"/>
                <w:highlight w:val="none"/>
                <w:lang w:eastAsia="zh-CN"/>
              </w:rPr>
              <w:t>机构报告有关信息</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仿宋"/>
                <w:color w:val="auto"/>
                <w:sz w:val="24"/>
                <w:szCs w:val="24"/>
                <w:highlight w:val="none"/>
                <w:lang w:val="en-US" w:eastAsia="zh-CN"/>
              </w:rPr>
              <w:t>期货公司会员</w:t>
            </w:r>
            <w:r>
              <w:rPr>
                <w:rFonts w:hint="eastAsia" w:ascii="仿宋" w:hAnsi="仿宋" w:eastAsia="仿宋" w:cs="仿宋"/>
                <w:b/>
                <w:bCs/>
                <w:color w:val="auto"/>
                <w:sz w:val="24"/>
                <w:szCs w:val="24"/>
                <w:highlight w:val="none"/>
                <w:u w:val="single"/>
                <w:lang w:eastAsia="zh-CN"/>
              </w:rPr>
              <w:t>、境外特殊经纪参与者</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境外</w:t>
            </w:r>
            <w:r>
              <w:rPr>
                <w:rFonts w:hint="eastAsia" w:ascii="仿宋" w:hAnsi="仿宋" w:eastAsia="仿宋" w:cs="仿宋"/>
                <w:strike w:val="0"/>
                <w:dstrike/>
                <w:color w:val="auto"/>
                <w:sz w:val="24"/>
                <w:szCs w:val="24"/>
                <w:highlight w:val="none"/>
                <w:lang w:eastAsia="zh-CN"/>
              </w:rPr>
              <w:t>经纪</w:t>
            </w:r>
            <w:r>
              <w:rPr>
                <w:rFonts w:hint="eastAsia" w:ascii="仿宋" w:hAnsi="仿宋" w:eastAsia="仿宋" w:cs="仿宋"/>
                <w:b/>
                <w:bCs/>
                <w:color w:val="auto"/>
                <w:sz w:val="24"/>
                <w:szCs w:val="24"/>
                <w:highlight w:val="none"/>
                <w:u w:val="single"/>
                <w:lang w:eastAsia="zh-CN"/>
              </w:rPr>
              <w:t>中介</w:t>
            </w:r>
            <w:r>
              <w:rPr>
                <w:rFonts w:hint="eastAsia" w:ascii="仿宋" w:hAnsi="仿宋" w:eastAsia="仿宋" w:cs="仿宋"/>
                <w:color w:val="auto"/>
                <w:sz w:val="24"/>
                <w:szCs w:val="24"/>
                <w:highlight w:val="none"/>
                <w:lang w:eastAsia="zh-CN"/>
              </w:rPr>
              <w:t>机构</w:t>
            </w:r>
            <w:r>
              <w:rPr>
                <w:rFonts w:hint="eastAsia" w:ascii="仿宋" w:hAnsi="仿宋" w:eastAsia="仿宋" w:cs="仿宋"/>
                <w:color w:val="auto"/>
                <w:sz w:val="24"/>
                <w:szCs w:val="24"/>
                <w:highlight w:val="none"/>
                <w:lang w:val="en-US" w:eastAsia="zh-CN"/>
              </w:rPr>
              <w:t>应当对客户报告信息进行核查。核查无误的，期货公司会员</w:t>
            </w:r>
            <w:r>
              <w:rPr>
                <w:rFonts w:hint="eastAsia" w:ascii="仿宋" w:hAnsi="仿宋" w:eastAsia="仿宋" w:cs="仿宋"/>
                <w:b/>
                <w:bCs/>
                <w:color w:val="auto"/>
                <w:sz w:val="24"/>
                <w:szCs w:val="24"/>
                <w:highlight w:val="none"/>
                <w:u w:val="single"/>
                <w:lang w:eastAsia="zh-CN"/>
              </w:rPr>
              <w:t>、境外特殊经纪参与者</w:t>
            </w:r>
            <w:r>
              <w:rPr>
                <w:rFonts w:hint="eastAsia" w:ascii="仿宋" w:hAnsi="仿宋" w:eastAsia="仿宋" w:cs="仿宋"/>
                <w:color w:val="auto"/>
                <w:sz w:val="24"/>
                <w:szCs w:val="24"/>
                <w:highlight w:val="none"/>
                <w:lang w:val="en-US" w:eastAsia="zh-CN"/>
              </w:rPr>
              <w:t>应当在5个交易日内向交易所报告，</w:t>
            </w:r>
            <w:r>
              <w:rPr>
                <w:rFonts w:hint="eastAsia" w:ascii="仿宋" w:hAnsi="仿宋" w:eastAsia="仿宋" w:cs="仿宋"/>
                <w:color w:val="auto"/>
                <w:sz w:val="24"/>
                <w:szCs w:val="24"/>
                <w:highlight w:val="none"/>
                <w:lang w:eastAsia="zh-CN"/>
              </w:rPr>
              <w:t>境外</w:t>
            </w:r>
            <w:r>
              <w:rPr>
                <w:rFonts w:hint="eastAsia" w:ascii="仿宋" w:hAnsi="仿宋" w:eastAsia="仿宋" w:cs="仿宋"/>
                <w:strike w:val="0"/>
                <w:dstrike/>
                <w:color w:val="auto"/>
                <w:sz w:val="24"/>
                <w:szCs w:val="24"/>
                <w:highlight w:val="none"/>
                <w:lang w:eastAsia="zh-CN"/>
              </w:rPr>
              <w:t>经纪</w:t>
            </w:r>
            <w:r>
              <w:rPr>
                <w:rFonts w:hint="eastAsia" w:ascii="仿宋" w:hAnsi="仿宋" w:eastAsia="仿宋" w:cs="仿宋"/>
                <w:b/>
                <w:bCs/>
                <w:color w:val="auto"/>
                <w:sz w:val="24"/>
                <w:szCs w:val="24"/>
                <w:highlight w:val="none"/>
                <w:u w:val="single"/>
                <w:lang w:eastAsia="zh-CN"/>
              </w:rPr>
              <w:t>中介</w:t>
            </w:r>
            <w:r>
              <w:rPr>
                <w:rFonts w:hint="eastAsia" w:ascii="仿宋" w:hAnsi="仿宋" w:eastAsia="仿宋" w:cs="仿宋"/>
                <w:color w:val="auto"/>
                <w:sz w:val="24"/>
                <w:szCs w:val="24"/>
                <w:highlight w:val="none"/>
                <w:lang w:eastAsia="zh-CN"/>
              </w:rPr>
              <w:t>机构</w:t>
            </w:r>
            <w:r>
              <w:rPr>
                <w:rFonts w:hint="eastAsia" w:ascii="仿宋" w:hAnsi="仿宋" w:eastAsia="仿宋" w:cs="仿宋"/>
                <w:color w:val="auto"/>
                <w:sz w:val="24"/>
                <w:szCs w:val="24"/>
                <w:highlight w:val="none"/>
                <w:lang w:val="en-US" w:eastAsia="zh-CN"/>
              </w:rPr>
              <w:t>机构应当在5个交易日内通过期货公司会员</w:t>
            </w:r>
            <w:r>
              <w:rPr>
                <w:rFonts w:hint="eastAsia" w:ascii="仿宋" w:hAnsi="仿宋" w:eastAsia="仿宋" w:cs="仿宋"/>
                <w:b/>
                <w:bCs/>
                <w:color w:val="auto"/>
                <w:sz w:val="24"/>
                <w:szCs w:val="24"/>
                <w:highlight w:val="none"/>
                <w:u w:val="single"/>
                <w:lang w:eastAsia="zh-CN"/>
              </w:rPr>
              <w:t>、境外特殊经纪参与者</w:t>
            </w:r>
            <w:r>
              <w:rPr>
                <w:rFonts w:hint="eastAsia" w:ascii="仿宋" w:hAnsi="仿宋" w:eastAsia="仿宋" w:cs="仿宋"/>
                <w:color w:val="auto"/>
                <w:sz w:val="24"/>
                <w:szCs w:val="24"/>
                <w:highlight w:val="none"/>
                <w:lang w:val="en-US" w:eastAsia="zh-CN"/>
              </w:rPr>
              <w:t>向交易所报告。交易所收到报告后在5个交易日内予以反馈。期货公司会员</w:t>
            </w:r>
            <w:r>
              <w:rPr>
                <w:rFonts w:hint="eastAsia" w:ascii="仿宋" w:hAnsi="仿宋" w:eastAsia="仿宋" w:cs="仿宋"/>
                <w:b/>
                <w:bCs/>
                <w:color w:val="auto"/>
                <w:sz w:val="24"/>
                <w:szCs w:val="24"/>
                <w:highlight w:val="none"/>
                <w:u w:val="single"/>
                <w:lang w:eastAsia="zh-CN"/>
              </w:rPr>
              <w:t>、境外特殊经纪参与者</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境外</w:t>
            </w:r>
            <w:r>
              <w:rPr>
                <w:rFonts w:hint="eastAsia" w:ascii="仿宋" w:hAnsi="仿宋" w:eastAsia="仿宋" w:cs="仿宋"/>
                <w:strike w:val="0"/>
                <w:dstrike/>
                <w:color w:val="auto"/>
                <w:sz w:val="24"/>
                <w:szCs w:val="24"/>
                <w:highlight w:val="none"/>
                <w:lang w:eastAsia="zh-CN"/>
              </w:rPr>
              <w:t>经纪</w:t>
            </w:r>
            <w:r>
              <w:rPr>
                <w:rFonts w:hint="eastAsia" w:ascii="仿宋" w:hAnsi="仿宋" w:eastAsia="仿宋" w:cs="仿宋"/>
                <w:b/>
                <w:bCs/>
                <w:color w:val="auto"/>
                <w:sz w:val="24"/>
                <w:szCs w:val="24"/>
                <w:highlight w:val="none"/>
                <w:u w:val="single"/>
                <w:lang w:eastAsia="zh-CN"/>
              </w:rPr>
              <w:t>中介</w:t>
            </w:r>
            <w:r>
              <w:rPr>
                <w:rFonts w:hint="eastAsia" w:ascii="仿宋" w:hAnsi="仿宋" w:eastAsia="仿宋" w:cs="仿宋"/>
                <w:color w:val="auto"/>
                <w:sz w:val="24"/>
                <w:szCs w:val="24"/>
                <w:highlight w:val="none"/>
                <w:lang w:eastAsia="zh-CN"/>
              </w:rPr>
              <w:t>机构</w:t>
            </w:r>
            <w:r>
              <w:rPr>
                <w:rFonts w:hint="eastAsia" w:ascii="仿宋" w:hAnsi="仿宋" w:eastAsia="仿宋" w:cs="仿宋"/>
                <w:color w:val="auto"/>
                <w:sz w:val="24"/>
                <w:szCs w:val="24"/>
                <w:highlight w:val="none"/>
                <w:lang w:val="en-US" w:eastAsia="zh-CN"/>
              </w:rPr>
              <w:t>应当在收到交易所反馈后向客户确认。客户收到确认后，方可从事程序化交易。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127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kern w:val="0"/>
                <w:sz w:val="24"/>
                <w:szCs w:val="20"/>
                <w:highlight w:val="none"/>
              </w:rPr>
              <w:t>第</w:t>
            </w:r>
            <w:r>
              <w:rPr>
                <w:rFonts w:hint="eastAsia" w:ascii="仿宋" w:hAnsi="仿宋" w:eastAsia="仿宋" w:cs="Times New Roman"/>
                <w:b/>
                <w:kern w:val="0"/>
                <w:sz w:val="24"/>
                <w:szCs w:val="20"/>
                <w:highlight w:val="none"/>
                <w:lang w:eastAsia="zh-CN"/>
              </w:rPr>
              <w:t>九</w:t>
            </w:r>
            <w:r>
              <w:rPr>
                <w:rFonts w:hint="eastAsia" w:ascii="仿宋" w:hAnsi="仿宋" w:eastAsia="仿宋" w:cs="Times New Roman"/>
                <w:b/>
                <w:kern w:val="0"/>
                <w:sz w:val="24"/>
                <w:szCs w:val="20"/>
                <w:highlight w:val="none"/>
              </w:rPr>
              <w:t xml:space="preserve">条 </w:t>
            </w:r>
            <w:r>
              <w:rPr>
                <w:rFonts w:hint="eastAsia" w:ascii="仿宋" w:hAnsi="仿宋" w:eastAsia="仿宋" w:cs="Times New Roman"/>
                <w:b w:val="0"/>
                <w:bCs/>
                <w:kern w:val="0"/>
                <w:sz w:val="24"/>
                <w:szCs w:val="20"/>
                <w:highlight w:val="none"/>
                <w:lang w:val="en-US" w:eastAsia="zh-CN"/>
              </w:rPr>
              <w:t>非期货公司会员从事程序化交易前，应当向交易所报告有关信息。交易所在5个交易日内予以反馈。非期货公司会员收到交易所确认后方可从事程序化交易。</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非期货公司会员不得从事高频交易。</w:t>
            </w:r>
          </w:p>
        </w:tc>
        <w:tc>
          <w:tcPr>
            <w:tcW w:w="2567" w:type="pct"/>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ind w:firstLine="481"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TW" w:bidi="ar-SA"/>
              </w:rPr>
              <w:t>第</w:t>
            </w:r>
            <w:r>
              <w:rPr>
                <w:rFonts w:hint="eastAsia" w:ascii="仿宋" w:hAnsi="仿宋" w:eastAsia="仿宋" w:cs="仿宋"/>
                <w:b/>
                <w:bCs/>
                <w:color w:val="auto"/>
                <w:kern w:val="2"/>
                <w:sz w:val="24"/>
                <w:szCs w:val="24"/>
                <w:highlight w:val="none"/>
                <w:lang w:val="en-US" w:eastAsia="zh-CN" w:bidi="ar-SA"/>
              </w:rPr>
              <w:t>九</w:t>
            </w:r>
            <w:r>
              <w:rPr>
                <w:rFonts w:hint="eastAsia" w:ascii="仿宋" w:hAnsi="仿宋" w:eastAsia="仿宋" w:cs="仿宋"/>
                <w:b/>
                <w:bCs/>
                <w:color w:val="auto"/>
                <w:kern w:val="2"/>
                <w:sz w:val="24"/>
                <w:szCs w:val="24"/>
                <w:highlight w:val="none"/>
                <w:lang w:val="en-US" w:eastAsia="zh-TW" w:bidi="ar-SA"/>
              </w:rPr>
              <w:t xml:space="preserve">条 </w:t>
            </w:r>
            <w:r>
              <w:rPr>
                <w:rFonts w:hint="eastAsia" w:ascii="仿宋" w:hAnsi="仿宋" w:eastAsia="仿宋" w:cs="仿宋"/>
                <w:color w:val="auto"/>
                <w:kern w:val="2"/>
                <w:sz w:val="24"/>
                <w:szCs w:val="24"/>
                <w:highlight w:val="none"/>
                <w:lang w:val="en-US" w:eastAsia="zh-CN" w:bidi="ar-SA"/>
              </w:rPr>
              <w:t>非期货公司会员</w:t>
            </w:r>
            <w:r>
              <w:rPr>
                <w:rFonts w:hint="eastAsia" w:ascii="仿宋" w:hAnsi="仿宋" w:eastAsia="仿宋" w:cs="仿宋"/>
                <w:b/>
                <w:bCs/>
                <w:color w:val="auto"/>
                <w:sz w:val="24"/>
                <w:szCs w:val="24"/>
                <w:highlight w:val="none"/>
                <w:u w:val="single"/>
                <w:lang w:eastAsia="zh-CN"/>
              </w:rPr>
              <w:t>、境外特殊非经纪参与者</w:t>
            </w:r>
            <w:r>
              <w:rPr>
                <w:rFonts w:hint="eastAsia" w:ascii="仿宋" w:hAnsi="仿宋" w:eastAsia="仿宋" w:cs="仿宋"/>
                <w:color w:val="auto"/>
                <w:kern w:val="2"/>
                <w:sz w:val="24"/>
                <w:szCs w:val="24"/>
                <w:highlight w:val="none"/>
                <w:lang w:val="en-US" w:eastAsia="zh-CN" w:bidi="ar-SA"/>
              </w:rPr>
              <w:t>从事程序化交易前，应当向交易所报告有关信息。交易所在5个交易日内予以反馈。非期货公司会员</w:t>
            </w:r>
            <w:r>
              <w:rPr>
                <w:rFonts w:hint="eastAsia" w:ascii="仿宋" w:hAnsi="仿宋" w:eastAsia="仿宋" w:cs="仿宋"/>
                <w:b/>
                <w:bCs/>
                <w:color w:val="auto"/>
                <w:sz w:val="24"/>
                <w:szCs w:val="24"/>
                <w:highlight w:val="none"/>
                <w:u w:val="single"/>
                <w:lang w:eastAsia="zh-CN"/>
              </w:rPr>
              <w:t>、境外特殊非经纪参与者</w:t>
            </w:r>
            <w:r>
              <w:rPr>
                <w:rFonts w:hint="eastAsia" w:ascii="仿宋" w:hAnsi="仿宋" w:eastAsia="仿宋" w:cs="仿宋"/>
                <w:color w:val="auto"/>
                <w:kern w:val="2"/>
                <w:sz w:val="24"/>
                <w:szCs w:val="24"/>
                <w:highlight w:val="none"/>
                <w:lang w:val="en-US" w:eastAsia="zh-CN" w:bidi="ar-SA"/>
              </w:rPr>
              <w:t>收到交易所确认后方可从事程序化交易。</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仿宋"/>
                <w:color w:val="auto"/>
                <w:sz w:val="24"/>
                <w:szCs w:val="24"/>
                <w:highlight w:val="none"/>
                <w:lang w:eastAsia="zh-CN"/>
              </w:rPr>
              <w:t>非期货公司会员</w:t>
            </w:r>
            <w:r>
              <w:rPr>
                <w:rFonts w:hint="eastAsia" w:ascii="仿宋" w:hAnsi="仿宋" w:eastAsia="仿宋" w:cs="仿宋"/>
                <w:b/>
                <w:bCs/>
                <w:color w:val="auto"/>
                <w:sz w:val="24"/>
                <w:szCs w:val="24"/>
                <w:highlight w:val="none"/>
                <w:u w:val="single"/>
                <w:lang w:eastAsia="zh-CN"/>
              </w:rPr>
              <w:t>、境外特殊非经纪参与者</w:t>
            </w:r>
            <w:r>
              <w:rPr>
                <w:rFonts w:hint="eastAsia" w:ascii="仿宋" w:hAnsi="仿宋" w:eastAsia="仿宋" w:cs="仿宋"/>
                <w:color w:val="auto"/>
                <w:sz w:val="24"/>
                <w:szCs w:val="24"/>
                <w:highlight w:val="none"/>
                <w:lang w:eastAsia="zh-CN"/>
              </w:rPr>
              <w:t>不得从事高频交易。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第十条</w:t>
            </w:r>
            <w:r>
              <w:rPr>
                <w:rFonts w:hint="eastAsia" w:ascii="仿宋" w:hAnsi="仿宋" w:eastAsia="仿宋" w:cs="Times New Roman"/>
                <w:b w:val="0"/>
                <w:bCs/>
                <w:kern w:val="0"/>
                <w:sz w:val="24"/>
                <w:szCs w:val="20"/>
                <w:highlight w:val="none"/>
                <w:lang w:val="en-US" w:eastAsia="zh-CN"/>
              </w:rPr>
              <w:t xml:space="preserve"> 程序化交易者应当真实、准确、完整报告以下信息：</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（一）账户基本信息，包括交易者名称、交易编码、产品管理人和委托的期货公司会员或者境外经纪机构等；</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第十条</w:t>
            </w:r>
            <w:r>
              <w:rPr>
                <w:rFonts w:hint="eastAsia" w:ascii="仿宋" w:hAnsi="仿宋" w:eastAsia="仿宋" w:cs="Times New Roman"/>
                <w:b w:val="0"/>
                <w:bCs/>
                <w:kern w:val="0"/>
                <w:sz w:val="24"/>
                <w:szCs w:val="20"/>
                <w:highlight w:val="none"/>
                <w:lang w:val="en-US" w:eastAsia="zh-CN"/>
              </w:rPr>
              <w:t xml:space="preserve"> 程序化交易者应当真实、准确、完整报告以下信息：</w:t>
            </w:r>
          </w:p>
          <w:p>
            <w:pPr>
              <w:keepNext w:val="0"/>
              <w:keepLines w:val="0"/>
              <w:pageBreakBefore w:val="0"/>
              <w:widowControl w:val="0"/>
              <w:kinsoku/>
              <w:wordWrap/>
              <w:overflowPunct/>
              <w:topLinePunct w:val="0"/>
              <w:autoSpaceDE/>
              <w:autoSpaceDN/>
              <w:bidi w:val="0"/>
              <w:snapToGrid w:val="0"/>
              <w:spacing w:line="240" w:lineRule="atLeast"/>
              <w:ind w:firstLine="480" w:firstLineChars="200"/>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（一）账户基本信息，包括交易者名称、交易编码、产品管理人和委托的期货公司会员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或者</w:t>
            </w:r>
            <w:r>
              <w:rPr>
                <w:rFonts w:hint="eastAsia" w:ascii="仿宋" w:hAnsi="仿宋" w:eastAsia="仿宋" w:cs="Times New Roman"/>
                <w:bCs/>
                <w:strike w:val="0"/>
                <w:dstrike w:val="0"/>
                <w:color w:val="auto"/>
                <w:kern w:val="0"/>
                <w:sz w:val="24"/>
                <w:szCs w:val="20"/>
                <w:highlight w:val="none"/>
                <w:lang w:val="en-US" w:eastAsia="zh-CN"/>
              </w:rPr>
              <w:t>境外</w:t>
            </w:r>
            <w:r>
              <w:rPr>
                <w:rFonts w:hint="eastAsia" w:ascii="仿宋" w:hAnsi="仿宋" w:eastAsia="仿宋" w:cs="仿宋"/>
                <w:strike w:val="0"/>
                <w:dstrike/>
                <w:color w:val="auto"/>
                <w:sz w:val="24"/>
                <w:szCs w:val="24"/>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机构等；</w:t>
            </w:r>
          </w:p>
          <w:p>
            <w:pPr>
              <w:keepNext w:val="0"/>
              <w:keepLines w:val="0"/>
              <w:pageBreakBefore w:val="0"/>
              <w:widowControl w:val="0"/>
              <w:kinsoku/>
              <w:wordWrap/>
              <w:overflowPunct/>
              <w:topLinePunct w:val="0"/>
              <w:autoSpaceDE/>
              <w:autoSpaceDN/>
              <w:bidi w:val="0"/>
              <w:snapToGrid w:val="0"/>
              <w:spacing w:line="240" w:lineRule="atLeast"/>
              <w:ind w:firstLine="480" w:firstLineChars="200"/>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lang w:val="en-US" w:eastAsia="zh-TW"/>
              </w:rPr>
              <w:t>第</w:t>
            </w:r>
            <w:r>
              <w:rPr>
                <w:rFonts w:hint="eastAsia" w:ascii="仿宋" w:hAnsi="仿宋" w:eastAsia="仿宋" w:cs="Times New Roman"/>
                <w:b/>
                <w:bCs w:val="0"/>
                <w:kern w:val="0"/>
                <w:sz w:val="24"/>
                <w:szCs w:val="20"/>
                <w:highlight w:val="none"/>
                <w:lang w:val="en-US" w:eastAsia="zh-CN"/>
              </w:rPr>
              <w:t>十二</w:t>
            </w:r>
            <w:r>
              <w:rPr>
                <w:rFonts w:hint="eastAsia" w:ascii="仿宋" w:hAnsi="仿宋" w:eastAsia="仿宋" w:cs="Times New Roman"/>
                <w:b/>
                <w:bCs w:val="0"/>
                <w:kern w:val="0"/>
                <w:sz w:val="24"/>
                <w:szCs w:val="20"/>
                <w:highlight w:val="none"/>
                <w:lang w:val="en-US" w:eastAsia="zh-TW"/>
              </w:rPr>
              <w:t>条</w:t>
            </w:r>
            <w:r>
              <w:rPr>
                <w:rFonts w:hint="eastAsia" w:ascii="仿宋" w:hAnsi="仿宋" w:eastAsia="仿宋" w:cs="Times New Roman"/>
                <w:b w:val="0"/>
                <w:bCs/>
                <w:kern w:val="0"/>
                <w:sz w:val="24"/>
                <w:szCs w:val="20"/>
                <w:highlight w:val="none"/>
                <w:lang w:val="en-US" w:eastAsia="zh-CN"/>
              </w:rPr>
              <w:t xml:space="preserve"> 期货公司会员、境外经纪机构应当每半年或者按交易所要求对程序化交易客户报告的信息进行核查，发现未按规定报告的，应当督促客户及时改正。经督促仍不改正的，期货公司会员、境外经纪机构应当按照委托协议约定，拒绝继续接受其开仓委托。</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lang w:val="en-US" w:eastAsia="zh-TW"/>
              </w:rPr>
              <w:t>第</w:t>
            </w:r>
            <w:r>
              <w:rPr>
                <w:rFonts w:hint="eastAsia" w:ascii="仿宋" w:hAnsi="仿宋" w:eastAsia="仿宋" w:cs="Times New Roman"/>
                <w:b/>
                <w:bCs w:val="0"/>
                <w:kern w:val="0"/>
                <w:sz w:val="24"/>
                <w:szCs w:val="20"/>
                <w:highlight w:val="none"/>
                <w:lang w:val="en-US" w:eastAsia="zh-CN"/>
              </w:rPr>
              <w:t>十二</w:t>
            </w:r>
            <w:r>
              <w:rPr>
                <w:rFonts w:hint="eastAsia" w:ascii="仿宋" w:hAnsi="仿宋" w:eastAsia="仿宋" w:cs="Times New Roman"/>
                <w:b/>
                <w:bCs w:val="0"/>
                <w:kern w:val="0"/>
                <w:sz w:val="24"/>
                <w:szCs w:val="20"/>
                <w:highlight w:val="none"/>
                <w:lang w:val="en-US" w:eastAsia="zh-TW"/>
              </w:rPr>
              <w:t>条</w:t>
            </w:r>
            <w:r>
              <w:rPr>
                <w:rFonts w:hint="eastAsia" w:ascii="仿宋" w:hAnsi="仿宋" w:eastAsia="仿宋" w:cs="Times New Roman"/>
                <w:b w:val="0"/>
                <w:bCs/>
                <w:kern w:val="0"/>
                <w:sz w:val="24"/>
                <w:szCs w:val="20"/>
                <w:highlight w:val="none"/>
                <w:lang w:val="en-US" w:eastAsia="zh-CN"/>
              </w:rPr>
              <w:t xml:space="preserve"> 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机构应当每半年或者按交易所要求对程序化交易客户报告的信息进行核查，发现未按规定报告的，应当督促客户及时改正。经督促仍不改正的，期货公司会员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机构应当按照委托协议约定，拒绝继续接受其开仓委托。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TW"/>
              </w:rPr>
              <w:t>第</w:t>
            </w:r>
            <w:r>
              <w:rPr>
                <w:rFonts w:hint="eastAsia" w:ascii="仿宋" w:hAnsi="仿宋" w:eastAsia="仿宋" w:cs="Times New Roman"/>
                <w:b/>
                <w:bCs w:val="0"/>
                <w:kern w:val="0"/>
                <w:sz w:val="24"/>
                <w:szCs w:val="20"/>
                <w:highlight w:val="none"/>
                <w:lang w:val="en-US" w:eastAsia="zh-CN"/>
              </w:rPr>
              <w:t>十四</w:t>
            </w:r>
            <w:r>
              <w:rPr>
                <w:rFonts w:hint="eastAsia" w:ascii="仿宋" w:hAnsi="仿宋" w:eastAsia="仿宋" w:cs="Times New Roman"/>
                <w:b/>
                <w:bCs w:val="0"/>
                <w:kern w:val="0"/>
                <w:sz w:val="24"/>
                <w:szCs w:val="20"/>
                <w:highlight w:val="none"/>
                <w:lang w:val="en-US" w:eastAsia="zh-TW"/>
              </w:rPr>
              <w:t>条</w:t>
            </w:r>
            <w:r>
              <w:rPr>
                <w:rFonts w:hint="eastAsia" w:ascii="仿宋" w:hAnsi="仿宋" w:eastAsia="仿宋" w:cs="Times New Roman"/>
                <w:b w:val="0"/>
                <w:bCs/>
                <w:kern w:val="0"/>
                <w:sz w:val="24"/>
                <w:szCs w:val="20"/>
                <w:highlight w:val="none"/>
                <w:lang w:val="en-US" w:eastAsia="zh-CN"/>
              </w:rPr>
              <w:t xml:space="preserve"> 期货公司会员、境外经纪机构应当对客户报告的信息保密，不得非法买卖、提供、公开或者以其他不正当手段使用客户报告的信息，不得泄露所知悉的商业秘密等。</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期货公司会员、境外经纪机构应当妥善保存客户的报告信息和核查工作记录，保存期限不得少于二十年。</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TW"/>
              </w:rPr>
              <w:t>第</w:t>
            </w:r>
            <w:r>
              <w:rPr>
                <w:rFonts w:hint="eastAsia" w:ascii="仿宋" w:hAnsi="仿宋" w:eastAsia="仿宋" w:cs="Times New Roman"/>
                <w:b/>
                <w:bCs w:val="0"/>
                <w:kern w:val="0"/>
                <w:sz w:val="24"/>
                <w:szCs w:val="20"/>
                <w:highlight w:val="none"/>
                <w:lang w:val="en-US" w:eastAsia="zh-CN"/>
              </w:rPr>
              <w:t>十四</w:t>
            </w:r>
            <w:r>
              <w:rPr>
                <w:rFonts w:hint="eastAsia" w:ascii="仿宋" w:hAnsi="仿宋" w:eastAsia="仿宋" w:cs="Times New Roman"/>
                <w:b/>
                <w:bCs w:val="0"/>
                <w:kern w:val="0"/>
                <w:sz w:val="24"/>
                <w:szCs w:val="20"/>
                <w:highlight w:val="none"/>
                <w:lang w:val="en-US" w:eastAsia="zh-TW"/>
              </w:rPr>
              <w:t>条</w:t>
            </w:r>
            <w:r>
              <w:rPr>
                <w:rFonts w:hint="eastAsia" w:ascii="仿宋" w:hAnsi="仿宋" w:eastAsia="仿宋" w:cs="Times New Roman"/>
                <w:b w:val="0"/>
                <w:bCs/>
                <w:kern w:val="0"/>
                <w:sz w:val="24"/>
                <w:szCs w:val="20"/>
                <w:highlight w:val="none"/>
                <w:lang w:val="en-US" w:eastAsia="zh-CN"/>
              </w:rPr>
              <w:t xml:space="preserve"> 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机构应当对客户报告的信息保密，不得非法买卖、提供、公开或者以其他不正当手段使用客户报告的信息，不得泄露所知悉的商业秘密等。</w:t>
            </w:r>
          </w:p>
          <w:p>
            <w:pPr>
              <w:keepNext w:val="0"/>
              <w:keepLines w:val="0"/>
              <w:pageBreakBefore w:val="0"/>
              <w:widowControl w:val="0"/>
              <w:kinsoku/>
              <w:wordWrap/>
              <w:overflowPunct/>
              <w:topLinePunct w:val="0"/>
              <w:autoSpaceDE/>
              <w:autoSpaceDN/>
              <w:bidi w:val="0"/>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机构应当妥善保存客户的报告信息和核查工作记录，保存期限不得少于二十年。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TW"/>
              </w:rPr>
              <w:t>第</w:t>
            </w:r>
            <w:r>
              <w:rPr>
                <w:rFonts w:hint="eastAsia" w:ascii="仿宋" w:hAnsi="仿宋" w:eastAsia="仿宋" w:cs="Times New Roman"/>
                <w:b/>
                <w:bCs w:val="0"/>
                <w:kern w:val="0"/>
                <w:sz w:val="24"/>
                <w:szCs w:val="20"/>
                <w:highlight w:val="none"/>
                <w:lang w:val="en-US" w:eastAsia="zh-CN"/>
              </w:rPr>
              <w:t>十六</w:t>
            </w:r>
            <w:r>
              <w:rPr>
                <w:rFonts w:hint="eastAsia" w:ascii="仿宋" w:hAnsi="仿宋" w:eastAsia="仿宋" w:cs="Times New Roman"/>
                <w:b/>
                <w:bCs w:val="0"/>
                <w:kern w:val="0"/>
                <w:sz w:val="24"/>
                <w:szCs w:val="20"/>
                <w:highlight w:val="none"/>
                <w:lang w:val="en-US" w:eastAsia="zh-TW"/>
              </w:rPr>
              <w:t>条</w:t>
            </w:r>
            <w:r>
              <w:rPr>
                <w:rFonts w:hint="eastAsia" w:ascii="仿宋" w:hAnsi="仿宋" w:eastAsia="仿宋" w:cs="Times New Roman"/>
                <w:b w:val="0"/>
                <w:bCs/>
                <w:kern w:val="0"/>
                <w:sz w:val="24"/>
                <w:szCs w:val="20"/>
                <w:highlight w:val="none"/>
                <w:lang w:val="en-US" w:eastAsia="zh-CN"/>
              </w:rPr>
              <w:t xml:space="preserve"> 期货公司会员、境外经纪机构、程序化交易者应当确保用于程序化交易的技术系统符合中国证监会有关规定及交易所业务规则，遵循合规审慎、风险可控原则，不得影响交易所系统安全和市场公平，不得侵害其他交易者的合法权益。</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期货公司会员、境外经纪机构应当将系统外部接入管理纳入合规风控体系，建立健全接入测试、交易监测、异常处理、应急处置、退出安排等全流程管理机制。</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TW"/>
              </w:rPr>
              <w:t>第</w:t>
            </w:r>
            <w:r>
              <w:rPr>
                <w:rFonts w:hint="eastAsia" w:ascii="仿宋" w:hAnsi="仿宋" w:eastAsia="仿宋" w:cs="Times New Roman"/>
                <w:b/>
                <w:bCs w:val="0"/>
                <w:kern w:val="0"/>
                <w:sz w:val="24"/>
                <w:szCs w:val="20"/>
                <w:highlight w:val="none"/>
                <w:lang w:val="en-US" w:eastAsia="zh-CN"/>
              </w:rPr>
              <w:t>十六</w:t>
            </w:r>
            <w:r>
              <w:rPr>
                <w:rFonts w:hint="eastAsia" w:ascii="仿宋" w:hAnsi="仿宋" w:eastAsia="仿宋" w:cs="Times New Roman"/>
                <w:b/>
                <w:bCs w:val="0"/>
                <w:kern w:val="0"/>
                <w:sz w:val="24"/>
                <w:szCs w:val="20"/>
                <w:highlight w:val="none"/>
                <w:lang w:val="en-US" w:eastAsia="zh-TW"/>
              </w:rPr>
              <w:t>条</w:t>
            </w:r>
            <w:r>
              <w:rPr>
                <w:rFonts w:hint="eastAsia" w:ascii="仿宋" w:hAnsi="仿宋" w:eastAsia="仿宋" w:cs="Times New Roman"/>
                <w:b w:val="0"/>
                <w:bCs/>
                <w:kern w:val="0"/>
                <w:sz w:val="24"/>
                <w:szCs w:val="20"/>
                <w:highlight w:val="none"/>
                <w:lang w:val="en-US" w:eastAsia="zh-CN"/>
              </w:rPr>
              <w:t xml:space="preserve"> 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机构、程序化交易者应当确保用于程序化交易的技术系统符合中国证监会有关规定及交易所业务规则，遵循合规审慎、风险可控原则，不得影响交易所系统安全和市场公平，不得侵害其他交易者的合法权益。</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lang w:val="en-US" w:eastAsia="zh-CN" w:bidi="ar-SA"/>
              </w:rPr>
            </w:pPr>
            <w:r>
              <w:rPr>
                <w:rFonts w:hint="eastAsia" w:ascii="仿宋" w:hAnsi="仿宋" w:eastAsia="仿宋" w:cs="Times New Roman"/>
                <w:b w:val="0"/>
                <w:bCs/>
                <w:kern w:val="0"/>
                <w:sz w:val="24"/>
                <w:szCs w:val="20"/>
                <w:highlight w:val="none"/>
                <w:lang w:val="en-US" w:eastAsia="zh-CN"/>
              </w:rPr>
              <w:t>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机构应当将系统外部接入管理纳入合规风控体系，建立健全接入测试、交易监测、异常处理、应急处置、退出安排等全流程管理机制。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第十七条</w:t>
            </w:r>
            <w:r>
              <w:rPr>
                <w:rFonts w:hint="eastAsia" w:ascii="仿宋" w:hAnsi="仿宋" w:eastAsia="仿宋" w:cs="Times New Roman"/>
                <w:b w:val="0"/>
                <w:bCs/>
                <w:kern w:val="0"/>
                <w:sz w:val="24"/>
                <w:szCs w:val="20"/>
                <w:highlight w:val="none"/>
                <w:lang w:val="en-US" w:eastAsia="zh-CN"/>
              </w:rPr>
              <w:t xml:space="preserve"> 交易者用于程序化交易的技术系统应当满足下列要求：</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TW"/>
              </w:rPr>
            </w:pPr>
            <w:r>
              <w:rPr>
                <w:rFonts w:hint="eastAsia" w:ascii="仿宋" w:hAnsi="仿宋" w:eastAsia="仿宋" w:cs="Times New Roman"/>
                <w:b w:val="0"/>
                <w:bCs/>
                <w:kern w:val="0"/>
                <w:sz w:val="24"/>
                <w:szCs w:val="20"/>
                <w:highlight w:val="none"/>
                <w:lang w:val="en-US" w:eastAsia="zh-CN"/>
              </w:rPr>
              <w:t>除前款规定的要求外，</w:t>
            </w:r>
            <w:r>
              <w:rPr>
                <w:rFonts w:hint="eastAsia" w:ascii="仿宋" w:hAnsi="仿宋" w:eastAsia="仿宋" w:cs="Times New Roman"/>
                <w:b w:val="0"/>
                <w:bCs/>
                <w:kern w:val="0"/>
                <w:sz w:val="24"/>
                <w:szCs w:val="20"/>
                <w:highlight w:val="none"/>
                <w:lang w:val="en-US" w:eastAsia="zh-TW"/>
              </w:rPr>
              <w:t>非期货公司会员</w:t>
            </w:r>
            <w:r>
              <w:rPr>
                <w:rFonts w:hint="eastAsia" w:ascii="仿宋" w:hAnsi="仿宋" w:eastAsia="仿宋" w:cs="Times New Roman"/>
                <w:b w:val="0"/>
                <w:bCs/>
                <w:kern w:val="0"/>
                <w:sz w:val="24"/>
                <w:szCs w:val="20"/>
                <w:highlight w:val="none"/>
                <w:lang w:val="en-US" w:eastAsia="zh-CN"/>
              </w:rPr>
              <w:t>用于程序化交易的技术系统</w:t>
            </w:r>
            <w:r>
              <w:rPr>
                <w:rFonts w:hint="eastAsia" w:ascii="仿宋" w:hAnsi="仿宋" w:eastAsia="仿宋" w:cs="Times New Roman"/>
                <w:b w:val="0"/>
                <w:bCs/>
                <w:kern w:val="0"/>
                <w:sz w:val="24"/>
                <w:szCs w:val="20"/>
                <w:highlight w:val="none"/>
                <w:lang w:val="en-US" w:eastAsia="zh-TW"/>
              </w:rPr>
              <w:t>还应当满足下列要求：</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Times New Roman"/>
                <w:b w:val="0"/>
                <w:bCs/>
                <w:kern w:val="0"/>
                <w:sz w:val="24"/>
                <w:szCs w:val="20"/>
                <w:highlight w:val="none"/>
                <w:lang w:val="en-US" w:eastAsia="zh-CN"/>
              </w:rPr>
              <w:t>……</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第十七条</w:t>
            </w:r>
            <w:r>
              <w:rPr>
                <w:rFonts w:hint="eastAsia" w:ascii="仿宋" w:hAnsi="仿宋" w:eastAsia="仿宋" w:cs="Times New Roman"/>
                <w:b w:val="0"/>
                <w:bCs/>
                <w:kern w:val="0"/>
                <w:sz w:val="24"/>
                <w:szCs w:val="20"/>
                <w:highlight w:val="none"/>
                <w:lang w:val="en-US" w:eastAsia="zh-CN"/>
              </w:rPr>
              <w:t xml:space="preserve"> 交易者用于程序化交易的技术系统应当满足下列要求：</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TW"/>
              </w:rPr>
            </w:pPr>
            <w:r>
              <w:rPr>
                <w:rFonts w:hint="eastAsia" w:ascii="仿宋" w:hAnsi="仿宋" w:eastAsia="仿宋" w:cs="Times New Roman"/>
                <w:b w:val="0"/>
                <w:bCs/>
                <w:kern w:val="0"/>
                <w:sz w:val="24"/>
                <w:szCs w:val="20"/>
                <w:highlight w:val="none"/>
                <w:lang w:val="en-US" w:eastAsia="zh-CN"/>
              </w:rPr>
              <w:t>除前款规定的要求外，</w:t>
            </w:r>
            <w:r>
              <w:rPr>
                <w:rFonts w:hint="eastAsia" w:ascii="仿宋" w:hAnsi="仿宋" w:eastAsia="仿宋" w:cs="Times New Roman"/>
                <w:b w:val="0"/>
                <w:bCs/>
                <w:kern w:val="0"/>
                <w:sz w:val="24"/>
                <w:szCs w:val="20"/>
                <w:highlight w:val="none"/>
                <w:lang w:val="en-US" w:eastAsia="zh-TW"/>
              </w:rPr>
              <w:t>非期货公司会员</w:t>
            </w:r>
            <w:r>
              <w:rPr>
                <w:rFonts w:hint="eastAsia" w:ascii="仿宋" w:hAnsi="仿宋" w:eastAsia="仿宋" w:cs="Times New Roman"/>
                <w:b/>
                <w:bCs w:val="0"/>
                <w:kern w:val="0"/>
                <w:sz w:val="24"/>
                <w:szCs w:val="20"/>
                <w:highlight w:val="none"/>
                <w:u w:val="single"/>
                <w:lang w:val="en-US" w:eastAsia="zh-CN"/>
              </w:rPr>
              <w:t>、境外特殊非经纪参与者</w:t>
            </w:r>
            <w:r>
              <w:rPr>
                <w:rFonts w:hint="eastAsia" w:ascii="仿宋" w:hAnsi="仿宋" w:eastAsia="仿宋" w:cs="Times New Roman"/>
                <w:b w:val="0"/>
                <w:bCs/>
                <w:kern w:val="0"/>
                <w:sz w:val="24"/>
                <w:szCs w:val="20"/>
                <w:highlight w:val="none"/>
                <w:lang w:val="en-US" w:eastAsia="zh-CN"/>
              </w:rPr>
              <w:t>用于程序化交易的技术系统</w:t>
            </w:r>
            <w:r>
              <w:rPr>
                <w:rFonts w:hint="eastAsia" w:ascii="仿宋" w:hAnsi="仿宋" w:eastAsia="仿宋" w:cs="Times New Roman"/>
                <w:b w:val="0"/>
                <w:bCs/>
                <w:kern w:val="0"/>
                <w:sz w:val="24"/>
                <w:szCs w:val="20"/>
                <w:highlight w:val="none"/>
                <w:lang w:val="en-US" w:eastAsia="zh-TW"/>
              </w:rPr>
              <w:t>还应当满足下列要求：</w:t>
            </w:r>
          </w:p>
          <w:p>
            <w:pPr>
              <w:keepNext w:val="0"/>
              <w:keepLines w:val="0"/>
              <w:pageBreakBefore w:val="0"/>
              <w:widowControl w:val="0"/>
              <w:kinsoku/>
              <w:wordWrap/>
              <w:overflowPunct/>
              <w:topLinePunct w:val="0"/>
              <w:autoSpaceDE/>
              <w:autoSpaceDN/>
              <w:bidi w:val="0"/>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TW"/>
              </w:rPr>
              <w:t>第</w:t>
            </w:r>
            <w:r>
              <w:rPr>
                <w:rFonts w:hint="eastAsia" w:ascii="仿宋" w:hAnsi="仿宋" w:eastAsia="仿宋" w:cs="Times New Roman"/>
                <w:b/>
                <w:bCs w:val="0"/>
                <w:kern w:val="0"/>
                <w:sz w:val="24"/>
                <w:szCs w:val="20"/>
                <w:highlight w:val="none"/>
                <w:lang w:val="en-US" w:eastAsia="zh-CN"/>
              </w:rPr>
              <w:t>十八</w:t>
            </w:r>
            <w:r>
              <w:rPr>
                <w:rFonts w:hint="eastAsia" w:ascii="仿宋" w:hAnsi="仿宋" w:eastAsia="仿宋" w:cs="Times New Roman"/>
                <w:b/>
                <w:bCs w:val="0"/>
                <w:kern w:val="0"/>
                <w:sz w:val="24"/>
                <w:szCs w:val="20"/>
                <w:highlight w:val="none"/>
                <w:lang w:val="en-US" w:eastAsia="zh-TW"/>
              </w:rPr>
              <w:t>条</w:t>
            </w:r>
            <w:r>
              <w:rPr>
                <w:rFonts w:hint="eastAsia" w:ascii="仿宋" w:hAnsi="仿宋" w:eastAsia="仿宋" w:cs="Times New Roman"/>
                <w:b w:val="0"/>
                <w:bCs/>
                <w:kern w:val="0"/>
                <w:sz w:val="24"/>
                <w:szCs w:val="20"/>
                <w:highlight w:val="none"/>
                <w:lang w:val="en-US" w:eastAsia="zh-TW"/>
              </w:rPr>
              <w:t xml:space="preserve"> </w:t>
            </w:r>
            <w:r>
              <w:rPr>
                <w:rFonts w:hint="eastAsia" w:ascii="仿宋" w:hAnsi="仿宋" w:eastAsia="仿宋" w:cs="Times New Roman"/>
                <w:b w:val="0"/>
                <w:bCs/>
                <w:kern w:val="0"/>
                <w:sz w:val="24"/>
                <w:szCs w:val="20"/>
                <w:highlight w:val="none"/>
                <w:lang w:val="en-US" w:eastAsia="zh-CN"/>
              </w:rPr>
              <w:t>期货公司会员使用的交易信息系统应当满足下列要求：</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Times New Roman"/>
                <w:b w:val="0"/>
                <w:bCs/>
                <w:kern w:val="0"/>
                <w:sz w:val="24"/>
                <w:szCs w:val="20"/>
                <w:highlight w:val="none"/>
                <w:lang w:val="en-US" w:eastAsia="zh-CN"/>
              </w:rPr>
              <w:t>境外经纪机构用于程序化交易的技术系统应当满足前款第（一）项、第（二）项、第（四）至第（九）项、第（十一）项要求。</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TW"/>
              </w:rPr>
              <w:t>第</w:t>
            </w:r>
            <w:r>
              <w:rPr>
                <w:rFonts w:hint="eastAsia" w:ascii="仿宋" w:hAnsi="仿宋" w:eastAsia="仿宋" w:cs="Times New Roman"/>
                <w:b w:val="0"/>
                <w:bCs/>
                <w:kern w:val="0"/>
                <w:sz w:val="24"/>
                <w:szCs w:val="20"/>
                <w:highlight w:val="none"/>
                <w:lang w:val="en-US" w:eastAsia="zh-CN"/>
              </w:rPr>
              <w:t>十八</w:t>
            </w:r>
            <w:r>
              <w:rPr>
                <w:rFonts w:hint="eastAsia" w:ascii="仿宋" w:hAnsi="仿宋" w:eastAsia="仿宋" w:cs="Times New Roman"/>
                <w:b w:val="0"/>
                <w:bCs/>
                <w:kern w:val="0"/>
                <w:sz w:val="24"/>
                <w:szCs w:val="20"/>
                <w:highlight w:val="none"/>
                <w:lang w:val="en-US" w:eastAsia="zh-TW"/>
              </w:rPr>
              <w:t xml:space="preserve">条 </w:t>
            </w:r>
            <w:r>
              <w:rPr>
                <w:rFonts w:hint="eastAsia" w:ascii="仿宋" w:hAnsi="仿宋" w:eastAsia="仿宋" w:cs="Times New Roman"/>
                <w:b w:val="0"/>
                <w:bCs/>
                <w:kern w:val="0"/>
                <w:sz w:val="24"/>
                <w:szCs w:val="20"/>
                <w:highlight w:val="none"/>
                <w:lang w:val="en-US" w:eastAsia="zh-CN"/>
              </w:rPr>
              <w:t>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使用的交易信息系统应当满足下列要求：</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p>
            <w:pPr>
              <w:keepNext w:val="0"/>
              <w:keepLines w:val="0"/>
              <w:pageBreakBefore w:val="0"/>
              <w:widowControl w:val="0"/>
              <w:kinsoku/>
              <w:wordWrap/>
              <w:overflowPunct/>
              <w:topLinePunct w:val="0"/>
              <w:autoSpaceDE/>
              <w:autoSpaceDN/>
              <w:bidi w:val="0"/>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机构用于程序化交易的技术系统应当满足前款第（一）项、第（二）项、第（四）至第（九）项、第（十一）项要求。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TW"/>
              </w:rPr>
              <w:t>第</w:t>
            </w:r>
            <w:r>
              <w:rPr>
                <w:rFonts w:hint="eastAsia" w:ascii="仿宋" w:hAnsi="仿宋" w:eastAsia="仿宋" w:cs="Times New Roman"/>
                <w:b/>
                <w:bCs w:val="0"/>
                <w:kern w:val="0"/>
                <w:sz w:val="24"/>
                <w:szCs w:val="20"/>
                <w:highlight w:val="none"/>
                <w:lang w:val="en-US" w:eastAsia="zh-CN"/>
              </w:rPr>
              <w:t>十九</w:t>
            </w:r>
            <w:r>
              <w:rPr>
                <w:rFonts w:hint="eastAsia" w:ascii="仿宋" w:hAnsi="仿宋" w:eastAsia="仿宋" w:cs="Times New Roman"/>
                <w:b/>
                <w:bCs w:val="0"/>
                <w:kern w:val="0"/>
                <w:sz w:val="24"/>
                <w:szCs w:val="20"/>
                <w:highlight w:val="none"/>
                <w:lang w:val="en-US" w:eastAsia="zh-TW"/>
              </w:rPr>
              <w:t>条</w:t>
            </w:r>
            <w:r>
              <w:rPr>
                <w:rFonts w:hint="eastAsia" w:ascii="仿宋" w:hAnsi="仿宋" w:eastAsia="仿宋" w:cs="Times New Roman"/>
                <w:b/>
                <w:bCs w:val="0"/>
                <w:kern w:val="0"/>
                <w:sz w:val="24"/>
                <w:szCs w:val="20"/>
                <w:highlight w:val="none"/>
                <w:lang w:val="en-US" w:eastAsia="zh-CN"/>
              </w:rPr>
              <w:t xml:space="preserve"> </w:t>
            </w:r>
            <w:r>
              <w:rPr>
                <w:rFonts w:hint="eastAsia" w:ascii="仿宋" w:hAnsi="仿宋" w:eastAsia="仿宋" w:cs="Times New Roman"/>
                <w:b w:val="0"/>
                <w:bCs/>
                <w:kern w:val="0"/>
                <w:sz w:val="24"/>
                <w:szCs w:val="20"/>
                <w:highlight w:val="none"/>
                <w:lang w:val="en-US" w:eastAsia="zh-CN"/>
              </w:rPr>
              <w:t>客户和境外经纪机构用于程序化交易的技术系统，在接入期货公司会员前，应当由期货公司会员对其技术系统进行测试，期货公司会员可以自行或者委托第三方测试机构进行测试。</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期货公司会员应当妥善保存前款要求的测试记录，保存期限不得少于二十年。</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TW"/>
              </w:rPr>
              <w:t>第</w:t>
            </w:r>
            <w:r>
              <w:rPr>
                <w:rFonts w:hint="eastAsia" w:ascii="仿宋" w:hAnsi="仿宋" w:eastAsia="仿宋" w:cs="Times New Roman"/>
                <w:b/>
                <w:bCs w:val="0"/>
                <w:kern w:val="0"/>
                <w:sz w:val="24"/>
                <w:szCs w:val="20"/>
                <w:highlight w:val="none"/>
                <w:lang w:val="en-US" w:eastAsia="zh-CN"/>
              </w:rPr>
              <w:t>十九</w:t>
            </w:r>
            <w:r>
              <w:rPr>
                <w:rFonts w:hint="eastAsia" w:ascii="仿宋" w:hAnsi="仿宋" w:eastAsia="仿宋" w:cs="Times New Roman"/>
                <w:b/>
                <w:bCs w:val="0"/>
                <w:kern w:val="0"/>
                <w:sz w:val="24"/>
                <w:szCs w:val="20"/>
                <w:highlight w:val="none"/>
                <w:lang w:val="en-US" w:eastAsia="zh-TW"/>
              </w:rPr>
              <w:t>条</w:t>
            </w:r>
            <w:r>
              <w:rPr>
                <w:rFonts w:hint="eastAsia" w:ascii="仿宋" w:hAnsi="仿宋" w:eastAsia="仿宋" w:cs="Times New Roman"/>
                <w:b/>
                <w:bCs w:val="0"/>
                <w:kern w:val="0"/>
                <w:sz w:val="24"/>
                <w:szCs w:val="20"/>
                <w:highlight w:val="none"/>
                <w:lang w:val="en-US" w:eastAsia="zh-CN"/>
              </w:rPr>
              <w:t xml:space="preserve"> </w:t>
            </w:r>
            <w:r>
              <w:rPr>
                <w:rFonts w:hint="eastAsia" w:ascii="仿宋" w:hAnsi="仿宋" w:eastAsia="仿宋" w:cs="Times New Roman"/>
                <w:b w:val="0"/>
                <w:bCs/>
                <w:kern w:val="0"/>
                <w:sz w:val="24"/>
                <w:szCs w:val="20"/>
                <w:highlight w:val="none"/>
                <w:lang w:val="en-US" w:eastAsia="zh-CN"/>
              </w:rPr>
              <w:t>客户和</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机构用于程序化交易的技术系统，在接入期货公司会员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前，应当由期货公司会员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对其技术系统进行测试，期货公司会员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可以自行或者委托第三方测试机构进行测试。</w:t>
            </w:r>
          </w:p>
          <w:p>
            <w:pPr>
              <w:keepNext w:val="0"/>
              <w:keepLines w:val="0"/>
              <w:pageBreakBefore w:val="0"/>
              <w:widowControl w:val="0"/>
              <w:kinsoku/>
              <w:wordWrap/>
              <w:overflowPunct/>
              <w:topLinePunct w:val="0"/>
              <w:autoSpaceDE/>
              <w:autoSpaceDN/>
              <w:bidi w:val="0"/>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应当妥善保存前款要求的测试记录，保存期限不得少于二十年。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第二十条</w:t>
            </w:r>
            <w:r>
              <w:rPr>
                <w:rFonts w:hint="eastAsia" w:ascii="仿宋" w:hAnsi="仿宋" w:eastAsia="仿宋" w:cs="Times New Roman"/>
                <w:b w:val="0"/>
                <w:bCs/>
                <w:kern w:val="0"/>
                <w:sz w:val="24"/>
                <w:szCs w:val="20"/>
                <w:highlight w:val="none"/>
                <w:lang w:val="en-US" w:eastAsia="zh-CN"/>
              </w:rPr>
              <w:t xml:space="preserve"> 期货公司会员为程序化交易提供期货经纪业务服务前，应当建立独立于生产环境的仿真测试环境，对自身的交易信息系统进行测试。</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期货公司会员应当妥善保存前款要求的测试记录，保存期限不得少于二十年。</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第二十条</w:t>
            </w:r>
            <w:r>
              <w:rPr>
                <w:rFonts w:hint="eastAsia" w:ascii="仿宋" w:hAnsi="仿宋" w:eastAsia="仿宋" w:cs="Times New Roman"/>
                <w:b w:val="0"/>
                <w:bCs/>
                <w:kern w:val="0"/>
                <w:sz w:val="24"/>
                <w:szCs w:val="20"/>
                <w:highlight w:val="none"/>
                <w:lang w:val="en-US" w:eastAsia="zh-CN"/>
              </w:rPr>
              <w:t xml:space="preserve"> 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为程序化交易提供期货经纪业务服务前，应当建立独立于生产环境的仿真测试环境，对自身的交易信息系统进行测试。</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lang w:val="en-US" w:eastAsia="zh-CN" w:bidi="ar-SA"/>
              </w:rPr>
            </w:pPr>
            <w:r>
              <w:rPr>
                <w:rFonts w:hint="eastAsia" w:ascii="仿宋" w:hAnsi="仿宋" w:eastAsia="仿宋" w:cs="Times New Roman"/>
                <w:b w:val="0"/>
                <w:bCs/>
                <w:kern w:val="0"/>
                <w:sz w:val="24"/>
                <w:szCs w:val="20"/>
                <w:highlight w:val="none"/>
                <w:lang w:val="en-US" w:eastAsia="zh-CN"/>
              </w:rPr>
              <w:t>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应当妥善保存前款要求的测试记录，保存期限不得少于二十年。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第二十一条</w:t>
            </w:r>
            <w:r>
              <w:rPr>
                <w:rFonts w:hint="eastAsia" w:ascii="仿宋" w:hAnsi="仿宋" w:eastAsia="仿宋" w:cs="Times New Roman"/>
                <w:b w:val="0"/>
                <w:bCs/>
                <w:kern w:val="0"/>
                <w:sz w:val="24"/>
                <w:szCs w:val="20"/>
                <w:highlight w:val="none"/>
                <w:lang w:val="en-US" w:eastAsia="zh-CN"/>
              </w:rPr>
              <w:t xml:space="preserve"> 期货公司会员不得将交易信息系统与客户、境外经纪机构的技术系统部署于同一物理设备，不得将交易信息系统的管理权限开放给客户、境外经纪机构、信息技术系统服务机构，不得将客户、境外经纪机构的技术系统直接接入交易所交易系统。</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lang w:eastAsia="zh-CN"/>
              </w:rPr>
            </w:pPr>
            <w:r>
              <w:rPr>
                <w:rFonts w:hint="eastAsia" w:ascii="仿宋" w:hAnsi="仿宋" w:eastAsia="仿宋" w:cs="Times New Roman"/>
                <w:b w:val="0"/>
                <w:bCs/>
                <w:kern w:val="0"/>
                <w:sz w:val="24"/>
                <w:szCs w:val="20"/>
                <w:highlight w:val="none"/>
                <w:lang w:val="en-US" w:eastAsia="zh-CN"/>
              </w:rPr>
              <w:t>……</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第二十一条</w:t>
            </w:r>
            <w:r>
              <w:rPr>
                <w:rFonts w:hint="eastAsia" w:ascii="仿宋" w:hAnsi="仿宋" w:eastAsia="仿宋" w:cs="Times New Roman"/>
                <w:b w:val="0"/>
                <w:bCs/>
                <w:kern w:val="0"/>
                <w:sz w:val="24"/>
                <w:szCs w:val="20"/>
                <w:highlight w:val="none"/>
                <w:lang w:val="en-US" w:eastAsia="zh-CN"/>
              </w:rPr>
              <w:t xml:space="preserve"> 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不得将交易信息系统与客户、</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机构的技术系统部署于同一物理设备，不得将交易信息系统的管理权限开放给客户、</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机构、信息技术系统服务机构，不得将客户、</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机构的技术系统直接接入交易所交易系统。</w:t>
            </w:r>
          </w:p>
          <w:p>
            <w:pPr>
              <w:keepNext w:val="0"/>
              <w:keepLines w:val="0"/>
              <w:pageBreakBefore w:val="0"/>
              <w:widowControl w:val="0"/>
              <w:kinsoku/>
              <w:wordWrap/>
              <w:overflowPunct/>
              <w:topLinePunct w:val="0"/>
              <w:autoSpaceDE/>
              <w:autoSpaceDN/>
              <w:bidi w:val="0"/>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lang w:val="en-US" w:eastAsia="zh-CN"/>
              </w:rPr>
              <w:t>第二十六条</w:t>
            </w:r>
            <w:r>
              <w:rPr>
                <w:rFonts w:hint="eastAsia" w:ascii="仿宋" w:hAnsi="仿宋" w:eastAsia="仿宋" w:cs="Times New Roman"/>
                <w:b w:val="0"/>
                <w:bCs/>
                <w:kern w:val="0"/>
                <w:sz w:val="24"/>
                <w:szCs w:val="20"/>
                <w:highlight w:val="none"/>
                <w:lang w:val="en-US" w:eastAsia="zh-CN"/>
              </w:rPr>
              <w:t xml:space="preserve"> 期货公司会员应当建立交易席位管理制度，公平分配交易席位，并向交易所报告程序化交易客户使用交易席位的情况。</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lang w:val="en-US" w:eastAsia="zh-CN"/>
              </w:rPr>
              <w:t>第二十六条</w:t>
            </w:r>
            <w:r>
              <w:rPr>
                <w:rFonts w:hint="eastAsia" w:ascii="仿宋" w:hAnsi="仿宋" w:eastAsia="仿宋" w:cs="Times New Roman"/>
                <w:b w:val="0"/>
                <w:bCs/>
                <w:kern w:val="0"/>
                <w:sz w:val="24"/>
                <w:szCs w:val="20"/>
                <w:highlight w:val="none"/>
                <w:lang w:val="en-US" w:eastAsia="zh-CN"/>
              </w:rPr>
              <w:t xml:space="preserve"> 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应当建立交易席位管理制度，公平分配交易席位，并向交易所报告程序化交易客户使用交易席位的情况。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第二十八条</w:t>
            </w:r>
            <w:r>
              <w:rPr>
                <w:rFonts w:hint="eastAsia" w:ascii="仿宋" w:hAnsi="仿宋" w:eastAsia="仿宋" w:cs="Times New Roman"/>
                <w:b w:val="0"/>
                <w:bCs/>
                <w:kern w:val="0"/>
                <w:sz w:val="24"/>
                <w:szCs w:val="20"/>
                <w:highlight w:val="none"/>
                <w:lang w:val="en-US" w:eastAsia="zh-CN"/>
              </w:rPr>
              <w:t xml:space="preserve"> 期货公司会员、境外经纪机构应当建立并有效执行程序化交易内部控制、风险管理、合规管理等制度。</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期货公司会员、境外经纪机构应当加强对客户程序化交易行为的监控，进行程序化交易委托指令审核，及时识别、管理异常交易行为</w:t>
            </w:r>
            <w:r>
              <w:rPr>
                <w:rFonts w:hint="eastAsia" w:ascii="仿宋" w:hAnsi="仿宋" w:eastAsia="仿宋" w:cs="Times New Roman"/>
                <w:b w:val="0"/>
                <w:bCs/>
                <w:kern w:val="0"/>
                <w:sz w:val="24"/>
                <w:szCs w:val="20"/>
                <w:highlight w:val="none"/>
                <w:lang w:val="zh-TW" w:eastAsia="zh-CN"/>
              </w:rPr>
              <w:t>，并</w:t>
            </w:r>
            <w:r>
              <w:rPr>
                <w:rFonts w:hint="eastAsia" w:ascii="仿宋" w:hAnsi="仿宋" w:eastAsia="仿宋" w:cs="Times New Roman"/>
                <w:b w:val="0"/>
                <w:bCs/>
                <w:kern w:val="0"/>
                <w:sz w:val="24"/>
                <w:szCs w:val="20"/>
                <w:highlight w:val="none"/>
                <w:lang w:val="en-US" w:eastAsia="zh-CN"/>
              </w:rPr>
              <w:t>配合交易所采取相关措施。</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第二十八条</w:t>
            </w:r>
            <w:r>
              <w:rPr>
                <w:rFonts w:hint="eastAsia" w:ascii="仿宋" w:hAnsi="仿宋" w:eastAsia="仿宋" w:cs="Times New Roman"/>
                <w:b w:val="0"/>
                <w:bCs/>
                <w:kern w:val="0"/>
                <w:sz w:val="24"/>
                <w:szCs w:val="20"/>
                <w:highlight w:val="none"/>
                <w:lang w:val="en-US" w:eastAsia="zh-CN"/>
              </w:rPr>
              <w:t xml:space="preserve"> 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机构应当建立并有效执行程序化交易内部控制、风险管理、合规管理等制度。</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机构应当加强对客户程序化交易行为的监控，进行程序化交易委托指令审核，及时识别、管理异常交易行为</w:t>
            </w:r>
            <w:r>
              <w:rPr>
                <w:rFonts w:hint="eastAsia" w:ascii="仿宋" w:hAnsi="仿宋" w:eastAsia="仿宋" w:cs="Times New Roman"/>
                <w:b w:val="0"/>
                <w:bCs/>
                <w:kern w:val="0"/>
                <w:sz w:val="24"/>
                <w:szCs w:val="20"/>
                <w:highlight w:val="none"/>
                <w:lang w:val="zh-TW" w:eastAsia="zh-CN"/>
              </w:rPr>
              <w:t>，并</w:t>
            </w:r>
            <w:r>
              <w:rPr>
                <w:rFonts w:hint="eastAsia" w:ascii="仿宋" w:hAnsi="仿宋" w:eastAsia="仿宋" w:cs="Times New Roman"/>
                <w:b w:val="0"/>
                <w:bCs/>
                <w:kern w:val="0"/>
                <w:sz w:val="24"/>
                <w:szCs w:val="20"/>
                <w:highlight w:val="none"/>
                <w:lang w:val="en-US" w:eastAsia="zh-CN"/>
              </w:rPr>
              <w:t>配合交易所采取相关措施。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第三十一条</w:t>
            </w:r>
            <w:r>
              <w:rPr>
                <w:rFonts w:hint="eastAsia" w:ascii="仿宋" w:hAnsi="仿宋" w:eastAsia="仿宋" w:cs="Times New Roman"/>
                <w:b w:val="0"/>
                <w:bCs/>
                <w:kern w:val="0"/>
                <w:sz w:val="24"/>
                <w:szCs w:val="20"/>
                <w:highlight w:val="none"/>
                <w:lang w:val="en-US" w:eastAsia="zh-CN"/>
              </w:rPr>
              <w:t xml:space="preserve"> 交易者从事程序化交易，因不可抗力、意外事件、重大技术故障、重大人为差错等突发事件，可能引发期货价格或者市场重大异常波动的，应当立即采取暂停交易、撤销委托等措施。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bCs w:val="0"/>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出现上述情形的，客户应当及时向其委托的期货公司会员、境外经纪机构报告，非期货公司会员应当及时向交易所报告。</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第三十一条</w:t>
            </w:r>
            <w:r>
              <w:rPr>
                <w:rFonts w:hint="eastAsia" w:ascii="仿宋" w:hAnsi="仿宋" w:eastAsia="仿宋" w:cs="Times New Roman"/>
                <w:b w:val="0"/>
                <w:bCs/>
                <w:kern w:val="0"/>
                <w:sz w:val="24"/>
                <w:szCs w:val="20"/>
                <w:highlight w:val="none"/>
                <w:lang w:val="en-US" w:eastAsia="zh-CN"/>
              </w:rPr>
              <w:t xml:space="preserve"> 交易者从事程序化交易，因不可抗力、意外事件、重大技术故障、重大人为差错等突发事件，可能引发期货价格或者市场重大异常波动的，应当立即采取暂停交易、撤销委托等措施。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bCs w:val="0"/>
                <w:kern w:val="0"/>
                <w:sz w:val="24"/>
                <w:szCs w:val="20"/>
                <w:highlight w:val="none"/>
                <w:lang w:val="en-US" w:eastAsia="zh-CN" w:bidi="ar-SA"/>
              </w:rPr>
            </w:pPr>
            <w:r>
              <w:rPr>
                <w:rFonts w:hint="eastAsia" w:ascii="仿宋" w:hAnsi="仿宋" w:eastAsia="仿宋" w:cs="Times New Roman"/>
                <w:b w:val="0"/>
                <w:bCs/>
                <w:kern w:val="0"/>
                <w:sz w:val="24"/>
                <w:szCs w:val="20"/>
                <w:highlight w:val="none"/>
                <w:lang w:val="en-US" w:eastAsia="zh-CN"/>
              </w:rPr>
              <w:t>出现上述情形的，客户应当及时向其委托的期货公司会员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机构报告，非期货公司会员</w:t>
            </w:r>
            <w:r>
              <w:rPr>
                <w:rFonts w:hint="eastAsia" w:ascii="仿宋" w:hAnsi="仿宋" w:eastAsia="仿宋" w:cs="Times New Roman"/>
                <w:b/>
                <w:bCs w:val="0"/>
                <w:kern w:val="0"/>
                <w:sz w:val="24"/>
                <w:szCs w:val="20"/>
                <w:highlight w:val="none"/>
                <w:u w:val="single"/>
                <w:lang w:val="en-US" w:eastAsia="zh-CN"/>
              </w:rPr>
              <w:t>、境外特殊非经纪参与者</w:t>
            </w:r>
            <w:r>
              <w:rPr>
                <w:rFonts w:hint="eastAsia" w:ascii="仿宋" w:hAnsi="仿宋" w:eastAsia="仿宋" w:cs="Times New Roman"/>
                <w:b w:val="0"/>
                <w:bCs/>
                <w:kern w:val="0"/>
                <w:sz w:val="24"/>
                <w:szCs w:val="20"/>
                <w:highlight w:val="none"/>
                <w:lang w:val="en-US" w:eastAsia="zh-CN"/>
              </w:rPr>
              <w:t>应当及时向交易所报告。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 xml:space="preserve">第三十二条 </w:t>
            </w:r>
            <w:r>
              <w:rPr>
                <w:rFonts w:hint="eastAsia" w:ascii="仿宋" w:hAnsi="仿宋" w:eastAsia="仿宋" w:cs="Times New Roman"/>
                <w:b w:val="0"/>
                <w:bCs/>
                <w:kern w:val="0"/>
                <w:sz w:val="24"/>
                <w:szCs w:val="20"/>
                <w:highlight w:val="none"/>
                <w:lang w:val="en-US" w:eastAsia="zh-CN"/>
              </w:rPr>
              <w:t>期货公司会员、境外经纪机构发现客户出现第三十一条第一款情形的，应当按照委托协议约定，立即采取暂停接受其委托、撤销相关报单等措施，并及时向交易所报告。境外经纪机构可以通过期货公司会员或者直接向交易所报告。</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bCs w:val="0"/>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期货公司会员的客户出现前款情形的，期货公司会员还应当同时向公司住所地中国证监会派出机构报告。</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 xml:space="preserve">第三十二条 </w:t>
            </w:r>
            <w:r>
              <w:rPr>
                <w:rFonts w:hint="eastAsia" w:ascii="仿宋" w:hAnsi="仿宋" w:eastAsia="仿宋" w:cs="Times New Roman"/>
                <w:b w:val="0"/>
                <w:bCs/>
                <w:kern w:val="0"/>
                <w:sz w:val="24"/>
                <w:szCs w:val="20"/>
                <w:highlight w:val="none"/>
                <w:lang w:val="en-US" w:eastAsia="zh-CN"/>
              </w:rPr>
              <w:t>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机构发现客户出现第三十一条第一款情形的，应当按照委托协议约定，立即采取暂停接受其委托、撤销相关报单等措施，并及时向交易所报告。</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机构可以通过期货公司会员或者直接向交易所报告。</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bCs w:val="0"/>
                <w:kern w:val="0"/>
                <w:sz w:val="24"/>
                <w:szCs w:val="20"/>
                <w:highlight w:val="none"/>
                <w:lang w:val="en-US" w:eastAsia="zh-CN" w:bidi="ar-SA"/>
              </w:rPr>
            </w:pPr>
            <w:r>
              <w:rPr>
                <w:rFonts w:hint="eastAsia" w:ascii="仿宋" w:hAnsi="仿宋" w:eastAsia="仿宋" w:cs="Times New Roman"/>
                <w:b w:val="0"/>
                <w:bCs/>
                <w:kern w:val="0"/>
                <w:sz w:val="24"/>
                <w:szCs w:val="20"/>
                <w:highlight w:val="none"/>
                <w:lang w:val="en-US" w:eastAsia="zh-CN"/>
              </w:rPr>
              <w:t>期货公司会员的客户出现前款情形的，期货公司会员还应当同时向公司住所地中国证监会派出机构报告。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hint="eastAsia" w:ascii="仿宋" w:hAnsi="仿宋" w:eastAsia="仿宋" w:cs="Times New Roman"/>
                <w:b/>
                <w:kern w:val="0"/>
                <w:sz w:val="24"/>
                <w:szCs w:val="20"/>
                <w:highlight w:val="none"/>
                <w:lang w:val="en-US" w:eastAsia="zh-CN"/>
              </w:rPr>
            </w:pPr>
            <w:r>
              <w:rPr>
                <w:rFonts w:hint="default" w:ascii="仿宋" w:hAnsi="仿宋" w:eastAsia="仿宋" w:cs="Times New Roman"/>
                <w:b/>
                <w:kern w:val="0"/>
                <w:sz w:val="24"/>
                <w:szCs w:val="24"/>
                <w:highlight w:val="none"/>
                <w:lang w:val="en-US" w:eastAsia="zh-CN"/>
              </w:rPr>
              <w:t>第</w:t>
            </w:r>
            <w:r>
              <w:rPr>
                <w:rFonts w:hint="eastAsia" w:ascii="仿宋" w:hAnsi="仿宋" w:eastAsia="仿宋" w:cs="Times New Roman"/>
                <w:b/>
                <w:kern w:val="0"/>
                <w:sz w:val="24"/>
                <w:szCs w:val="24"/>
                <w:highlight w:val="none"/>
                <w:lang w:val="en-US" w:eastAsia="zh-CN"/>
              </w:rPr>
              <w:t>六</w:t>
            </w:r>
            <w:r>
              <w:rPr>
                <w:rFonts w:hint="default" w:ascii="仿宋" w:hAnsi="仿宋" w:eastAsia="仿宋" w:cs="Times New Roman"/>
                <w:b/>
                <w:kern w:val="0"/>
                <w:sz w:val="24"/>
                <w:szCs w:val="24"/>
                <w:highlight w:val="none"/>
                <w:lang w:val="en-US" w:eastAsia="zh-CN"/>
              </w:rPr>
              <w:t xml:space="preserve">章 </w:t>
            </w:r>
            <w:r>
              <w:rPr>
                <w:rFonts w:hint="eastAsia" w:ascii="仿宋" w:hAnsi="仿宋" w:eastAsia="仿宋" w:cs="Times New Roman"/>
                <w:b/>
                <w:kern w:val="0"/>
                <w:sz w:val="24"/>
                <w:szCs w:val="24"/>
                <w:highlight w:val="none"/>
                <w:lang w:val="en-US" w:eastAsia="zh-CN"/>
              </w:rPr>
              <w:t>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bCs w:val="0"/>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第三十四条</w:t>
            </w:r>
            <w:r>
              <w:rPr>
                <w:rFonts w:hint="eastAsia" w:ascii="仿宋" w:hAnsi="仿宋" w:eastAsia="仿宋" w:cs="Times New Roman"/>
                <w:b w:val="0"/>
                <w:bCs/>
                <w:kern w:val="0"/>
                <w:sz w:val="24"/>
                <w:szCs w:val="20"/>
                <w:highlight w:val="none"/>
                <w:lang w:val="en-US" w:eastAsia="zh-CN"/>
              </w:rPr>
              <w:t xml:space="preserve"> 交易所可以根据自律管理需要，对期货公司会员、境外经纪机构、程序化交易者遵守本办法的情况进行现场检查或者非现场检查。相关机构和个人应当予以配合，真实、准确、完整、及时地提供相关资料。</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bCs w:val="0"/>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第三十四条</w:t>
            </w:r>
            <w:r>
              <w:rPr>
                <w:rFonts w:hint="eastAsia" w:ascii="仿宋" w:hAnsi="仿宋" w:eastAsia="仿宋" w:cs="Times New Roman"/>
                <w:b w:val="0"/>
                <w:bCs/>
                <w:kern w:val="0"/>
                <w:sz w:val="24"/>
                <w:szCs w:val="20"/>
                <w:highlight w:val="none"/>
                <w:lang w:val="en-US" w:eastAsia="zh-CN"/>
              </w:rPr>
              <w:t xml:space="preserve"> 交易所可以根据自律管理需要，对期货公司会员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机构、程序化交易者遵守本办法的情况进行现场检查或者非现场检查。相关机构和个人应当予以配合，真实、准确、完整、及时地提供相关资料。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第三十五条</w:t>
            </w:r>
            <w:r>
              <w:rPr>
                <w:rFonts w:hint="eastAsia" w:ascii="仿宋" w:hAnsi="仿宋" w:eastAsia="仿宋" w:cs="Times New Roman"/>
                <w:b w:val="0"/>
                <w:bCs/>
                <w:kern w:val="0"/>
                <w:sz w:val="24"/>
                <w:szCs w:val="20"/>
                <w:highlight w:val="none"/>
                <w:lang w:val="en-US" w:eastAsia="zh-CN"/>
              </w:rPr>
              <w:t xml:space="preserve"> 程序化交易者具有下列情形之一的，交易所责令改正，并可以采取提示、要求提交书面说明、约见谈话、限制开仓等措施：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（二）非期货公司会员违反规定从事高频交易的；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第三十五条</w:t>
            </w:r>
            <w:r>
              <w:rPr>
                <w:rFonts w:hint="eastAsia" w:ascii="仿宋" w:hAnsi="仿宋" w:eastAsia="仿宋" w:cs="Times New Roman"/>
                <w:b w:val="0"/>
                <w:bCs/>
                <w:kern w:val="0"/>
                <w:sz w:val="24"/>
                <w:szCs w:val="20"/>
                <w:highlight w:val="none"/>
                <w:lang w:val="en-US" w:eastAsia="zh-CN"/>
              </w:rPr>
              <w:t xml:space="preserve"> 程序化交易者具有下列情形之一的，交易所责令改正，并可以采取提示、要求提交书面说明、约见谈话、限制开仓等措施：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（二）非期货公司会员</w:t>
            </w:r>
            <w:r>
              <w:rPr>
                <w:rFonts w:hint="eastAsia" w:ascii="仿宋" w:hAnsi="仿宋" w:eastAsia="仿宋" w:cs="Times New Roman"/>
                <w:b/>
                <w:bCs w:val="0"/>
                <w:kern w:val="0"/>
                <w:sz w:val="24"/>
                <w:szCs w:val="20"/>
                <w:highlight w:val="none"/>
                <w:u w:val="single"/>
                <w:lang w:val="en-US" w:eastAsia="zh-CN"/>
              </w:rPr>
              <w:t>、境外特殊非经纪参与者</w:t>
            </w:r>
            <w:r>
              <w:rPr>
                <w:rFonts w:hint="eastAsia" w:ascii="仿宋" w:hAnsi="仿宋" w:eastAsia="仿宋" w:cs="Times New Roman"/>
                <w:b w:val="0"/>
                <w:bCs/>
                <w:kern w:val="0"/>
                <w:sz w:val="24"/>
                <w:szCs w:val="20"/>
                <w:highlight w:val="none"/>
                <w:lang w:val="en-US" w:eastAsia="zh-CN"/>
              </w:rPr>
              <w:t>违反规定从事高频交易的；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bCs w:val="0"/>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24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第三十六条</w:t>
            </w:r>
            <w:r>
              <w:rPr>
                <w:rFonts w:hint="eastAsia" w:ascii="仿宋" w:hAnsi="仿宋" w:eastAsia="仿宋" w:cs="Times New Roman"/>
                <w:b w:val="0"/>
                <w:bCs/>
                <w:kern w:val="0"/>
                <w:sz w:val="24"/>
                <w:szCs w:val="20"/>
                <w:highlight w:val="none"/>
                <w:lang w:val="en-US" w:eastAsia="zh-CN"/>
              </w:rPr>
              <w:t xml:space="preserve"> 期货公司会员、境外经纪机构具有下列情形之一的，交易所责令改正，并可以采取提示、约见谈话、出具监管警示函、发出监管意见函等措施：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default"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 xml:space="preserve">（一）未按规定核查客户程序化交易报告信息、未按规定督促客户改正或者未按规定拒绝经督促仍未改正客户开仓委托的； </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（二）使用的交易信息系统、用于程序化交易的技术系统不符合规定，或者未按规定进行测试的；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三）期货公司会员将交易信息系统与客户、境外经纪机构的技术系统部署于同一物理设备，将交易信息系统的管理权限开放给客户、境外经纪机构、信息技术系统服务机构，或者将客户、境外经纪机构的技术系统直接接入交易所交易系统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tc>
        <w:tc>
          <w:tcPr>
            <w:tcW w:w="256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bCs w:val="0"/>
                <w:kern w:val="0"/>
                <w:sz w:val="24"/>
                <w:szCs w:val="20"/>
                <w:highlight w:val="none"/>
                <w:lang w:val="en-US" w:eastAsia="zh-CN"/>
              </w:rPr>
              <w:t>第三十六条</w:t>
            </w:r>
            <w:r>
              <w:rPr>
                <w:rFonts w:hint="eastAsia" w:ascii="仿宋" w:hAnsi="仿宋" w:eastAsia="仿宋" w:cs="Times New Roman"/>
                <w:b w:val="0"/>
                <w:bCs/>
                <w:kern w:val="0"/>
                <w:sz w:val="24"/>
                <w:szCs w:val="20"/>
                <w:highlight w:val="none"/>
                <w:lang w:val="en-US" w:eastAsia="zh-CN"/>
              </w:rPr>
              <w:t xml:space="preserve"> 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机构具有下列情形之一的，交易所责令改正，并可以采取提示、约见谈话、出具监管警示函、发出监管意见函等措施：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default"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 xml:space="preserve">（一）未按规定核查客户程序化交易报告信息、未按规定督促客户改正或者未按规定拒绝经督促仍未改正客户开仓委托的； </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（二）使用的交易信息系统、用于程序化交易的技术系统不符合规定，或者未按规定进行测试的；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（三）期货公司会员</w:t>
            </w:r>
            <w:r>
              <w:rPr>
                <w:rFonts w:hint="eastAsia" w:ascii="仿宋" w:hAnsi="仿宋" w:eastAsia="仿宋" w:cs="Times New Roman"/>
                <w:b/>
                <w:bCs w:val="0"/>
                <w:kern w:val="0"/>
                <w:sz w:val="24"/>
                <w:szCs w:val="20"/>
                <w:highlight w:val="none"/>
                <w:u w:val="single"/>
                <w:lang w:val="en-US" w:eastAsia="zh-CN"/>
              </w:rPr>
              <w:t>、境外特殊经纪参与者</w:t>
            </w:r>
            <w:r>
              <w:rPr>
                <w:rFonts w:hint="eastAsia" w:ascii="仿宋" w:hAnsi="仿宋" w:eastAsia="仿宋" w:cs="Times New Roman"/>
                <w:b w:val="0"/>
                <w:bCs/>
                <w:kern w:val="0"/>
                <w:sz w:val="24"/>
                <w:szCs w:val="20"/>
                <w:highlight w:val="none"/>
                <w:lang w:val="en-US" w:eastAsia="zh-CN"/>
              </w:rPr>
              <w:t>将交易信息系统与客户、</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机构的技术系统部署于同一物理设备，将交易信息系统的管理权限开放给客户、</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机构、信息技术系统服务机构，或者将客户、</w:t>
            </w:r>
            <w:r>
              <w:rPr>
                <w:rFonts w:hint="eastAsia" w:ascii="仿宋" w:hAnsi="仿宋" w:eastAsia="仿宋" w:cs="Times New Roman"/>
                <w:b w:val="0"/>
                <w:bCs/>
                <w:strike w:val="0"/>
                <w:dstrike w:val="0"/>
                <w:kern w:val="0"/>
                <w:sz w:val="24"/>
                <w:szCs w:val="20"/>
                <w:highlight w:val="none"/>
                <w:lang w:val="en-US" w:eastAsia="zh-CN"/>
              </w:rPr>
              <w:t>境外</w:t>
            </w:r>
            <w:r>
              <w:rPr>
                <w:rFonts w:hint="eastAsia" w:ascii="仿宋" w:hAnsi="仿宋" w:eastAsia="仿宋" w:cs="Times New Roman"/>
                <w:b w:val="0"/>
                <w:bCs/>
                <w:strike w:val="0"/>
                <w:dstrike/>
                <w:kern w:val="0"/>
                <w:sz w:val="24"/>
                <w:szCs w:val="20"/>
                <w:highlight w:val="none"/>
                <w:lang w:val="en-US" w:eastAsia="zh-CN"/>
              </w:rPr>
              <w:t>经纪</w:t>
            </w:r>
            <w:r>
              <w:rPr>
                <w:rFonts w:hint="eastAsia" w:ascii="仿宋" w:hAnsi="仿宋" w:eastAsia="仿宋" w:cs="Times New Roman"/>
                <w:b/>
                <w:bCs w:val="0"/>
                <w:kern w:val="0"/>
                <w:sz w:val="24"/>
                <w:szCs w:val="20"/>
                <w:highlight w:val="none"/>
                <w:u w:val="single"/>
                <w:lang w:val="en-US" w:eastAsia="zh-CN"/>
              </w:rPr>
              <w:t>中介</w:t>
            </w:r>
            <w:r>
              <w:rPr>
                <w:rFonts w:hint="eastAsia" w:ascii="仿宋" w:hAnsi="仿宋" w:eastAsia="仿宋" w:cs="Times New Roman"/>
                <w:b w:val="0"/>
                <w:bCs/>
                <w:kern w:val="0"/>
                <w:sz w:val="24"/>
                <w:szCs w:val="20"/>
                <w:highlight w:val="none"/>
                <w:lang w:val="en-US" w:eastAsia="zh-CN"/>
              </w:rPr>
              <w:t>机构的技术系统直接接入交易所交易系统的；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lang w:val="en-US" w:eastAsia="zh-CN"/>
              </w:rPr>
            </w:pPr>
            <w:r>
              <w:rPr>
                <w:rFonts w:hint="eastAsia" w:ascii="仿宋" w:hAnsi="仿宋" w:eastAsia="仿宋" w:cs="Times New Roman"/>
                <w:b w:val="0"/>
                <w:bCs/>
                <w:kern w:val="0"/>
                <w:sz w:val="24"/>
                <w:szCs w:val="20"/>
                <w:highlight w:val="none"/>
                <w:lang w:val="en-US" w:eastAsia="zh-CN"/>
              </w:rPr>
              <w:t>……</w:t>
            </w:r>
          </w:p>
        </w:tc>
      </w:tr>
    </w:tbl>
    <w:p>
      <w:pPr>
        <w:rPr>
          <w:rFonts w:hint="default" w:ascii="黑体" w:hAnsi="黑体" w:eastAsia="黑体" w:cs="黑体"/>
          <w:sz w:val="32"/>
          <w:szCs w:val="32"/>
          <w:highlight w:val="none"/>
          <w:lang w:val="en-US" w:eastAsia="zh-CN"/>
        </w:rPr>
        <w:sectPr>
          <w:pgSz w:w="11906" w:h="16838"/>
          <w:pgMar w:top="1440" w:right="1800" w:bottom="1440" w:left="1800" w:header="851" w:footer="992" w:gutter="0"/>
          <w:cols w:space="720" w:num="1"/>
          <w:docGrid w:type="lines" w:linePitch="312" w:charSpace="0"/>
        </w:sectPr>
      </w:pPr>
    </w:p>
    <w:p>
      <w:pPr>
        <w:keepNext/>
        <w:keepLines/>
        <w:jc w:val="center"/>
        <w:outlineLvl w:val="3"/>
        <w:rPr>
          <w:rFonts w:hint="eastAsia" w:ascii="黑体" w:hAnsi="黑体" w:eastAsia="黑体" w:cs="黑体"/>
          <w:color w:val="000000"/>
          <w:sz w:val="40"/>
          <w:szCs w:val="40"/>
          <w:highlight w:val="none"/>
        </w:rPr>
      </w:pPr>
      <w:r>
        <w:rPr>
          <w:rFonts w:hint="eastAsia" w:ascii="黑体" w:hAnsi="黑体" w:eastAsia="黑体" w:cs="黑体"/>
          <w:color w:val="000000"/>
          <w:sz w:val="40"/>
          <w:szCs w:val="40"/>
          <w:highlight w:val="none"/>
        </w:rPr>
        <w:t>郑州商品交易所程序化交易管理办法</w:t>
      </w:r>
    </w:p>
    <w:p>
      <w:pPr>
        <w:keepNext w:val="0"/>
        <w:keepLines w:val="0"/>
        <w:pageBreakBefore w:val="0"/>
        <w:widowControl w:val="0"/>
        <w:kinsoku/>
        <w:wordWrap/>
        <w:overflowPunct/>
        <w:topLinePunct w:val="0"/>
        <w:autoSpaceDE/>
        <w:autoSpaceDN/>
        <w:bidi w:val="0"/>
        <w:adjustRightInd/>
        <w:snapToGrid/>
        <w:spacing w:before="240" w:after="240"/>
        <w:ind w:firstLine="480" w:firstLineChars="200"/>
        <w:textAlignment w:val="auto"/>
        <w:rPr>
          <w:rFonts w:ascii="宋体" w:hAnsi="宋体" w:cs="宋体"/>
          <w:sz w:val="24"/>
          <w:highlight w:val="none"/>
        </w:rPr>
      </w:pPr>
      <w:r>
        <w:rPr>
          <w:rFonts w:hint="eastAsia" w:ascii="宋体" w:hAnsi="宋体" w:cs="宋体"/>
          <w:sz w:val="24"/>
          <w:highlight w:val="none"/>
        </w:rPr>
        <w:t>（2026年4月7日郑州商品交易所第八届理事会第三十四次会议审议通过，2026年</w:t>
      </w:r>
      <w:r>
        <w:rPr>
          <w:rFonts w:hint="default" w:ascii="宋体" w:hAnsi="宋体" w:cs="宋体"/>
          <w:sz w:val="24"/>
          <w:highlight w:val="none"/>
          <w:lang w:val="en-US"/>
        </w:rPr>
        <w:t>5</w:t>
      </w:r>
      <w:r>
        <w:rPr>
          <w:rFonts w:hint="eastAsia" w:ascii="宋体" w:hAnsi="宋体" w:cs="宋体"/>
          <w:sz w:val="24"/>
          <w:highlight w:val="none"/>
        </w:rPr>
        <w:t>月</w:t>
      </w:r>
      <w:r>
        <w:rPr>
          <w:rFonts w:hint="default" w:ascii="宋体" w:hAnsi="宋体" w:cs="宋体"/>
          <w:sz w:val="24"/>
          <w:highlight w:val="none"/>
          <w:lang w:val="en-US"/>
        </w:rPr>
        <w:t>7</w:t>
      </w:r>
      <w:r>
        <w:rPr>
          <w:rFonts w:hint="eastAsia" w:ascii="宋体" w:hAnsi="宋体" w:cs="宋体"/>
          <w:sz w:val="24"/>
          <w:highlight w:val="none"/>
        </w:rPr>
        <w:t>日〔2026〕</w:t>
      </w:r>
      <w:r>
        <w:rPr>
          <w:rFonts w:hint="eastAsia" w:ascii="宋体" w:hAnsi="宋体" w:cs="宋体"/>
          <w:sz w:val="24"/>
          <w:highlight w:val="none"/>
          <w:lang w:eastAsia="zh-CN"/>
        </w:rPr>
        <w:t>68号</w:t>
      </w:r>
      <w:r>
        <w:rPr>
          <w:rFonts w:hint="eastAsia" w:ascii="宋体" w:hAnsi="宋体" w:cs="宋体"/>
          <w:sz w:val="24"/>
          <w:highlight w:val="none"/>
        </w:rPr>
        <w:t>公告发布，自发布之日起实施）</w:t>
      </w:r>
    </w:p>
    <w:p>
      <w:pPr>
        <w:jc w:val="center"/>
        <w:rPr>
          <w:rFonts w:eastAsia="黑体"/>
          <w:sz w:val="32"/>
          <w:szCs w:val="32"/>
          <w:highlight w:val="none"/>
        </w:rPr>
      </w:pPr>
      <w:r>
        <w:rPr>
          <w:rFonts w:eastAsia="黑体"/>
          <w:sz w:val="32"/>
          <w:szCs w:val="32"/>
          <w:highlight w:val="none"/>
        </w:rPr>
        <w:t>第一章  总则</w:t>
      </w:r>
    </w:p>
    <w:p>
      <w:pPr>
        <w:ind w:firstLine="560" w:firstLineChars="200"/>
        <w:rPr>
          <w:rFonts w:hint="eastAsia" w:ascii="宋体" w:hAnsi="宋体" w:eastAsia="宋体" w:cs="宋体"/>
          <w:sz w:val="28"/>
          <w:szCs w:val="28"/>
          <w:highlight w:val="none"/>
          <w:shd w:val="pct10" w:color="auto" w:fill="FFFFFF"/>
        </w:rPr>
      </w:pPr>
      <w:r>
        <w:rPr>
          <w:rFonts w:hint="eastAsia" w:ascii="黑体" w:hAnsi="黑体" w:eastAsia="黑体" w:cs="黑体"/>
          <w:b w:val="0"/>
          <w:bCs w:val="0"/>
          <w:sz w:val="28"/>
          <w:szCs w:val="28"/>
          <w:highlight w:val="none"/>
        </w:rPr>
        <w:t>第一条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为加强郑州商品交易所（以下简称交易所）程序化交易监管，规范程序化交易行为，维护期货交易秩序和市场公平，根据《中华人民共和国期货和衍生品法》《期货交易所管理办法》《期货市场程序化交易管理规定（试行）》等法律法规、规范性文件以及《郑州商品交易所交易规则》等业务规则，制定本办法。</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第二条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在交易所从事程序化交易相关活动的，适用本办法。</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本办法所称程序化交易，是指通过计算机程序自动生成或者下达交易指令在交易所进行期货交易的行为。</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本办法所称高频交易，是指具备以下一项或者多项特征的程序化交易：</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（一）短时间内报单、撤单的笔数、频率较高；</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（二）日内报单、撤单的笔数较高；</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（三）中国证监会认定的其他特征。</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高频交易的具体标准由交易所另行制定。</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 xml:space="preserve">第三条 </w:t>
      </w:r>
      <w:r>
        <w:rPr>
          <w:rFonts w:hint="eastAsia" w:ascii="宋体" w:hAnsi="宋体" w:eastAsia="宋体" w:cs="宋体"/>
          <w:sz w:val="28"/>
          <w:szCs w:val="28"/>
          <w:highlight w:val="none"/>
        </w:rPr>
        <w:t>本办法所称程序化交易者，是指进行程序化交易的非期货公司会员、境外特殊非经纪参与者、客户。</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本办法所称高频交易者，是指进行高频交易的程序化交易者。</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 xml:space="preserve">第四条 </w:t>
      </w:r>
      <w:r>
        <w:rPr>
          <w:rFonts w:hint="eastAsia" w:ascii="宋体" w:hAnsi="宋体" w:eastAsia="宋体" w:cs="宋体"/>
          <w:sz w:val="28"/>
          <w:szCs w:val="28"/>
          <w:highlight w:val="none"/>
        </w:rPr>
        <w:t>从事程序化交易应当遵守相关法律法规、规范性文件和交易所业务规则，遵循公平原则，不得影响交易所系统安全和正常交易秩序。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 xml:space="preserve">第五条 </w:t>
      </w:r>
      <w:r>
        <w:rPr>
          <w:rFonts w:hint="eastAsia" w:ascii="宋体" w:hAnsi="宋体" w:eastAsia="宋体" w:cs="宋体"/>
          <w:sz w:val="28"/>
          <w:szCs w:val="28"/>
          <w:highlight w:val="none"/>
        </w:rPr>
        <w:t>交易所对程序化交易实行自律管理，加强程序化交易监测监控，规范程序化交易相关行为，对违规行为采取纪律处分或者其他自律管理措施，保障交易所系统安全和正常交易秩序。</w:t>
      </w:r>
    </w:p>
    <w:p>
      <w:pPr>
        <w:keepNext w:val="0"/>
        <w:keepLines w:val="0"/>
        <w:pageBreakBefore w:val="0"/>
        <w:widowControl w:val="0"/>
        <w:kinsoku/>
        <w:wordWrap/>
        <w:overflowPunct/>
        <w:topLinePunct w:val="0"/>
        <w:autoSpaceDE/>
        <w:autoSpaceDN/>
        <w:bidi w:val="0"/>
        <w:adjustRightInd/>
        <w:snapToGrid/>
        <w:jc w:val="center"/>
        <w:textAlignment w:val="auto"/>
        <w:rPr>
          <w:rFonts w:eastAsia="黑体"/>
          <w:sz w:val="32"/>
          <w:szCs w:val="32"/>
          <w:highlight w:val="none"/>
        </w:rPr>
      </w:pPr>
      <w:r>
        <w:rPr>
          <w:rFonts w:eastAsia="黑体"/>
          <w:sz w:val="32"/>
          <w:szCs w:val="32"/>
          <w:highlight w:val="none"/>
        </w:rPr>
        <w:t>第二章  报告管理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 xml:space="preserve">第六条 </w:t>
      </w:r>
      <w:r>
        <w:rPr>
          <w:rFonts w:hint="eastAsia" w:ascii="宋体" w:hAnsi="宋体" w:eastAsia="宋体" w:cs="宋体"/>
          <w:sz w:val="28"/>
          <w:szCs w:val="28"/>
          <w:highlight w:val="none"/>
        </w:rPr>
        <w:t>交易所实行程序化交易报告制度，具体实施方式由交易所另行公布。</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 xml:space="preserve">第七条 </w:t>
      </w:r>
      <w:r>
        <w:rPr>
          <w:rFonts w:hint="eastAsia" w:ascii="宋体" w:hAnsi="宋体" w:eastAsia="宋体" w:cs="宋体"/>
          <w:kern w:val="0"/>
          <w:sz w:val="28"/>
          <w:szCs w:val="28"/>
          <w:highlight w:val="none"/>
        </w:rPr>
        <w:t>期货公司</w:t>
      </w:r>
      <w:r>
        <w:rPr>
          <w:rFonts w:hint="eastAsia" w:ascii="宋体" w:hAnsi="宋体" w:eastAsia="宋体" w:cs="宋体"/>
          <w:sz w:val="28"/>
          <w:szCs w:val="28"/>
          <w:highlight w:val="none"/>
        </w:rPr>
        <w:t>会员接受客户程序化交易委托前，应当按照有关规定，与客户签订程序化交易委托协议（以下简称委托协议），约定双方的权利、义务等事项，明确报告管理、风险控制等要求。</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机构接受客户程序化交易委托的，参照前款规定要求执行。</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期货公司会员</w:t>
      </w:r>
      <w:r>
        <w:rPr>
          <w:rFonts w:hint="eastAsia" w:ascii="宋体" w:hAnsi="宋体" w:eastAsia="宋体" w:cs="宋体"/>
          <w:sz w:val="28"/>
          <w:szCs w:val="28"/>
          <w:highlight w:val="none"/>
          <w:lang w:eastAsia="zh-CN"/>
        </w:rPr>
        <w:t>、境外特殊经纪参与者</w:t>
      </w:r>
      <w:r>
        <w:rPr>
          <w:rFonts w:hint="eastAsia" w:ascii="宋体" w:hAnsi="宋体" w:eastAsia="宋体" w:cs="宋体"/>
          <w:sz w:val="28"/>
          <w:szCs w:val="28"/>
          <w:highlight w:val="none"/>
        </w:rPr>
        <w:t>接受境外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机构程序化交易委托前，应当与境外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机构约定双方的权利、义务等事项，明确报告管理、风险控制等要求。</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lang w:eastAsia="zh-TW"/>
        </w:rPr>
        <w:t>第</w:t>
      </w:r>
      <w:r>
        <w:rPr>
          <w:rFonts w:hint="eastAsia" w:ascii="黑体" w:hAnsi="黑体" w:eastAsia="黑体" w:cs="黑体"/>
          <w:b w:val="0"/>
          <w:bCs w:val="0"/>
          <w:sz w:val="28"/>
          <w:szCs w:val="28"/>
          <w:highlight w:val="none"/>
        </w:rPr>
        <w:t>八</w:t>
      </w:r>
      <w:r>
        <w:rPr>
          <w:rFonts w:hint="eastAsia" w:ascii="黑体" w:hAnsi="黑体" w:eastAsia="黑体" w:cs="黑体"/>
          <w:b w:val="0"/>
          <w:bCs w:val="0"/>
          <w:sz w:val="28"/>
          <w:szCs w:val="28"/>
          <w:highlight w:val="none"/>
          <w:lang w:eastAsia="zh-TW"/>
        </w:rPr>
        <w:t>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客户从事程序化交易前，应当向其委托的期货公司会员、境外特殊经纪参与者、境外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机构报告有关信息。</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机构应当对客户报告信息进行核查。核查无误的，期货公司会员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境外特殊经纪参与者应当在5个交易日内向交易所报告，境外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机构应当在5个交易日内通过期货公司会员</w:t>
      </w:r>
      <w:r>
        <w:rPr>
          <w:rFonts w:hint="eastAsia" w:ascii="宋体" w:hAnsi="宋体" w:eastAsia="宋体" w:cs="宋体"/>
          <w:sz w:val="28"/>
          <w:szCs w:val="28"/>
          <w:highlight w:val="none"/>
          <w:lang w:eastAsia="zh-CN"/>
        </w:rPr>
        <w:t>、境外特殊经纪参与者</w:t>
      </w:r>
      <w:r>
        <w:rPr>
          <w:rFonts w:hint="eastAsia" w:ascii="宋体" w:hAnsi="宋体" w:eastAsia="宋体" w:cs="宋体"/>
          <w:sz w:val="28"/>
          <w:szCs w:val="28"/>
          <w:highlight w:val="none"/>
        </w:rPr>
        <w:t>向交易所报告。交易所收到报告后在5个交易日内予以反馈。期货公司会员、境外特殊经纪参与者、境外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机构应当在收到交易所反馈后向客户确认。客户收到确认后，方可从事程序化交易。</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lang w:eastAsia="zh-TW"/>
        </w:rPr>
        <w:t xml:space="preserve">第九条 </w:t>
      </w:r>
      <w:r>
        <w:rPr>
          <w:rFonts w:hint="eastAsia" w:ascii="宋体" w:hAnsi="宋体" w:eastAsia="宋体" w:cs="宋体"/>
          <w:sz w:val="28"/>
          <w:szCs w:val="28"/>
          <w:highlight w:val="none"/>
        </w:rPr>
        <w:t>非期货公司会员</w:t>
      </w:r>
      <w:r>
        <w:rPr>
          <w:rFonts w:hint="eastAsia" w:ascii="宋体" w:hAnsi="宋体" w:eastAsia="宋体" w:cs="宋体"/>
          <w:sz w:val="28"/>
          <w:szCs w:val="28"/>
          <w:highlight w:val="none"/>
          <w:lang w:eastAsia="zh-CN"/>
        </w:rPr>
        <w:t>、境外特殊非经纪参与者</w:t>
      </w:r>
      <w:r>
        <w:rPr>
          <w:rFonts w:hint="eastAsia" w:ascii="宋体" w:hAnsi="宋体" w:eastAsia="宋体" w:cs="宋体"/>
          <w:sz w:val="28"/>
          <w:szCs w:val="28"/>
          <w:highlight w:val="none"/>
        </w:rPr>
        <w:t>从事程序化交易前，应当向交易所报告有关信息。交易所在5个交易日内予以反馈。非期货公司会员、境外特殊非经纪参与者收到交易所确认后方可从事程序化交易。</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非期货公司会员、境外特殊非经纪参与者不得从事高频交易。</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lang w:eastAsia="zh-TW"/>
        </w:rPr>
        <w:t xml:space="preserve">第十条 </w:t>
      </w:r>
      <w:r>
        <w:rPr>
          <w:rFonts w:hint="eastAsia" w:ascii="宋体" w:hAnsi="宋体" w:eastAsia="宋体" w:cs="宋体"/>
          <w:sz w:val="28"/>
          <w:szCs w:val="28"/>
          <w:highlight w:val="none"/>
        </w:rPr>
        <w:t>程序化交易者应当真实、准确、完整报告以下信息：</w:t>
      </w:r>
    </w:p>
    <w:p>
      <w:pPr>
        <w:tabs>
          <w:tab w:val="left" w:pos="630"/>
        </w:tabs>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（一）账户基本信息，包括交易者名称、交易编码、产品管理人和委托的期货公司会员、境外特殊经纪参与者或者境外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机构等；</w:t>
      </w:r>
    </w:p>
    <w:p>
      <w:pPr>
        <w:tabs>
          <w:tab w:val="left" w:pos="630"/>
        </w:tabs>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（二）交易和软件信息，包括交易指令执行方式和交易软件名称、基本功能、开发主体等；</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（三）交易所要求的其他信息。</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除前款规定应当报告的信息外，高频交易者还应当报告交易策略类型及主要内容、最高报撤单频率、单日最高报撤单笔数、服务器所在地、技术系统测试报告、应急方案、风险控制措施等信息。</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lang w:eastAsia="zh-TW"/>
        </w:rPr>
        <w:t xml:space="preserve">第十一条 </w:t>
      </w:r>
      <w:r>
        <w:rPr>
          <w:rFonts w:hint="eastAsia" w:ascii="宋体" w:hAnsi="宋体" w:eastAsia="宋体" w:cs="宋体"/>
          <w:sz w:val="28"/>
          <w:szCs w:val="28"/>
          <w:highlight w:val="none"/>
        </w:rPr>
        <w:t>程序化交易者已报告信息存在下列情形之一的，属于重大变更，应当进行变更报告：</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（一）交易者名称、产品管理人发生变更；</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（二）交易指令执行方式和交易软件名称、基本功能、开发主体发生变更；</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（三）高频交易者的交易策略类型、最高报撤单频率、单日最高报撤单笔数发生变更；</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（四）停止进行程序化交易；</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（五）交易所认定的其他重大变更情形。</w:t>
      </w:r>
    </w:p>
    <w:p>
      <w:pPr>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程序化交易者报告信息发生重大变更的，应当在变更发生后30个交易日内进行变更报告。</w:t>
      </w:r>
    </w:p>
    <w:p>
      <w:pPr>
        <w:pStyle w:val="16"/>
        <w:ind w:firstLine="643"/>
        <w:rPr>
          <w:rFonts w:hint="eastAsia" w:ascii="宋体" w:hAnsi="宋体" w:eastAsia="宋体" w:cs="宋体"/>
          <w:sz w:val="28"/>
          <w:szCs w:val="28"/>
          <w:highlight w:val="none"/>
        </w:rPr>
      </w:pPr>
      <w:r>
        <w:rPr>
          <w:rFonts w:hint="eastAsia" w:ascii="黑体" w:hAnsi="黑体" w:eastAsia="黑体" w:cs="黑体"/>
          <w:b w:val="0"/>
          <w:bCs w:val="0"/>
          <w:color w:val="auto"/>
          <w:kern w:val="2"/>
          <w:sz w:val="28"/>
          <w:szCs w:val="28"/>
          <w:highlight w:val="none"/>
          <w:lang w:val="en-US" w:eastAsia="zh-TW" w:bidi="ar-SA"/>
        </w:rPr>
        <w:t xml:space="preserve">第十二条 </w:t>
      </w:r>
      <w:r>
        <w:rPr>
          <w:rFonts w:hint="eastAsia" w:ascii="宋体" w:hAnsi="宋体" w:eastAsia="宋体" w:cs="宋体"/>
          <w:sz w:val="28"/>
          <w:szCs w:val="28"/>
          <w:highlight w:val="none"/>
        </w:rPr>
        <w:t>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机构应当每半年或者按交易所要求对程序化交易客户报告的信息进行核查，发现未按规定报告的，应当督促客户及时改正。经督促仍不改正的，期货公司会员、境外特殊经纪参与者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机构应当按照委托协议约定，拒绝继续接受其开仓委托。</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color w:val="auto"/>
          <w:kern w:val="2"/>
          <w:sz w:val="28"/>
          <w:szCs w:val="28"/>
          <w:highlight w:val="none"/>
          <w:lang w:val="en-US" w:eastAsia="zh-TW" w:bidi="ar-SA"/>
        </w:rPr>
        <w:t xml:space="preserve">第十三条 </w:t>
      </w:r>
      <w:r>
        <w:rPr>
          <w:rFonts w:hint="eastAsia" w:ascii="宋体" w:hAnsi="宋体" w:eastAsia="宋体" w:cs="宋体"/>
          <w:sz w:val="28"/>
          <w:szCs w:val="28"/>
          <w:highlight w:val="none"/>
        </w:rPr>
        <w:t>交易所每半年或者根据需要对程序化交易者报告的信息进行核查，重点核查高频交易者报告的交易策略类型、最高报撤单频率、单日最高报撤单笔数等信息。</w:t>
      </w:r>
    </w:p>
    <w:p>
      <w:pPr>
        <w:ind w:firstLine="560" w:firstLineChars="200"/>
        <w:rPr>
          <w:rFonts w:hint="eastAsia" w:ascii="宋体" w:hAnsi="宋体" w:eastAsia="宋体" w:cs="宋体"/>
          <w:kern w:val="0"/>
          <w:sz w:val="28"/>
          <w:szCs w:val="28"/>
          <w:highlight w:val="none"/>
        </w:rPr>
      </w:pPr>
      <w:r>
        <w:rPr>
          <w:rFonts w:hint="eastAsia" w:ascii="黑体" w:hAnsi="黑体" w:eastAsia="黑体" w:cs="黑体"/>
          <w:b w:val="0"/>
          <w:bCs w:val="0"/>
          <w:color w:val="auto"/>
          <w:kern w:val="2"/>
          <w:sz w:val="28"/>
          <w:szCs w:val="28"/>
          <w:highlight w:val="none"/>
          <w:lang w:val="en-US" w:eastAsia="zh-TW" w:bidi="ar-SA"/>
        </w:rPr>
        <w:t xml:space="preserve">第十四条 </w:t>
      </w:r>
      <w:r>
        <w:rPr>
          <w:rFonts w:hint="eastAsia" w:ascii="宋体" w:hAnsi="宋体" w:eastAsia="宋体" w:cs="宋体"/>
          <w:sz w:val="28"/>
          <w:szCs w:val="28"/>
          <w:highlight w:val="none"/>
        </w:rPr>
        <w:t>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w:t>
      </w:r>
      <w:r>
        <w:rPr>
          <w:rFonts w:hint="eastAsia" w:ascii="宋体" w:hAnsi="宋体" w:eastAsia="宋体" w:cs="宋体"/>
          <w:kern w:val="0"/>
          <w:sz w:val="28"/>
          <w:szCs w:val="28"/>
          <w:highlight w:val="none"/>
        </w:rPr>
        <w:t>应当对客户报告的信息保密，不得非法买</w:t>
      </w:r>
      <w:r>
        <w:rPr>
          <w:rFonts w:hint="eastAsia" w:ascii="宋体" w:hAnsi="宋体" w:eastAsia="宋体" w:cs="宋体"/>
          <w:bCs/>
          <w:sz w:val="28"/>
          <w:szCs w:val="28"/>
          <w:highlight w:val="none"/>
        </w:rPr>
        <w:t>卖、提供、公开或者以其他不正当手段使用客户报告的信息，不得泄露所知悉的商业秘密等。</w:t>
      </w:r>
    </w:p>
    <w:p>
      <w:pPr>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期货公司会员、境外特殊经纪参与者、境外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w:t>
      </w:r>
      <w:r>
        <w:rPr>
          <w:rFonts w:hint="eastAsia" w:ascii="宋体" w:hAnsi="宋体" w:eastAsia="宋体" w:cs="宋体"/>
          <w:bCs/>
          <w:sz w:val="28"/>
          <w:szCs w:val="28"/>
          <w:highlight w:val="none"/>
        </w:rPr>
        <w:t>应当妥善保存客户的报告信息和核查工作记录，保存期限不得少于二十年。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sz w:val="28"/>
          <w:szCs w:val="28"/>
          <w:highlight w:val="none"/>
        </w:rPr>
      </w:pPr>
      <w:r>
        <w:rPr>
          <w:rFonts w:hint="eastAsia" w:ascii="黑体" w:hAnsi="黑体" w:eastAsia="黑体" w:cs="黑体"/>
          <w:b w:val="0"/>
          <w:bCs w:val="0"/>
          <w:color w:val="auto"/>
          <w:kern w:val="2"/>
          <w:sz w:val="28"/>
          <w:szCs w:val="28"/>
          <w:highlight w:val="none"/>
          <w:lang w:val="en-US" w:eastAsia="zh-TW" w:bidi="ar-SA"/>
        </w:rPr>
        <w:t xml:space="preserve">第十五条 </w:t>
      </w:r>
      <w:r>
        <w:rPr>
          <w:rFonts w:hint="eastAsia" w:ascii="宋体" w:hAnsi="宋体" w:eastAsia="宋体" w:cs="宋体"/>
          <w:bCs/>
          <w:sz w:val="28"/>
          <w:szCs w:val="28"/>
          <w:highlight w:val="none"/>
        </w:rPr>
        <w:t>交易所根据本办法的规定接收、核查和管理程序化交易者报告的信息，不代表交易所对程序化交易者及其使用的程序化交易策略和技术系统的可用性、安全性、合规性等作出判断或者保证。</w:t>
      </w:r>
    </w:p>
    <w:p>
      <w:pPr>
        <w:keepNext w:val="0"/>
        <w:keepLines w:val="0"/>
        <w:pageBreakBefore w:val="0"/>
        <w:widowControl w:val="0"/>
        <w:kinsoku/>
        <w:wordWrap/>
        <w:overflowPunct/>
        <w:topLinePunct w:val="0"/>
        <w:autoSpaceDE/>
        <w:autoSpaceDN/>
        <w:bidi w:val="0"/>
        <w:adjustRightInd/>
        <w:snapToGrid/>
        <w:jc w:val="center"/>
        <w:textAlignment w:val="auto"/>
        <w:rPr>
          <w:rFonts w:eastAsia="黑体"/>
          <w:bCs/>
          <w:sz w:val="32"/>
          <w:szCs w:val="32"/>
          <w:highlight w:val="none"/>
        </w:rPr>
      </w:pPr>
      <w:r>
        <w:rPr>
          <w:rFonts w:eastAsia="黑体"/>
          <w:bCs/>
          <w:sz w:val="32"/>
          <w:szCs w:val="32"/>
          <w:highlight w:val="none"/>
        </w:rPr>
        <w:t>第三章  系统接入管理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sz w:val="28"/>
          <w:szCs w:val="28"/>
          <w:highlight w:val="none"/>
        </w:rPr>
      </w:pPr>
      <w:r>
        <w:rPr>
          <w:rFonts w:hint="eastAsia" w:ascii="黑体" w:hAnsi="黑体" w:eastAsia="黑体" w:cs="黑体"/>
          <w:b w:val="0"/>
          <w:bCs w:val="0"/>
          <w:color w:val="auto"/>
          <w:kern w:val="2"/>
          <w:sz w:val="28"/>
          <w:szCs w:val="28"/>
          <w:highlight w:val="none"/>
          <w:lang w:val="en-US" w:eastAsia="zh-TW" w:bidi="ar-SA"/>
        </w:rPr>
        <w:t>第十六条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w:t>
      </w:r>
      <w:r>
        <w:rPr>
          <w:rFonts w:hint="eastAsia" w:ascii="宋体" w:hAnsi="宋体" w:eastAsia="宋体" w:cs="宋体"/>
          <w:bCs/>
          <w:sz w:val="28"/>
          <w:szCs w:val="28"/>
          <w:highlight w:val="none"/>
        </w:rPr>
        <w:t>、程序化交易者应当确保用于程序化交易的技术系统符合中国证监会有关规定及交易所业务规则，遵循合规审慎、风险可控原则，不得影响交易所系统安全和市场公平，不得侵害其他交易者的合法权益。</w:t>
      </w:r>
    </w:p>
    <w:p>
      <w:pPr>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w:t>
      </w:r>
      <w:r>
        <w:rPr>
          <w:rFonts w:hint="eastAsia" w:ascii="宋体" w:hAnsi="宋体" w:eastAsia="宋体" w:cs="宋体"/>
          <w:bCs/>
          <w:sz w:val="28"/>
          <w:szCs w:val="28"/>
          <w:highlight w:val="none"/>
        </w:rPr>
        <w:t>应当将系统外部接入管理纳入合规风控体系，建立健全接入测试、交易监测、异常处理、应急处置、退出安排等全流程管理机制。</w:t>
      </w:r>
    </w:p>
    <w:p>
      <w:pPr>
        <w:ind w:firstLine="560" w:firstLineChars="200"/>
        <w:rPr>
          <w:rFonts w:hint="eastAsia" w:ascii="宋体" w:hAnsi="宋体" w:eastAsia="宋体" w:cs="宋体"/>
          <w:bCs/>
          <w:sz w:val="28"/>
          <w:szCs w:val="28"/>
          <w:highlight w:val="none"/>
        </w:rPr>
      </w:pPr>
      <w:r>
        <w:rPr>
          <w:rFonts w:hint="eastAsia" w:ascii="黑体" w:hAnsi="黑体" w:eastAsia="黑体" w:cs="黑体"/>
          <w:b w:val="0"/>
          <w:bCs w:val="0"/>
          <w:color w:val="auto"/>
          <w:kern w:val="2"/>
          <w:sz w:val="28"/>
          <w:szCs w:val="28"/>
          <w:highlight w:val="none"/>
          <w:lang w:val="en-US" w:eastAsia="zh-TW" w:bidi="ar-SA"/>
        </w:rPr>
        <w:t>第十七条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交易者</w:t>
      </w:r>
      <w:r>
        <w:rPr>
          <w:rFonts w:hint="eastAsia" w:ascii="宋体" w:hAnsi="宋体" w:eastAsia="宋体" w:cs="宋体"/>
          <w:bCs/>
          <w:sz w:val="28"/>
          <w:szCs w:val="28"/>
          <w:highlight w:val="none"/>
        </w:rPr>
        <w:t>用于程序化交易的技术系统应当满足下列要求：</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（一）具备有效的异常监测功能，对包括系统连接状态异常、报撤单笔数异常等情形进行监测；</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（二）具备有效的阈值管理功能，根据风险控制需要设置阈值，并在达到阈值后预警；</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（三）具备有效的错误防范功能，按照错误类型执行相应处理策略，防范错误指令对交易所系统安全和市场秩序造成重大冲击；</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（四）具备合理有效的应急处置功能，确保在技术故障或者其他异常情况下，可暂停交易、撤销委托等；</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（五）具备完善的日志记录功能，保证业务的可追溯性；</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（六）中国证监会及交易所规定的其他要求。</w:t>
      </w:r>
    </w:p>
    <w:p>
      <w:pPr>
        <w:ind w:firstLine="560" w:firstLineChars="200"/>
        <w:rPr>
          <w:rFonts w:hint="eastAsia" w:ascii="宋体" w:hAnsi="宋体" w:eastAsia="宋体" w:cs="宋体"/>
          <w:sz w:val="28"/>
          <w:szCs w:val="28"/>
          <w:highlight w:val="none"/>
          <w:lang w:eastAsia="zh-TW"/>
        </w:rPr>
      </w:pPr>
      <w:r>
        <w:rPr>
          <w:rFonts w:hint="eastAsia" w:ascii="宋体" w:hAnsi="宋体" w:eastAsia="宋体" w:cs="宋体"/>
          <w:sz w:val="28"/>
          <w:szCs w:val="28"/>
          <w:highlight w:val="none"/>
        </w:rPr>
        <w:t>除前款规定的要求外，</w:t>
      </w:r>
      <w:r>
        <w:rPr>
          <w:rFonts w:hint="eastAsia" w:ascii="宋体" w:hAnsi="宋体" w:eastAsia="宋体" w:cs="宋体"/>
          <w:sz w:val="28"/>
          <w:szCs w:val="28"/>
          <w:highlight w:val="none"/>
          <w:lang w:eastAsia="zh-TW"/>
        </w:rPr>
        <w:t>非期货公司会员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境外特殊</w:t>
      </w:r>
      <w:r>
        <w:rPr>
          <w:rFonts w:hint="eastAsia" w:ascii="宋体" w:hAnsi="宋体" w:eastAsia="宋体" w:cs="宋体"/>
          <w:sz w:val="28"/>
          <w:szCs w:val="28"/>
          <w:highlight w:val="none"/>
          <w:lang w:eastAsia="zh-CN"/>
        </w:rPr>
        <w:t>非</w:t>
      </w:r>
      <w:r>
        <w:rPr>
          <w:rFonts w:hint="eastAsia" w:ascii="宋体" w:hAnsi="宋体" w:eastAsia="宋体" w:cs="宋体"/>
          <w:sz w:val="28"/>
          <w:szCs w:val="28"/>
          <w:highlight w:val="none"/>
        </w:rPr>
        <w:t>经纪参与者用于程序化交易的技术系统</w:t>
      </w:r>
      <w:r>
        <w:rPr>
          <w:rFonts w:hint="eastAsia" w:ascii="宋体" w:hAnsi="宋体" w:eastAsia="宋体" w:cs="宋体"/>
          <w:sz w:val="28"/>
          <w:szCs w:val="28"/>
          <w:highlight w:val="none"/>
          <w:lang w:eastAsia="zh-TW"/>
        </w:rPr>
        <w:t>还应当满足下列要求：</w:t>
      </w:r>
    </w:p>
    <w:p>
      <w:pPr>
        <w:ind w:firstLine="560" w:firstLineChars="200"/>
        <w:rPr>
          <w:rFonts w:hint="eastAsia" w:ascii="宋体" w:hAnsi="宋体" w:eastAsia="宋体" w:cs="宋体"/>
          <w:sz w:val="28"/>
          <w:szCs w:val="28"/>
          <w:highlight w:val="none"/>
          <w:lang w:eastAsia="zh-TW"/>
        </w:rPr>
      </w:pPr>
      <w:r>
        <w:rPr>
          <w:rFonts w:hint="eastAsia" w:ascii="宋体" w:hAnsi="宋体" w:eastAsia="宋体" w:cs="宋体"/>
          <w:sz w:val="28"/>
          <w:szCs w:val="28"/>
          <w:highlight w:val="none"/>
          <w:lang w:eastAsia="zh-TW"/>
        </w:rPr>
        <w:t>（一）具备有效的验资验仓功能，传递交易指令前，需实时、准确验证账户资金、持仓，确保交易指令合法有效；</w:t>
      </w:r>
    </w:p>
    <w:p>
      <w:pPr>
        <w:ind w:firstLine="560" w:firstLineChars="200"/>
        <w:rPr>
          <w:rFonts w:hint="eastAsia" w:ascii="宋体" w:hAnsi="宋体" w:eastAsia="宋体" w:cs="宋体"/>
          <w:sz w:val="28"/>
          <w:szCs w:val="28"/>
          <w:highlight w:val="none"/>
          <w:lang w:eastAsia="zh-TW"/>
        </w:rPr>
      </w:pPr>
      <w:r>
        <w:rPr>
          <w:rFonts w:hint="eastAsia" w:ascii="宋体" w:hAnsi="宋体" w:eastAsia="宋体" w:cs="宋体"/>
          <w:sz w:val="28"/>
          <w:szCs w:val="28"/>
          <w:highlight w:val="none"/>
          <w:lang w:eastAsia="zh-TW"/>
        </w:rPr>
        <w:t>（二）接入交易所功能应当严格按照交易所会员接口开发相关技术要求进行设计开发和使用。</w:t>
      </w:r>
    </w:p>
    <w:p>
      <w:pPr>
        <w:ind w:firstLine="560" w:firstLineChars="200"/>
        <w:rPr>
          <w:rFonts w:hint="eastAsia" w:ascii="宋体" w:hAnsi="宋体" w:eastAsia="宋体" w:cs="宋体"/>
          <w:bCs/>
          <w:sz w:val="28"/>
          <w:szCs w:val="28"/>
          <w:highlight w:val="none"/>
        </w:rPr>
      </w:pPr>
      <w:r>
        <w:rPr>
          <w:rFonts w:hint="eastAsia" w:ascii="黑体" w:hAnsi="黑体" w:eastAsia="黑体" w:cs="黑体"/>
          <w:b w:val="0"/>
          <w:bCs w:val="0"/>
          <w:color w:val="auto"/>
          <w:kern w:val="2"/>
          <w:sz w:val="28"/>
          <w:szCs w:val="28"/>
          <w:highlight w:val="none"/>
          <w:lang w:val="en-US" w:eastAsia="zh-TW" w:bidi="ar-SA"/>
        </w:rPr>
        <w:t>第十八条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期货公司会员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境外特殊经纪参与者</w:t>
      </w:r>
      <w:r>
        <w:rPr>
          <w:rFonts w:hint="eastAsia" w:ascii="宋体" w:hAnsi="宋体" w:eastAsia="宋体" w:cs="宋体"/>
          <w:bCs/>
          <w:sz w:val="28"/>
          <w:szCs w:val="28"/>
          <w:highlight w:val="none"/>
        </w:rPr>
        <w:t>使用的交易信息系统应当满足下列要求：</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（一）系统性能、容量应当与业务及市场需求相适应，保障安全持续稳定运行；</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（二）具备有效的外部接入认证管理功能，识别和验证外部接入技术系统、客户，拒绝未经认证的外部系统、客户接入；</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（三）具备有效的验资验仓功能，传递交易指令前，需实时、准确验证交易者账户资金、持仓，确保交易指令合法有效；</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（四）具备有效的权限控制功能，能够对不同的交易者设置交易权限；</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（五）具备有效的异常监测功能，对包括错单申报、反复登录、报撤单笔数异常等异常情形进行监测；</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（六）具备有效的阈值管理功能，根据风险控制需要设置阈值，并在达到阈值后预警；</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（七）具备有效的错误处理功能，按照错误类型执行相应处理策略，防范因系统异常对交易所系统安全和市场秩序造成重大冲击；</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（八）具备合理有效的应急处置功能，确保在技术故障或者其他异常情况下，可批量撤销申报、暂停申报等；</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（九）具备完善的日志记录功能，保证业务的可追溯性；</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（十）接入交易所功能应当严格按照交易所会员接口开发相关技术要求进行设计开发和使用；</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（十一）中国证监会及交易所规定的其他要求。</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境外</w:t>
      </w:r>
      <w:r>
        <w:rPr>
          <w:rFonts w:hint="eastAsia" w:ascii="宋体" w:hAnsi="宋体" w:eastAsia="宋体" w:cs="宋体"/>
          <w:bCs/>
          <w:sz w:val="28"/>
          <w:szCs w:val="28"/>
          <w:highlight w:val="none"/>
          <w:lang w:eastAsia="zh-CN"/>
        </w:rPr>
        <w:t>中介</w:t>
      </w:r>
      <w:r>
        <w:rPr>
          <w:rFonts w:hint="eastAsia" w:ascii="宋体" w:hAnsi="宋体" w:eastAsia="宋体" w:cs="宋体"/>
          <w:bCs/>
          <w:sz w:val="28"/>
          <w:szCs w:val="28"/>
          <w:highlight w:val="none"/>
        </w:rPr>
        <w:t>机构用于程序化交易的技术系统应当满足前款第（一）项、第（二）项、第（四）至第（九）项、第（十一）项要求。</w:t>
      </w:r>
    </w:p>
    <w:p>
      <w:pPr>
        <w:ind w:firstLine="560" w:firstLineChars="200"/>
        <w:rPr>
          <w:rFonts w:hint="eastAsia" w:ascii="宋体" w:hAnsi="宋体" w:eastAsia="宋体" w:cs="宋体"/>
          <w:bCs/>
          <w:sz w:val="28"/>
          <w:szCs w:val="28"/>
          <w:highlight w:val="none"/>
        </w:rPr>
      </w:pPr>
      <w:r>
        <w:rPr>
          <w:rFonts w:hint="eastAsia" w:ascii="黑体" w:hAnsi="黑体" w:eastAsia="黑体" w:cs="黑体"/>
          <w:b w:val="0"/>
          <w:bCs w:val="0"/>
          <w:color w:val="auto"/>
          <w:kern w:val="2"/>
          <w:sz w:val="28"/>
          <w:szCs w:val="28"/>
          <w:highlight w:val="none"/>
          <w:lang w:val="en-US" w:eastAsia="zh-TW" w:bidi="ar-SA"/>
        </w:rPr>
        <w:t>第十九条</w:t>
      </w:r>
      <w:r>
        <w:rPr>
          <w:rFonts w:hint="eastAsia" w:ascii="宋体" w:hAnsi="宋体" w:eastAsia="宋体" w:cs="宋体"/>
          <w:b/>
          <w:bCs/>
          <w:sz w:val="28"/>
          <w:szCs w:val="28"/>
          <w:highlight w:val="none"/>
        </w:rPr>
        <w:t xml:space="preserve"> </w:t>
      </w:r>
      <w:r>
        <w:rPr>
          <w:rFonts w:hint="eastAsia" w:ascii="宋体" w:hAnsi="宋体" w:eastAsia="宋体" w:cs="宋体"/>
          <w:bCs/>
          <w:sz w:val="28"/>
          <w:szCs w:val="28"/>
          <w:highlight w:val="none"/>
        </w:rPr>
        <w:t>客户和境外</w:t>
      </w:r>
      <w:r>
        <w:rPr>
          <w:rFonts w:hint="eastAsia" w:ascii="宋体" w:hAnsi="宋体" w:eastAsia="宋体" w:cs="宋体"/>
          <w:bCs/>
          <w:sz w:val="28"/>
          <w:szCs w:val="28"/>
          <w:highlight w:val="none"/>
          <w:lang w:eastAsia="zh-CN"/>
        </w:rPr>
        <w:t>中介</w:t>
      </w:r>
      <w:r>
        <w:rPr>
          <w:rFonts w:hint="eastAsia" w:ascii="宋体" w:hAnsi="宋体" w:eastAsia="宋体" w:cs="宋体"/>
          <w:bCs/>
          <w:sz w:val="28"/>
          <w:szCs w:val="28"/>
          <w:highlight w:val="none"/>
        </w:rPr>
        <w:t>机构用于程序化交易的技术系统，在接入</w:t>
      </w:r>
      <w:r>
        <w:rPr>
          <w:rFonts w:hint="eastAsia" w:ascii="宋体" w:hAnsi="宋体" w:eastAsia="宋体" w:cs="宋体"/>
          <w:sz w:val="28"/>
          <w:szCs w:val="28"/>
          <w:highlight w:val="none"/>
        </w:rPr>
        <w:t>期货公司会员、境外特殊经纪参与者</w:t>
      </w:r>
      <w:r>
        <w:rPr>
          <w:rFonts w:hint="eastAsia" w:ascii="宋体" w:hAnsi="宋体" w:eastAsia="宋体" w:cs="宋体"/>
          <w:bCs/>
          <w:sz w:val="28"/>
          <w:szCs w:val="28"/>
          <w:highlight w:val="none"/>
        </w:rPr>
        <w:t>前，应当由</w:t>
      </w:r>
      <w:r>
        <w:rPr>
          <w:rFonts w:hint="eastAsia" w:ascii="宋体" w:hAnsi="宋体" w:eastAsia="宋体" w:cs="宋体"/>
          <w:sz w:val="28"/>
          <w:szCs w:val="28"/>
          <w:highlight w:val="none"/>
        </w:rPr>
        <w:t>期货公司会员、境外特殊经纪参与者</w:t>
      </w:r>
      <w:r>
        <w:rPr>
          <w:rFonts w:hint="eastAsia" w:ascii="宋体" w:hAnsi="宋体" w:eastAsia="宋体" w:cs="宋体"/>
          <w:bCs/>
          <w:sz w:val="28"/>
          <w:szCs w:val="28"/>
          <w:highlight w:val="none"/>
        </w:rPr>
        <w:t>对其技术系统进行测试，</w:t>
      </w:r>
      <w:r>
        <w:rPr>
          <w:rFonts w:hint="eastAsia" w:ascii="宋体" w:hAnsi="宋体" w:eastAsia="宋体" w:cs="宋体"/>
          <w:sz w:val="28"/>
          <w:szCs w:val="28"/>
          <w:highlight w:val="none"/>
        </w:rPr>
        <w:t>期货公司会员、境外特殊经纪参与者</w:t>
      </w:r>
      <w:r>
        <w:rPr>
          <w:rFonts w:hint="eastAsia" w:ascii="宋体" w:hAnsi="宋体" w:eastAsia="宋体" w:cs="宋体"/>
          <w:bCs/>
          <w:sz w:val="28"/>
          <w:szCs w:val="28"/>
          <w:highlight w:val="none"/>
        </w:rPr>
        <w:t>可以自行或者委托第三方测试机构进行测试。</w:t>
      </w:r>
    </w:p>
    <w:p>
      <w:pPr>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期货公司会员、境外特殊经纪参与者</w:t>
      </w:r>
      <w:r>
        <w:rPr>
          <w:rFonts w:hint="eastAsia" w:ascii="宋体" w:hAnsi="宋体" w:eastAsia="宋体" w:cs="宋体"/>
          <w:bCs/>
          <w:sz w:val="28"/>
          <w:szCs w:val="28"/>
          <w:highlight w:val="none"/>
        </w:rPr>
        <w:t>应当妥善保存前款要求的测试记录，保存期限不得少于二十年。</w:t>
      </w:r>
    </w:p>
    <w:p>
      <w:pPr>
        <w:ind w:firstLine="560" w:firstLineChars="200"/>
        <w:rPr>
          <w:rFonts w:hint="eastAsia" w:ascii="宋体" w:hAnsi="宋体" w:eastAsia="宋体" w:cs="宋体"/>
          <w:bCs/>
          <w:sz w:val="28"/>
          <w:szCs w:val="28"/>
          <w:highlight w:val="none"/>
        </w:rPr>
      </w:pPr>
      <w:r>
        <w:rPr>
          <w:rFonts w:hint="eastAsia" w:ascii="黑体" w:hAnsi="黑体" w:eastAsia="黑体" w:cs="黑体"/>
          <w:b w:val="0"/>
          <w:bCs w:val="0"/>
          <w:color w:val="auto"/>
          <w:kern w:val="2"/>
          <w:sz w:val="28"/>
          <w:szCs w:val="28"/>
          <w:highlight w:val="none"/>
          <w:lang w:val="en-US" w:eastAsia="zh-TW" w:bidi="ar-SA"/>
        </w:rPr>
        <w:t xml:space="preserve">第二十条 </w:t>
      </w:r>
      <w:r>
        <w:rPr>
          <w:rFonts w:hint="eastAsia" w:ascii="宋体" w:hAnsi="宋体" w:eastAsia="宋体" w:cs="宋体"/>
          <w:bCs/>
          <w:sz w:val="28"/>
          <w:szCs w:val="28"/>
          <w:highlight w:val="none"/>
        </w:rPr>
        <w:t>期货公司会员、境外特殊经纪参与者为程序化交易提供期货经纪业务服务前，应当建立独立于生产环境的仿真测试环境，对自身的交易信息系统进行测试。</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期货公司会员、境外特殊经纪参与者应当妥善保存前款要求的测试记录，保存期限不得少于二十年。</w:t>
      </w:r>
    </w:p>
    <w:p>
      <w:pPr>
        <w:ind w:firstLine="560" w:firstLineChars="200"/>
        <w:rPr>
          <w:rFonts w:hint="eastAsia" w:ascii="宋体" w:hAnsi="宋体" w:eastAsia="宋体" w:cs="宋体"/>
          <w:bCs/>
          <w:sz w:val="28"/>
          <w:szCs w:val="28"/>
          <w:highlight w:val="none"/>
        </w:rPr>
      </w:pPr>
      <w:r>
        <w:rPr>
          <w:rFonts w:hint="eastAsia" w:ascii="黑体" w:hAnsi="黑体" w:eastAsia="黑体" w:cs="黑体"/>
          <w:b w:val="0"/>
          <w:bCs w:val="0"/>
          <w:color w:val="auto"/>
          <w:kern w:val="2"/>
          <w:sz w:val="28"/>
          <w:szCs w:val="28"/>
          <w:highlight w:val="none"/>
          <w:lang w:val="en-US" w:eastAsia="zh-TW" w:bidi="ar-SA"/>
        </w:rPr>
        <w:t xml:space="preserve">第二十一条 </w:t>
      </w:r>
      <w:r>
        <w:rPr>
          <w:rFonts w:hint="eastAsia" w:ascii="宋体" w:hAnsi="宋体" w:eastAsia="宋体" w:cs="宋体"/>
          <w:sz w:val="28"/>
          <w:szCs w:val="28"/>
          <w:highlight w:val="none"/>
        </w:rPr>
        <w:t>期货公司会员、境外特殊经纪参与者</w:t>
      </w:r>
      <w:r>
        <w:rPr>
          <w:rFonts w:hint="eastAsia" w:ascii="宋体" w:hAnsi="宋体" w:eastAsia="宋体" w:cs="宋体"/>
          <w:bCs/>
          <w:sz w:val="28"/>
          <w:szCs w:val="28"/>
          <w:highlight w:val="none"/>
        </w:rPr>
        <w:t>不得将交易信息系统与客户、境外</w:t>
      </w:r>
      <w:r>
        <w:rPr>
          <w:rFonts w:hint="eastAsia" w:ascii="宋体" w:hAnsi="宋体" w:eastAsia="宋体" w:cs="宋体"/>
          <w:bCs/>
          <w:sz w:val="28"/>
          <w:szCs w:val="28"/>
          <w:highlight w:val="none"/>
          <w:lang w:eastAsia="zh-CN"/>
        </w:rPr>
        <w:t>中介</w:t>
      </w:r>
      <w:r>
        <w:rPr>
          <w:rFonts w:hint="eastAsia" w:ascii="宋体" w:hAnsi="宋体" w:eastAsia="宋体" w:cs="宋体"/>
          <w:bCs/>
          <w:sz w:val="28"/>
          <w:szCs w:val="28"/>
          <w:highlight w:val="none"/>
        </w:rPr>
        <w:t>机构的技术系统部署于同一物理设备，不得将交易信息系统的管理权限开放给客户、境外</w:t>
      </w:r>
      <w:r>
        <w:rPr>
          <w:rFonts w:hint="eastAsia" w:ascii="宋体" w:hAnsi="宋体" w:eastAsia="宋体" w:cs="宋体"/>
          <w:bCs/>
          <w:sz w:val="28"/>
          <w:szCs w:val="28"/>
          <w:highlight w:val="none"/>
          <w:lang w:eastAsia="zh-CN"/>
        </w:rPr>
        <w:t>中介</w:t>
      </w:r>
      <w:r>
        <w:rPr>
          <w:rFonts w:hint="eastAsia" w:ascii="宋体" w:hAnsi="宋体" w:eastAsia="宋体" w:cs="宋体"/>
          <w:bCs/>
          <w:sz w:val="28"/>
          <w:szCs w:val="28"/>
          <w:highlight w:val="none"/>
        </w:rPr>
        <w:t>机构、信息技术系统服务机构，不得将客户、境外</w:t>
      </w:r>
      <w:r>
        <w:rPr>
          <w:rFonts w:hint="eastAsia" w:ascii="宋体" w:hAnsi="宋体" w:eastAsia="宋体" w:cs="宋体"/>
          <w:bCs/>
          <w:sz w:val="28"/>
          <w:szCs w:val="28"/>
          <w:highlight w:val="none"/>
          <w:lang w:eastAsia="zh-CN"/>
        </w:rPr>
        <w:t>中介</w:t>
      </w:r>
      <w:r>
        <w:rPr>
          <w:rFonts w:hint="eastAsia" w:ascii="宋体" w:hAnsi="宋体" w:eastAsia="宋体" w:cs="宋体"/>
          <w:bCs/>
          <w:sz w:val="28"/>
          <w:szCs w:val="28"/>
          <w:highlight w:val="none"/>
        </w:rPr>
        <w:t>机构的技术系统直接接入交易所交易系统。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程序化交易者不得利用系统对接非法经营期货业务，不得招揽交易者或者处理第三方交易指令，不得转让、出借自身技术系统或者为第三方提供系统外部接入。</w:t>
      </w:r>
    </w:p>
    <w:p>
      <w:pPr>
        <w:keepNext w:val="0"/>
        <w:keepLines w:val="0"/>
        <w:pageBreakBefore w:val="0"/>
        <w:widowControl w:val="0"/>
        <w:kinsoku/>
        <w:wordWrap/>
        <w:overflowPunct/>
        <w:topLinePunct w:val="0"/>
        <w:autoSpaceDE/>
        <w:autoSpaceDN/>
        <w:bidi w:val="0"/>
        <w:adjustRightInd/>
        <w:snapToGrid/>
        <w:contextualSpacing/>
        <w:jc w:val="center"/>
        <w:textAlignment w:val="auto"/>
        <w:rPr>
          <w:rFonts w:eastAsia="仿宋"/>
          <w:sz w:val="32"/>
          <w:szCs w:val="22"/>
          <w:highlight w:val="none"/>
        </w:rPr>
      </w:pPr>
      <w:r>
        <w:rPr>
          <w:rFonts w:eastAsia="黑体"/>
          <w:sz w:val="32"/>
          <w:szCs w:val="32"/>
          <w:highlight w:val="none"/>
        </w:rPr>
        <w:t>第四章  主机托管和席位管理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第二十二条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交易所实行主机托管信息报告制度和交易席位管理制度，并按照安全、公平、合理原则提供主机托管服务和分配交易席位。</w:t>
      </w:r>
    </w:p>
    <w:p>
      <w:pPr>
        <w:ind w:firstLine="560" w:firstLineChars="200"/>
        <w:rPr>
          <w:rFonts w:hint="eastAsia" w:ascii="宋体" w:hAnsi="宋体" w:eastAsia="宋体" w:cs="宋体"/>
          <w:kern w:val="0"/>
          <w:sz w:val="28"/>
          <w:szCs w:val="28"/>
          <w:highlight w:val="none"/>
        </w:rPr>
      </w:pPr>
      <w:r>
        <w:rPr>
          <w:rFonts w:hint="eastAsia" w:ascii="宋体" w:hAnsi="宋体" w:eastAsia="宋体" w:cs="宋体"/>
          <w:sz w:val="28"/>
          <w:szCs w:val="28"/>
          <w:highlight w:val="none"/>
        </w:rPr>
        <w:t>交易所每半年对主机托管资源和交易席位使用情况进行核查</w:t>
      </w:r>
      <w:r>
        <w:rPr>
          <w:rFonts w:hint="eastAsia" w:ascii="宋体" w:hAnsi="宋体" w:eastAsia="宋体" w:cs="宋体"/>
          <w:kern w:val="0"/>
          <w:sz w:val="28"/>
          <w:szCs w:val="28"/>
          <w:highlight w:val="none"/>
        </w:rPr>
        <w:t>。</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第二十三条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期货公司会员应当在每次申请新增交易所主机托管资源时向交易所报告。报告内容包括本机构相关管理制度及执行情况、交易软件信息和部署情况、使用交易所主机托管资源的客户情况等。</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报告信息发生重大变更的，期货公司会员应当在相关重大变更发生后5个交易日内向交易所进行变更报告。</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主机托管信息报告的具体内容、方式等，由交易所另行公布。</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第二十四条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期货公司会员应当建立主机托管资源管理制度，合理使用交易所主机托管资源，保障交易公平，并向交易所报告程序化交易客户使用交易所主机托管资源的情况。</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第二十五条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对频繁发生异常交易行为、技术系统出现重大技术故障或者违反交易所相关规定的程序化交易客户，期货公司会员不得向其提供交易所主机托管服务。具体要求由交易所另行公布。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bCs/>
          <w:sz w:val="32"/>
          <w:szCs w:val="32"/>
          <w:highlight w:val="none"/>
        </w:rPr>
      </w:pPr>
      <w:r>
        <w:rPr>
          <w:rFonts w:hint="eastAsia" w:ascii="黑体" w:hAnsi="黑体" w:eastAsia="黑体" w:cs="黑体"/>
          <w:b w:val="0"/>
          <w:bCs w:val="0"/>
          <w:sz w:val="28"/>
          <w:szCs w:val="28"/>
          <w:highlight w:val="none"/>
        </w:rPr>
        <w:t>第二十六条</w:t>
      </w:r>
      <w:r>
        <w:rPr>
          <w:rFonts w:hint="eastAsia" w:ascii="宋体" w:hAnsi="宋体" w:eastAsia="宋体" w:cs="宋体"/>
          <w:b/>
          <w:bCs/>
          <w:sz w:val="28"/>
          <w:szCs w:val="28"/>
          <w:highlight w:val="none"/>
        </w:rPr>
        <w:t xml:space="preserve"> </w:t>
      </w:r>
      <w:r>
        <w:rPr>
          <w:rFonts w:hint="eastAsia" w:ascii="宋体" w:hAnsi="宋体" w:eastAsia="宋体" w:cs="宋体"/>
          <w:bCs/>
          <w:sz w:val="28"/>
          <w:szCs w:val="28"/>
          <w:highlight w:val="none"/>
        </w:rPr>
        <w:t>期货公司会员、境外特殊经纪参与者应当建立交易席位管理制度，公平分配交易席位，并向交易所报告程序化交易客户使用交易席位的情况。</w:t>
      </w:r>
    </w:p>
    <w:p>
      <w:pPr>
        <w:keepNext w:val="0"/>
        <w:keepLines w:val="0"/>
        <w:pageBreakBefore w:val="0"/>
        <w:widowControl w:val="0"/>
        <w:kinsoku/>
        <w:wordWrap/>
        <w:overflowPunct/>
        <w:topLinePunct w:val="0"/>
        <w:autoSpaceDE/>
        <w:autoSpaceDN/>
        <w:bidi w:val="0"/>
        <w:adjustRightInd/>
        <w:snapToGrid/>
        <w:jc w:val="center"/>
        <w:textAlignment w:val="auto"/>
        <w:rPr>
          <w:rFonts w:eastAsia="黑体"/>
          <w:bCs/>
          <w:sz w:val="32"/>
          <w:szCs w:val="32"/>
          <w:highlight w:val="none"/>
        </w:rPr>
      </w:pPr>
      <w:r>
        <w:rPr>
          <w:rFonts w:eastAsia="黑体"/>
          <w:bCs/>
          <w:sz w:val="32"/>
          <w:szCs w:val="32"/>
          <w:highlight w:val="none"/>
        </w:rPr>
        <w:t>第五章  交易监测与风险管理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第二十七条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程序化交易者应当提高合规意识，加强风险防控。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从事程序化交易的法人、非法人组织，应当建立并有效执行程序化交易内部控制、风险管理、合规管理等制度。</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第二十八条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机构应当建立并有效执行程序化交易内部控制、风险管理、合规管理等制度。</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机构应当加强对客户程序化交易行为的监控，进行程序化交易委托指令审核，及时识别、管理异常交易行为</w:t>
      </w:r>
      <w:r>
        <w:rPr>
          <w:rFonts w:hint="eastAsia" w:ascii="宋体" w:hAnsi="宋体" w:eastAsia="宋体" w:cs="宋体"/>
          <w:kern w:val="0"/>
          <w:sz w:val="28"/>
          <w:szCs w:val="28"/>
          <w:highlight w:val="none"/>
          <w:lang w:val="zh-TW" w:bidi="zh-TW"/>
        </w:rPr>
        <w:t>，并</w:t>
      </w:r>
      <w:r>
        <w:rPr>
          <w:rFonts w:hint="eastAsia" w:ascii="宋体" w:hAnsi="宋体" w:eastAsia="宋体" w:cs="宋体"/>
          <w:sz w:val="28"/>
          <w:szCs w:val="28"/>
          <w:highlight w:val="none"/>
        </w:rPr>
        <w:t>配合交易所采取相关措施。</w:t>
      </w:r>
    </w:p>
    <w:p>
      <w:pPr>
        <w:ind w:firstLine="560" w:firstLineChars="200"/>
        <w:rPr>
          <w:rFonts w:hint="eastAsia" w:ascii="宋体" w:hAnsi="宋体" w:eastAsia="宋体" w:cs="宋体"/>
          <w:bCs/>
          <w:sz w:val="28"/>
          <w:szCs w:val="28"/>
          <w:highlight w:val="none"/>
        </w:rPr>
      </w:pPr>
      <w:r>
        <w:rPr>
          <w:rFonts w:hint="eastAsia" w:ascii="黑体" w:hAnsi="黑体" w:eastAsia="黑体" w:cs="黑体"/>
          <w:b w:val="0"/>
          <w:bCs w:val="0"/>
          <w:sz w:val="28"/>
          <w:szCs w:val="28"/>
          <w:highlight w:val="none"/>
        </w:rPr>
        <w:t>第二十九条</w:t>
      </w:r>
      <w:r>
        <w:rPr>
          <w:rFonts w:hint="eastAsia" w:ascii="宋体" w:hAnsi="宋体" w:eastAsia="宋体" w:cs="宋体"/>
          <w:b/>
          <w:bCs/>
          <w:sz w:val="28"/>
          <w:szCs w:val="28"/>
          <w:highlight w:val="none"/>
        </w:rPr>
        <w:t xml:space="preserve"> </w:t>
      </w:r>
      <w:r>
        <w:rPr>
          <w:rFonts w:hint="eastAsia" w:ascii="宋体" w:hAnsi="宋体" w:eastAsia="宋体" w:cs="宋体"/>
          <w:bCs/>
          <w:sz w:val="28"/>
          <w:szCs w:val="28"/>
          <w:highlight w:val="none"/>
        </w:rPr>
        <w:t>交易所对程序化交易实行实时监测监控，对下列可能影响交易所系统安全和正常交易秩序的程序化异常交易行为予以重点监测监控：</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（一）短时间内报单、撤单的笔数、频率达到一定标准，或者日内报单、撤单的笔数达到一定标准；</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（二）短时间内报单、撤单的笔数和报撤单成交比达到一定标准，或者日内报单、撤单的笔数和报撤单成交比达到一定标准；</w:t>
      </w:r>
    </w:p>
    <w:p>
      <w:pPr>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（三）短时间内大笔、连续或者密集报单，成交达到一定标准，且期货交易价格或者交易量出现明显异常；</w:t>
      </w:r>
    </w:p>
    <w:p>
      <w:pPr>
        <w:ind w:firstLine="560" w:firstLineChars="200"/>
        <w:rPr>
          <w:rFonts w:hint="eastAsia" w:ascii="宋体" w:hAnsi="宋体" w:eastAsia="宋体" w:cs="宋体"/>
          <w:kern w:val="0"/>
          <w:sz w:val="28"/>
          <w:szCs w:val="28"/>
          <w:highlight w:val="none"/>
          <w:lang w:bidi="zh-TW"/>
        </w:rPr>
      </w:pPr>
      <w:r>
        <w:rPr>
          <w:rFonts w:hint="eastAsia" w:ascii="宋体" w:hAnsi="宋体" w:eastAsia="宋体" w:cs="宋体"/>
          <w:bCs/>
          <w:sz w:val="28"/>
          <w:szCs w:val="28"/>
          <w:highlight w:val="none"/>
        </w:rPr>
        <w:t>（四）</w:t>
      </w:r>
      <w:r>
        <w:rPr>
          <w:rFonts w:hint="eastAsia" w:ascii="宋体" w:hAnsi="宋体" w:eastAsia="宋体" w:cs="宋体"/>
          <w:kern w:val="0"/>
          <w:sz w:val="28"/>
          <w:szCs w:val="28"/>
          <w:highlight w:val="none"/>
          <w:lang w:bidi="zh-TW"/>
        </w:rPr>
        <w:t>交易所认为需要重点监测监控的其他情形。</w:t>
      </w:r>
    </w:p>
    <w:p>
      <w:pPr>
        <w:ind w:firstLine="560" w:firstLineChars="200"/>
        <w:rPr>
          <w:rFonts w:hint="eastAsia" w:ascii="宋体" w:hAnsi="宋体" w:eastAsia="宋体" w:cs="宋体"/>
          <w:kern w:val="0"/>
          <w:sz w:val="28"/>
          <w:szCs w:val="28"/>
          <w:highlight w:val="none"/>
          <w:lang w:bidi="zh-TW"/>
        </w:rPr>
      </w:pPr>
      <w:r>
        <w:rPr>
          <w:rFonts w:hint="eastAsia" w:ascii="宋体" w:hAnsi="宋体" w:eastAsia="宋体" w:cs="宋体"/>
          <w:kern w:val="0"/>
          <w:sz w:val="28"/>
          <w:szCs w:val="28"/>
          <w:highlight w:val="none"/>
          <w:lang w:bidi="zh-TW"/>
        </w:rPr>
        <w:t>程序化异常交易行为的认定和处理适用《郑州商品交易所异常交易行为管理办法》的有关规定。</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第三十条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交易所对高频交易实行重点管理。</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交易所实行报撤单收费、交易限额等制度，并适时调整报撤单收费标准、交易限额标准等。具体标准由交易所另行公布。</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交易所可以对高频交易手续费实施差异化管理。</w:t>
      </w:r>
    </w:p>
    <w:p>
      <w:pPr>
        <w:ind w:firstLine="560" w:firstLineChars="200"/>
        <w:contextualSpacing/>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第三十一条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交易者从事程序化交易，因不可抗力、意外事件、重大技术故障、重大人为差错等突发事件，可能引发期货价格或者市场重大异常波动的，应当立即采取暂停交易、撤销委托等措施。</w:t>
      </w:r>
    </w:p>
    <w:p>
      <w:pPr>
        <w:ind w:firstLine="560" w:firstLineChars="20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出现上述情形的，客户应当及时向其委托的期货公司会员、境外特殊经纪参与者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机构报告，非期货公司会员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境外特殊</w:t>
      </w:r>
      <w:r>
        <w:rPr>
          <w:rFonts w:hint="eastAsia" w:ascii="宋体" w:hAnsi="宋体" w:eastAsia="宋体" w:cs="宋体"/>
          <w:sz w:val="28"/>
          <w:szCs w:val="28"/>
          <w:highlight w:val="none"/>
          <w:lang w:eastAsia="zh-CN"/>
        </w:rPr>
        <w:t>非</w:t>
      </w:r>
      <w:r>
        <w:rPr>
          <w:rFonts w:hint="eastAsia" w:ascii="宋体" w:hAnsi="宋体" w:eastAsia="宋体" w:cs="宋体"/>
          <w:sz w:val="28"/>
          <w:szCs w:val="28"/>
          <w:highlight w:val="none"/>
        </w:rPr>
        <w:t>经纪参与者应当及时向交易所报告。</w:t>
      </w:r>
    </w:p>
    <w:p>
      <w:pPr>
        <w:ind w:firstLine="560" w:firstLineChars="200"/>
        <w:contextualSpacing/>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第三十二条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机构发现客户出现第三十一条第一款情形的，应当按照委托协议约定，立即采取暂停接受其委托、撤销相关报单等措施，并及时向交易所报告。境外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机构可以通过期货公司会员或者直接向交易所报告。</w:t>
      </w:r>
    </w:p>
    <w:p>
      <w:pPr>
        <w:ind w:firstLine="560" w:firstLineChars="20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期货公司会员的客户出现前款情形的，期货公司会员还应当同时向公司住所地中国证监会派出机构报告。</w:t>
      </w:r>
    </w:p>
    <w:p>
      <w:pPr>
        <w:keepNext w:val="0"/>
        <w:keepLines w:val="0"/>
        <w:pageBreakBefore w:val="0"/>
        <w:widowControl w:val="0"/>
        <w:kinsoku/>
        <w:wordWrap/>
        <w:overflowPunct/>
        <w:topLinePunct w:val="0"/>
        <w:autoSpaceDE/>
        <w:autoSpaceDN/>
        <w:bidi w:val="0"/>
        <w:adjustRightInd/>
        <w:snapToGrid/>
        <w:ind w:firstLine="560" w:firstLineChars="200"/>
        <w:contextualSpacing/>
        <w:textAlignment w:val="auto"/>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第三十三条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出现第三十一条第一款情形，影响交易所系统安全和正常交易秩序的，交易所可以采取暂停交易、调整开市收市时间、取消交易等措施，并及时向中国证监会报告。</w:t>
      </w:r>
    </w:p>
    <w:p>
      <w:pPr>
        <w:keepNext w:val="0"/>
        <w:keepLines w:val="0"/>
        <w:pageBreakBefore w:val="0"/>
        <w:widowControl w:val="0"/>
        <w:kinsoku/>
        <w:wordWrap/>
        <w:overflowPunct/>
        <w:topLinePunct w:val="0"/>
        <w:autoSpaceDE/>
        <w:autoSpaceDN/>
        <w:bidi w:val="0"/>
        <w:adjustRightInd/>
        <w:snapToGrid/>
        <w:jc w:val="center"/>
        <w:textAlignment w:val="auto"/>
        <w:rPr>
          <w:rFonts w:eastAsia="仿宋_GB2312"/>
          <w:b/>
          <w:sz w:val="32"/>
          <w:szCs w:val="32"/>
          <w:highlight w:val="none"/>
        </w:rPr>
      </w:pPr>
      <w:r>
        <w:rPr>
          <w:rFonts w:eastAsia="黑体"/>
          <w:sz w:val="32"/>
          <w:szCs w:val="32"/>
          <w:highlight w:val="none"/>
        </w:rPr>
        <w:t>第六章  监督管理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第三十四条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交易所可以根据自律管理需要，对期货公司会员、境外特殊经纪参与者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机构、程序化交易者遵守本办法的情况进行现场检查或者非现场检查。相关机构和个人应当予以配合，真实、准确、完整、及时地提供相关资料。</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 xml:space="preserve">第三十五条 </w:t>
      </w:r>
      <w:r>
        <w:rPr>
          <w:rFonts w:hint="eastAsia" w:ascii="宋体" w:hAnsi="宋体" w:eastAsia="宋体" w:cs="宋体"/>
          <w:sz w:val="28"/>
          <w:szCs w:val="28"/>
          <w:highlight w:val="none"/>
        </w:rPr>
        <w:t>程序化交易者具有下列情形之一的，交易所责令改正，并可以采取提示、要求提交书面说明、约见谈话、限制开仓等措施：</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（一）未按规定履行报告及变更报告义务，或者频繁发生交易行为与报告信息不一致的；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（二）非期货公司会员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境外特殊</w:t>
      </w:r>
      <w:r>
        <w:rPr>
          <w:rFonts w:hint="eastAsia" w:ascii="宋体" w:hAnsi="宋体" w:eastAsia="宋体" w:cs="宋体"/>
          <w:sz w:val="28"/>
          <w:szCs w:val="28"/>
          <w:highlight w:val="none"/>
          <w:lang w:eastAsia="zh-CN"/>
        </w:rPr>
        <w:t>非</w:t>
      </w:r>
      <w:r>
        <w:rPr>
          <w:rFonts w:hint="eastAsia" w:ascii="宋体" w:hAnsi="宋体" w:eastAsia="宋体" w:cs="宋体"/>
          <w:sz w:val="28"/>
          <w:szCs w:val="28"/>
          <w:highlight w:val="none"/>
        </w:rPr>
        <w:t>经纪参与者违反规定从事高频交易的；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（三）用于程序化交易的技术系统不符合规定的；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（四）利用系统对接非法经营期货业务、招揽交易者、处理第三方交易指令，或者转让、出借自身技术系统以及为第三方提供系统外部接入的；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（五）未按规定使用主机托管资源和交易席位的；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（六）未按规定建立或者有效执行程序化交易内部控制、风险管理、合规管理等制度的；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（七）从事程序化交易，未按规定对突发事件采取相应措施，或者未按规定及时报告的；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（八）不配合交易所开展现场检查或者非现场检查的；</w:t>
      </w:r>
    </w:p>
    <w:p>
      <w:pPr>
        <w:ind w:firstLine="600"/>
        <w:rPr>
          <w:rFonts w:hint="eastAsia" w:ascii="宋体" w:hAnsi="宋体" w:eastAsia="宋体" w:cs="宋体"/>
          <w:sz w:val="28"/>
          <w:szCs w:val="28"/>
          <w:highlight w:val="none"/>
        </w:rPr>
      </w:pPr>
      <w:r>
        <w:rPr>
          <w:rFonts w:hint="eastAsia" w:ascii="宋体" w:hAnsi="宋体" w:eastAsia="宋体" w:cs="宋体"/>
          <w:sz w:val="28"/>
          <w:szCs w:val="28"/>
          <w:highlight w:val="none"/>
        </w:rPr>
        <w:t>（九）从事程序化交易，影响交易所系统安全或者正常交易秩序的；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（十）交易所规定的其他情形。</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第三十六条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期货公司会员、境外特殊经纪参与者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机构具有下列情形之一的，交易所责令改正，并可以采取提示、约见谈话、出具监管警示函、发出监管意见函等措施：</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（一）未按规定核查客户程序化交易报告信息、未按规定督促客户改正或者未按规定拒绝经督促仍未改正客户开仓委托的； </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（二）使用的交易信息系统、用于程序化交易的技术系统不符合规定，或者未按规定进行测试的；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（三）期货公司会员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境外特殊经纪参与者将交易信息系统与客户、境外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机构的技术系统部署于同一物理设备，将交易信息系统的管理权限开放给客户、境外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机构、信息技术系统服务机构，或者将客户、境外</w:t>
      </w:r>
      <w:r>
        <w:rPr>
          <w:rFonts w:hint="eastAsia" w:ascii="宋体" w:hAnsi="宋体" w:eastAsia="宋体" w:cs="宋体"/>
          <w:sz w:val="28"/>
          <w:szCs w:val="28"/>
          <w:highlight w:val="none"/>
          <w:lang w:eastAsia="zh-CN"/>
        </w:rPr>
        <w:t>中介</w:t>
      </w:r>
      <w:r>
        <w:rPr>
          <w:rFonts w:hint="eastAsia" w:ascii="宋体" w:hAnsi="宋体" w:eastAsia="宋体" w:cs="宋体"/>
          <w:sz w:val="28"/>
          <w:szCs w:val="28"/>
          <w:highlight w:val="none"/>
        </w:rPr>
        <w:t>机构的技术系统直接接入交易所交易系统的；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（四）未按规定建立主机托管资源管理制度或者交易席位管理制度，未按规定使用主机托管资源或者交易席位的；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（五）未按规定建立或者有效执行程序化交易内部控制、风险管理、合规管理等制度的；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（六）未按规定管理客户程序化交易行为，</w:t>
      </w:r>
      <w:r>
        <w:rPr>
          <w:rFonts w:hint="eastAsia" w:ascii="宋体" w:hAnsi="宋体" w:eastAsia="宋体" w:cs="宋体"/>
          <w:kern w:val="0"/>
          <w:sz w:val="28"/>
          <w:szCs w:val="28"/>
          <w:highlight w:val="none"/>
          <w:lang w:val="zh-TW" w:bidi="zh-TW"/>
        </w:rPr>
        <w:t>或者未</w:t>
      </w:r>
      <w:r>
        <w:rPr>
          <w:rFonts w:hint="eastAsia" w:ascii="宋体" w:hAnsi="宋体" w:eastAsia="宋体" w:cs="宋体"/>
          <w:sz w:val="28"/>
          <w:szCs w:val="28"/>
          <w:highlight w:val="none"/>
        </w:rPr>
        <w:t>配合交易所采取相关措施的；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（七）发现客户出现突发事件，未按规定采取相应措施，或者未按规定及时报告的；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（八）未按规定保存客户程序化交易报告信息、核查工作记录或者技术系统测试记录的；</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（九）不配合交易所开展现场检查或者非现场检查的；</w:t>
      </w:r>
    </w:p>
    <w:p>
      <w:pPr>
        <w:keepNext w:val="0"/>
        <w:keepLines w:val="0"/>
        <w:pageBreakBefore w:val="0"/>
        <w:widowControl w:val="0"/>
        <w:kinsoku/>
        <w:wordWrap/>
        <w:overflowPunct/>
        <w:topLinePunct w:val="0"/>
        <w:autoSpaceDE/>
        <w:autoSpaceDN/>
        <w:bidi w:val="0"/>
        <w:adjustRightInd/>
        <w:snapToGrid/>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（十）从事程序化交易，影响交易所系统安全或者正常交易秩序的；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（十一）交易所规定的其他情形。</w:t>
      </w:r>
    </w:p>
    <w:p>
      <w:pPr>
        <w:keepNext w:val="0"/>
        <w:keepLines w:val="0"/>
        <w:pageBreakBefore w:val="0"/>
        <w:widowControl w:val="0"/>
        <w:kinsoku/>
        <w:wordWrap/>
        <w:overflowPunct/>
        <w:topLinePunct w:val="0"/>
        <w:autoSpaceDE/>
        <w:autoSpaceDN/>
        <w:bidi w:val="0"/>
        <w:adjustRightInd/>
        <w:snapToGrid/>
        <w:jc w:val="center"/>
        <w:textAlignment w:val="auto"/>
        <w:rPr>
          <w:rFonts w:eastAsia="黑体"/>
          <w:bCs/>
          <w:sz w:val="32"/>
          <w:szCs w:val="32"/>
          <w:highlight w:val="none"/>
        </w:rPr>
      </w:pPr>
      <w:r>
        <w:rPr>
          <w:rFonts w:eastAsia="黑体"/>
          <w:bCs/>
          <w:sz w:val="32"/>
          <w:szCs w:val="32"/>
          <w:highlight w:val="none"/>
        </w:rPr>
        <w:t>第七章  附</w:t>
      </w:r>
      <w:r>
        <w:rPr>
          <w:rFonts w:hint="eastAsia" w:eastAsia="黑体"/>
          <w:bCs/>
          <w:sz w:val="32"/>
          <w:szCs w:val="32"/>
          <w:highlight w:val="none"/>
          <w:lang w:val="en-US" w:eastAsia="zh-CN"/>
        </w:rPr>
        <w:t xml:space="preserve"> </w:t>
      </w:r>
      <w:r>
        <w:rPr>
          <w:rFonts w:eastAsia="黑体"/>
          <w:bCs/>
          <w:sz w:val="32"/>
          <w:szCs w:val="32"/>
          <w:highlight w:val="none"/>
        </w:rPr>
        <w:t>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第三十七条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违反本办法规定，情节严重的，交易所按照《郑州商品交易所违规处理办法》处理。</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rPr>
        <w:t>第三十八条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做市商以程序化交易方式从事做市业务的，不适用本办法中高频交易相关规定。</w:t>
      </w:r>
    </w:p>
    <w:p>
      <w:pPr>
        <w:ind w:firstLine="560" w:firstLineChars="200"/>
        <w:rPr>
          <w:rFonts w:hint="eastAsia" w:ascii="宋体" w:hAnsi="宋体" w:eastAsia="宋体" w:cs="宋体"/>
          <w:kern w:val="0"/>
          <w:sz w:val="28"/>
          <w:szCs w:val="28"/>
          <w:highlight w:val="none"/>
          <w:lang w:val="zh-TW" w:bidi="zh-TW"/>
        </w:rPr>
      </w:pPr>
      <w:r>
        <w:rPr>
          <w:rFonts w:hint="eastAsia" w:ascii="黑体" w:hAnsi="黑体" w:eastAsia="黑体" w:cs="黑体"/>
          <w:b w:val="0"/>
          <w:bCs w:val="0"/>
          <w:sz w:val="28"/>
          <w:szCs w:val="28"/>
          <w:highlight w:val="none"/>
          <w:lang w:val="zh-TW"/>
        </w:rPr>
        <w:t>第三十九条</w:t>
      </w:r>
      <w:r>
        <w:rPr>
          <w:rFonts w:hint="eastAsia" w:ascii="宋体" w:hAnsi="宋体" w:eastAsia="宋体" w:cs="宋体"/>
          <w:b/>
          <w:bCs/>
          <w:sz w:val="28"/>
          <w:szCs w:val="28"/>
          <w:highlight w:val="none"/>
        </w:rPr>
        <w:t xml:space="preserve"> </w:t>
      </w:r>
      <w:r>
        <w:rPr>
          <w:rFonts w:hint="eastAsia" w:ascii="宋体" w:hAnsi="宋体" w:eastAsia="宋体" w:cs="宋体"/>
          <w:kern w:val="0"/>
          <w:sz w:val="28"/>
          <w:szCs w:val="28"/>
          <w:highlight w:val="none"/>
          <w:lang w:val="zh-TW" w:bidi="zh-TW"/>
        </w:rPr>
        <w:t>本办法由交易所负责解释。</w:t>
      </w:r>
    </w:p>
    <w:p>
      <w:pPr>
        <w:ind w:firstLine="560" w:firstLineChars="200"/>
        <w:rPr>
          <w:rFonts w:hint="eastAsia" w:ascii="宋体" w:hAnsi="宋体" w:eastAsia="宋体" w:cs="宋体"/>
          <w:sz w:val="28"/>
          <w:szCs w:val="28"/>
          <w:highlight w:val="none"/>
        </w:rPr>
      </w:pPr>
      <w:r>
        <w:rPr>
          <w:rFonts w:hint="eastAsia" w:ascii="黑体" w:hAnsi="黑体" w:eastAsia="黑体" w:cs="黑体"/>
          <w:b w:val="0"/>
          <w:bCs w:val="0"/>
          <w:sz w:val="28"/>
          <w:szCs w:val="28"/>
          <w:highlight w:val="none"/>
          <w:lang w:val="zh-TW"/>
        </w:rPr>
        <w:t>第四十条</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本办法自202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default" w:ascii="宋体" w:hAnsi="宋体" w:cs="宋体"/>
          <w:sz w:val="28"/>
          <w:szCs w:val="28"/>
          <w:highlight w:val="none"/>
          <w:lang w:val="en-US" w:eastAsia="zh-CN"/>
        </w:rPr>
        <w:t>5</w:t>
      </w:r>
      <w:r>
        <w:rPr>
          <w:rFonts w:hint="eastAsia" w:ascii="宋体" w:hAnsi="宋体" w:eastAsia="宋体" w:cs="宋体"/>
          <w:sz w:val="28"/>
          <w:szCs w:val="28"/>
          <w:highlight w:val="none"/>
        </w:rPr>
        <w:t>月</w:t>
      </w:r>
      <w:r>
        <w:rPr>
          <w:rFonts w:hint="default" w:ascii="宋体" w:hAnsi="宋体" w:cs="宋体"/>
          <w:sz w:val="28"/>
          <w:szCs w:val="28"/>
          <w:highlight w:val="none"/>
          <w:lang w:val="en-US" w:eastAsia="zh-CN"/>
        </w:rPr>
        <w:t>7</w:t>
      </w:r>
      <w:r>
        <w:rPr>
          <w:rFonts w:hint="eastAsia" w:ascii="宋体" w:hAnsi="宋体" w:eastAsia="宋体" w:cs="宋体"/>
          <w:sz w:val="28"/>
          <w:szCs w:val="28"/>
          <w:highlight w:val="none"/>
        </w:rPr>
        <w:t>日起施行。</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br w:type="page"/>
      </w:r>
      <w:r>
        <w:rPr>
          <w:rFonts w:hint="eastAsia" w:ascii="黑体" w:hAnsi="黑体" w:eastAsia="黑体" w:cs="黑体"/>
          <w:sz w:val="32"/>
          <w:szCs w:val="32"/>
          <w:highlight w:val="none"/>
          <w:lang w:val="en-US" w:eastAsia="zh-CN"/>
        </w:rPr>
        <w:t>附件17</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郑州商品交易所菜籽粕期货业务细则</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对《郑州商品交易所菜籽粕期货业务细则》作如下修订：</w:t>
      </w:r>
    </w:p>
    <w:p>
      <w:pPr>
        <w:keepNext w:val="0"/>
        <w:keepLines w:val="0"/>
        <w:pageBreakBefore w:val="0"/>
        <w:widowControl w:val="0"/>
        <w:numPr>
          <w:ilvl w:val="0"/>
          <w:numId w:val="24"/>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将第一章第二条修订为：“交易所、会员、境外特殊参与者、境外中介机构、客户、交割仓库（以下简称仓库）、交割厂库（以下简称厂库）、指定质检机构及期货市场其他参与者应当遵守本细则。”</w:t>
      </w:r>
    </w:p>
    <w:p>
      <w:pPr>
        <w:keepNext w:val="0"/>
        <w:keepLines w:val="0"/>
        <w:pageBreakBefore w:val="0"/>
        <w:widowControl w:val="0"/>
        <w:numPr>
          <w:ilvl w:val="0"/>
          <w:numId w:val="24"/>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将第四章第五十三条第一款表格第二列表头修订为：“非期货公司会员、境外特殊非经纪参与者和客户的最大单边持仓量（手）”。</w:t>
      </w:r>
    </w:p>
    <w:p>
      <w:pPr>
        <w:keepNext w:val="0"/>
        <w:keepLines w:val="0"/>
        <w:pageBreakBefore w:val="0"/>
        <w:widowControl w:val="0"/>
        <w:numPr>
          <w:ilvl w:val="0"/>
          <w:numId w:val="24"/>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将第四章第五十三条第二款修订为：“本条所称限仓是指交易所规定会员、境外特殊参与者或者客户按单边计算的、可以持有某一期货合约投机持仓的最大数量。”</w:t>
      </w:r>
    </w:p>
    <w:p>
      <w:pPr>
        <w:widowControl/>
        <w:jc w:val="center"/>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仿宋" w:hAnsi="仿宋" w:eastAsia="仿宋"/>
          <w:sz w:val="40"/>
          <w:szCs w:val="40"/>
          <w:highlight w:val="none"/>
          <w:lang w:eastAsia="zh-CN"/>
        </w:rPr>
        <w:t>《</w:t>
      </w:r>
      <w:r>
        <w:rPr>
          <w:rFonts w:hint="eastAsia" w:ascii="方正小标宋简体" w:hAnsi="方正小标宋简体" w:eastAsia="方正小标宋简体" w:cs="方正小标宋简体"/>
          <w:b w:val="0"/>
          <w:bCs/>
          <w:sz w:val="40"/>
          <w:szCs w:val="40"/>
          <w:highlight w:val="none"/>
        </w:rPr>
        <w:t>郑州商品交易所菜籽粕期货业务细则》</w:t>
      </w:r>
    </w:p>
    <w:p>
      <w:pPr>
        <w:widowControl/>
        <w:jc w:val="center"/>
        <w:rPr>
          <w:rFonts w:hint="eastAsia" w:ascii="方正小标宋简体" w:hAnsi="方正小标宋简体" w:eastAsia="方正小标宋简体" w:cs="方正小标宋简体"/>
          <w:b w:val="0"/>
          <w:bCs/>
          <w:sz w:val="40"/>
          <w:szCs w:val="40"/>
          <w:highlight w:val="none"/>
          <w:lang w:val="en-US" w:eastAsia="zh-CN"/>
        </w:rPr>
      </w:pPr>
      <w:r>
        <w:rPr>
          <w:rFonts w:hint="eastAsia" w:ascii="方正小标宋简体" w:hAnsi="方正小标宋简体" w:eastAsia="方正小标宋简体" w:cs="方正小标宋简体"/>
          <w:b w:val="0"/>
          <w:bCs/>
          <w:sz w:val="40"/>
          <w:szCs w:val="40"/>
          <w:highlight w:val="none"/>
        </w:rPr>
        <w:t>修订对照表</w:t>
      </w:r>
    </w:p>
    <w:p>
      <w:pPr>
        <w:widowControl/>
        <w:spacing w:line="360" w:lineRule="auto"/>
        <w:jc w:val="center"/>
        <w:rPr>
          <w:rFonts w:ascii="仿宋" w:hAnsi="仿宋" w:eastAsia="仿宋"/>
          <w:sz w:val="32"/>
          <w:szCs w:val="32"/>
          <w:highlight w:val="none"/>
        </w:rPr>
      </w:pPr>
      <w:r>
        <w:rPr>
          <w:rFonts w:hint="eastAsia" w:ascii="仿宋" w:hAnsi="仿宋" w:eastAsia="仿宋" w:cs="Calibri"/>
          <w:sz w:val="32"/>
          <w:szCs w:val="32"/>
          <w:highlight w:val="none"/>
        </w:rPr>
        <w:t>（删除线部分为删除，下划线加粗部分为修改增加）</w:t>
      </w:r>
    </w:p>
    <w:tbl>
      <w:tblPr>
        <w:tblStyle w:val="8"/>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rPr>
          <w:trHeight w:val="397" w:hRule="atLeast"/>
        </w:trPr>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修订前</w:t>
            </w:r>
            <w:r>
              <w:rPr>
                <w:rFonts w:hint="eastAsia" w:ascii="仿宋" w:hAnsi="仿宋" w:eastAsia="仿宋" w:cs="仿宋"/>
                <w:b/>
                <w:bCs/>
                <w:sz w:val="24"/>
                <w:szCs w:val="24"/>
                <w:highlight w:val="none"/>
              </w:rPr>
              <w:t>条文</w:t>
            </w:r>
          </w:p>
        </w:tc>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修订</w:t>
            </w:r>
            <w:r>
              <w:rPr>
                <w:rFonts w:hint="eastAsia" w:ascii="仿宋" w:hAnsi="仿宋" w:eastAsia="仿宋" w:cs="仿宋"/>
                <w:b/>
                <w:bCs/>
                <w:sz w:val="24"/>
                <w:szCs w:val="24"/>
                <w:highlight w:val="none"/>
                <w:lang w:eastAsia="zh-CN"/>
              </w:rPr>
              <w:t>后</w:t>
            </w:r>
            <w:r>
              <w:rPr>
                <w:rFonts w:hint="eastAsia" w:ascii="仿宋" w:hAnsi="仿宋" w:eastAsia="仿宋" w:cs="仿宋"/>
                <w:b/>
                <w:bCs/>
                <w:sz w:val="24"/>
                <w:szCs w:val="24"/>
                <w:highlight w:val="none"/>
              </w:rPr>
              <w:t>条文</w:t>
            </w:r>
          </w:p>
        </w:tc>
      </w:tr>
      <w:tr>
        <w:tblPrEx>
          <w:tblCellMar>
            <w:top w:w="0" w:type="dxa"/>
            <w:left w:w="108" w:type="dxa"/>
            <w:bottom w:w="0" w:type="dxa"/>
            <w:right w:w="108" w:type="dxa"/>
          </w:tblCellMar>
        </w:tblPrEx>
        <w:trPr>
          <w:trHeight w:val="397"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25"/>
              </w:numPr>
              <w:ind w:firstLineChars="0"/>
              <w:jc w:val="center"/>
              <w:rPr>
                <w:rFonts w:hint="eastAsia" w:ascii="仿宋" w:hAnsi="仿宋" w:eastAsia="仿宋" w:cs="仿宋"/>
                <w:b/>
                <w:sz w:val="24"/>
                <w:szCs w:val="24"/>
                <w:highlight w:val="none"/>
              </w:rPr>
            </w:pPr>
            <w:r>
              <w:rPr>
                <w:rFonts w:hint="eastAsia" w:ascii="仿宋" w:hAnsi="仿宋" w:eastAsia="仿宋" w:cs="仿宋"/>
                <w:b/>
                <w:bCs w:val="0"/>
                <w:sz w:val="24"/>
                <w:szCs w:val="24"/>
                <w:highlight w:val="none"/>
              </w:rPr>
              <w:t>总则</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rPr>
            </w:pPr>
            <w:r>
              <w:rPr>
                <w:rFonts w:hint="eastAsia" w:ascii="仿宋" w:hAnsi="仿宋" w:eastAsia="仿宋" w:cs="仿宋"/>
                <w:b/>
                <w:sz w:val="24"/>
                <w:szCs w:val="24"/>
                <w:highlight w:val="none"/>
              </w:rPr>
              <w:t>第二条</w:t>
            </w:r>
            <w:r>
              <w:rPr>
                <w:rFonts w:hint="eastAsia" w:ascii="仿宋" w:hAnsi="仿宋" w:eastAsia="仿宋" w:cs="仿宋"/>
                <w:sz w:val="24"/>
                <w:szCs w:val="24"/>
                <w:highlight w:val="none"/>
              </w:rPr>
              <w:t xml:space="preserve"> 交易所、会员、境外经纪机构、客户、交割仓库（以下简称仓库）、交割厂库（以下简称厂库）、指定质检机构及期货市场其他参与者应当遵守本细则。</w:t>
            </w:r>
          </w:p>
        </w:tc>
        <w:tc>
          <w:tcPr>
            <w:tcW w:w="4148" w:type="dxa"/>
            <w:tcBorders>
              <w:top w:val="single" w:color="auto" w:sz="4" w:space="0"/>
              <w:left w:val="single" w:color="auto" w:sz="4" w:space="0"/>
              <w:bottom w:val="single" w:color="auto" w:sz="4" w:space="0"/>
              <w:right w:val="single" w:color="auto" w:sz="4" w:space="0"/>
            </w:tcBorders>
            <w:noWrap w:val="0"/>
            <w:vAlign w:val="top"/>
          </w:tcPr>
          <w:p>
            <w:pPr>
              <w:ind w:firstLine="480"/>
              <w:rPr>
                <w:rFonts w:hint="eastAsia" w:ascii="仿宋" w:hAnsi="仿宋" w:eastAsia="仿宋" w:cs="仿宋"/>
                <w:sz w:val="24"/>
                <w:szCs w:val="24"/>
                <w:highlight w:val="none"/>
              </w:rPr>
            </w:pPr>
            <w:r>
              <w:rPr>
                <w:rFonts w:hint="eastAsia" w:ascii="仿宋" w:hAnsi="仿宋" w:eastAsia="仿宋" w:cs="仿宋"/>
                <w:b/>
                <w:sz w:val="24"/>
                <w:szCs w:val="24"/>
                <w:highlight w:val="none"/>
              </w:rPr>
              <w:t>第二条</w:t>
            </w:r>
            <w:r>
              <w:rPr>
                <w:rFonts w:hint="eastAsia" w:ascii="仿宋" w:hAnsi="仿宋" w:eastAsia="仿宋" w:cs="仿宋"/>
                <w:sz w:val="24"/>
                <w:szCs w:val="24"/>
                <w:highlight w:val="none"/>
              </w:rPr>
              <w:t xml:space="preserve"> 交易所、会员、</w:t>
            </w:r>
            <w:r>
              <w:rPr>
                <w:rFonts w:hint="eastAsia" w:ascii="仿宋" w:hAnsi="仿宋" w:eastAsia="仿宋" w:cs="仿宋"/>
                <w:b/>
                <w:sz w:val="24"/>
                <w:szCs w:val="24"/>
                <w:highlight w:val="none"/>
                <w:u w:val="single"/>
              </w:rPr>
              <w:t>境外特殊参与者、</w:t>
            </w:r>
            <w:r>
              <w:rPr>
                <w:rFonts w:hint="eastAsia" w:ascii="仿宋" w:hAnsi="仿宋" w:eastAsia="仿宋" w:cs="仿宋"/>
                <w:sz w:val="24"/>
                <w:szCs w:val="24"/>
                <w:highlight w:val="none"/>
              </w:rPr>
              <w:t>境外</w:t>
            </w:r>
            <w:r>
              <w:rPr>
                <w:rFonts w:hint="eastAsia" w:ascii="仿宋" w:hAnsi="仿宋" w:eastAsia="仿宋" w:cs="仿宋"/>
                <w:dstrike/>
                <w:sz w:val="24"/>
                <w:szCs w:val="24"/>
                <w:highlight w:val="none"/>
              </w:rPr>
              <w:t>经纪</w:t>
            </w:r>
            <w:r>
              <w:rPr>
                <w:rFonts w:hint="eastAsia" w:ascii="仿宋" w:hAnsi="仿宋" w:eastAsia="仿宋" w:cs="仿宋"/>
                <w:b/>
                <w:sz w:val="24"/>
                <w:szCs w:val="24"/>
                <w:highlight w:val="none"/>
                <w:u w:val="single"/>
              </w:rPr>
              <w:t>中介</w:t>
            </w:r>
            <w:r>
              <w:rPr>
                <w:rFonts w:hint="eastAsia" w:ascii="仿宋" w:hAnsi="仿宋" w:eastAsia="仿宋" w:cs="仿宋"/>
                <w:sz w:val="24"/>
                <w:szCs w:val="24"/>
                <w:highlight w:val="none"/>
              </w:rPr>
              <w:t>机构、客户、交割仓库（以下简称仓库）、交割厂库（以下简称厂库）、指定质检机构及期货市场其他参与者应当遵守本细则。</w:t>
            </w:r>
          </w:p>
        </w:tc>
      </w:tr>
      <w:tr>
        <w:tblPrEx>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sz w:val="24"/>
                <w:szCs w:val="24"/>
                <w:highlight w:val="none"/>
              </w:rPr>
            </w:pPr>
            <w:r>
              <w:rPr>
                <w:rFonts w:hint="eastAsia" w:ascii="仿宋" w:hAnsi="仿宋" w:eastAsia="仿宋"/>
                <w:b/>
                <w:sz w:val="24"/>
                <w:highlight w:val="none"/>
                <w:lang w:eastAsia="zh-CN"/>
              </w:rPr>
              <w:t>第四章</w:t>
            </w:r>
            <w:r>
              <w:rPr>
                <w:rFonts w:hint="eastAsia" w:ascii="仿宋" w:hAnsi="仿宋" w:eastAsia="仿宋"/>
                <w:b/>
                <w:sz w:val="24"/>
                <w:highlight w:val="none"/>
                <w:lang w:val="en-US" w:eastAsia="zh-CN"/>
              </w:rPr>
              <w:t xml:space="preserve"> 风险管理</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第五十三条</w:t>
            </w:r>
            <w:r>
              <w:rPr>
                <w:rFonts w:hint="eastAsia" w:ascii="仿宋" w:hAnsi="仿宋" w:eastAsia="仿宋" w:cs="仿宋"/>
                <w:b/>
                <w:sz w:val="24"/>
                <w:szCs w:val="24"/>
                <w:highlight w:val="none"/>
                <w:lang w:val="en-US" w:eastAsia="zh-CN"/>
              </w:rPr>
              <w:t xml:space="preserve"> </w:t>
            </w:r>
            <w:r>
              <w:rPr>
                <w:rFonts w:hint="default" w:ascii="Times New Roman" w:hAnsi="Times New Roman" w:eastAsia="仿宋" w:cs="Times New Roman"/>
                <w:b/>
                <w:sz w:val="24"/>
                <w:szCs w:val="24"/>
                <w:highlight w:val="none"/>
                <w:lang w:val="en-US" w:eastAsia="zh-CN"/>
              </w:rPr>
              <w:t>第一款表格</w:t>
            </w:r>
            <w:r>
              <w:rPr>
                <w:rFonts w:hint="eastAsia" w:eastAsia="仿宋" w:cs="Times New Roman"/>
                <w:b/>
                <w:sz w:val="24"/>
                <w:szCs w:val="24"/>
                <w:highlight w:val="none"/>
                <w:lang w:val="en-US" w:eastAsia="zh-CN"/>
              </w:rPr>
              <w:t xml:space="preserve">第一行第二列 </w:t>
            </w:r>
            <w:r>
              <w:rPr>
                <w:rFonts w:hint="eastAsia" w:ascii="仿宋" w:hAnsi="仿宋" w:eastAsia="仿宋" w:cs="仿宋"/>
                <w:sz w:val="24"/>
                <w:szCs w:val="24"/>
                <w:highlight w:val="none"/>
                <w:lang w:val="en-US" w:eastAsia="zh-CN"/>
              </w:rPr>
              <w:t>非期货公司会员和客户的最大单边持仓量（手）</w:t>
            </w:r>
          </w:p>
          <w:p>
            <w:pPr>
              <w:widowControl/>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widowControl/>
              <w:ind w:firstLine="48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本条所称限仓是指交易所规定会员或者客户按单边计算的、可以持有某一期货合约投机持仓的最大数量。</w:t>
            </w:r>
          </w:p>
        </w:tc>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第五十三条</w:t>
            </w:r>
            <w:r>
              <w:rPr>
                <w:rFonts w:hint="eastAsia" w:ascii="仿宋" w:hAnsi="仿宋" w:eastAsia="仿宋" w:cs="仿宋"/>
                <w:b/>
                <w:sz w:val="24"/>
                <w:szCs w:val="24"/>
                <w:highlight w:val="none"/>
                <w:lang w:val="en-US" w:eastAsia="zh-CN"/>
              </w:rPr>
              <w:t xml:space="preserve"> </w:t>
            </w:r>
            <w:r>
              <w:rPr>
                <w:rFonts w:hint="default" w:ascii="Times New Roman" w:hAnsi="Times New Roman" w:eastAsia="仿宋" w:cs="Times New Roman"/>
                <w:b/>
                <w:sz w:val="24"/>
                <w:szCs w:val="24"/>
                <w:highlight w:val="none"/>
                <w:lang w:val="en-US" w:eastAsia="zh-CN"/>
              </w:rPr>
              <w:t>第一款表格</w:t>
            </w:r>
            <w:r>
              <w:rPr>
                <w:rFonts w:hint="eastAsia" w:eastAsia="仿宋" w:cs="Times New Roman"/>
                <w:b/>
                <w:sz w:val="24"/>
                <w:szCs w:val="24"/>
                <w:highlight w:val="none"/>
                <w:lang w:val="en-US" w:eastAsia="zh-CN"/>
              </w:rPr>
              <w:t xml:space="preserve">第一行第二列 </w:t>
            </w:r>
            <w:r>
              <w:rPr>
                <w:rFonts w:hint="eastAsia" w:ascii="仿宋" w:hAnsi="仿宋" w:eastAsia="仿宋" w:cs="仿宋"/>
                <w:sz w:val="24"/>
                <w:szCs w:val="24"/>
                <w:highlight w:val="none"/>
                <w:lang w:val="en-US" w:eastAsia="zh-CN"/>
              </w:rPr>
              <w:t>非期货公司会员</w:t>
            </w:r>
            <w:r>
              <w:rPr>
                <w:rFonts w:hint="eastAsia" w:ascii="仿宋" w:hAnsi="仿宋" w:eastAsia="仿宋" w:cs="仿宋"/>
                <w:b/>
                <w:bCs/>
                <w:sz w:val="24"/>
                <w:szCs w:val="24"/>
                <w:highlight w:val="none"/>
                <w:u w:val="single"/>
                <w:lang w:val="en-US" w:eastAsia="zh-CN"/>
              </w:rPr>
              <w:t>、境外特殊非经纪参与者</w:t>
            </w:r>
            <w:r>
              <w:rPr>
                <w:rFonts w:hint="eastAsia" w:ascii="仿宋" w:hAnsi="仿宋" w:eastAsia="仿宋" w:cs="仿宋"/>
                <w:sz w:val="24"/>
                <w:szCs w:val="24"/>
                <w:highlight w:val="none"/>
                <w:lang w:val="en-US" w:eastAsia="zh-CN"/>
              </w:rPr>
              <w:t>和客户的最大单边持仓量（手）</w:t>
            </w:r>
          </w:p>
          <w:p>
            <w:pPr>
              <w:widowControl/>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ind w:firstLine="480"/>
              <w:rPr>
                <w:rFonts w:hint="eastAsia" w:ascii="仿宋" w:hAnsi="仿宋" w:eastAsia="仿宋" w:cs="仿宋"/>
                <w:b/>
                <w:sz w:val="24"/>
                <w:szCs w:val="24"/>
                <w:highlight w:val="none"/>
              </w:rPr>
            </w:pPr>
            <w:r>
              <w:rPr>
                <w:rFonts w:hint="default" w:ascii="仿宋" w:hAnsi="仿宋" w:eastAsia="仿宋" w:cs="仿宋"/>
                <w:sz w:val="24"/>
                <w:szCs w:val="24"/>
                <w:highlight w:val="none"/>
                <w:lang w:val="en-US" w:eastAsia="zh-CN"/>
              </w:rPr>
              <w:t>本条所称限仓是指交易所规定会员</w:t>
            </w:r>
            <w:r>
              <w:rPr>
                <w:rFonts w:hint="eastAsia" w:ascii="仿宋" w:hAnsi="仿宋" w:eastAsia="仿宋" w:cs="仿宋"/>
                <w:b/>
                <w:bCs/>
                <w:sz w:val="24"/>
                <w:szCs w:val="24"/>
                <w:highlight w:val="none"/>
                <w:u w:val="single"/>
                <w:lang w:val="en-US" w:eastAsia="zh-CN"/>
              </w:rPr>
              <w:t>、境外特殊参与者</w:t>
            </w:r>
            <w:r>
              <w:rPr>
                <w:rFonts w:hint="default" w:ascii="仿宋" w:hAnsi="仿宋" w:eastAsia="仿宋" w:cs="仿宋"/>
                <w:sz w:val="24"/>
                <w:szCs w:val="24"/>
                <w:highlight w:val="none"/>
                <w:lang w:val="en-US" w:eastAsia="zh-CN"/>
              </w:rPr>
              <w:t>或者客户按单边计算的、可以持有某一期货合约投机持仓的最大数量。</w:t>
            </w:r>
          </w:p>
        </w:tc>
      </w:tr>
    </w:tbl>
    <w:p>
      <w:pPr>
        <w:tabs>
          <w:tab w:val="left" w:pos="1620"/>
        </w:tabs>
        <w:autoSpaceDE w:val="0"/>
        <w:autoSpaceDN w:val="0"/>
        <w:jc w:val="center"/>
        <w:outlineLvl w:val="1"/>
        <w:rPr>
          <w:rFonts w:ascii="方正小标宋简体" w:hAnsi="方正小标宋简体" w:eastAsia="方正小标宋简体" w:cs="方正小标宋简体"/>
          <w:sz w:val="44"/>
          <w:highlight w:val="none"/>
        </w:rPr>
      </w:pPr>
      <w:r>
        <w:rPr>
          <w:rFonts w:hint="default" w:ascii="黑体" w:hAnsi="黑体" w:eastAsia="黑体" w:cs="黑体"/>
          <w:sz w:val="32"/>
          <w:szCs w:val="32"/>
          <w:highlight w:val="none"/>
          <w:lang w:val="en-US" w:eastAsia="zh-CN"/>
        </w:rPr>
        <w:br w:type="page"/>
      </w:r>
      <w:r>
        <w:rPr>
          <w:rFonts w:hint="eastAsia" w:ascii="黑体" w:hAnsi="黑体" w:eastAsia="黑体" w:cs="黑体"/>
          <w:sz w:val="40"/>
          <w:szCs w:val="40"/>
          <w:highlight w:val="none"/>
        </w:rPr>
        <w:t>郑州商品交易所菜籽粕期货业务细则</w:t>
      </w:r>
    </w:p>
    <w:p>
      <w:pPr>
        <w:spacing w:before="240" w:after="240"/>
        <w:ind w:firstLine="480" w:firstLineChars="200"/>
        <w:rPr>
          <w:rFonts w:ascii="楷体" w:hAnsi="楷体" w:eastAsia="楷体" w:cs="Times New Roman"/>
          <w:b/>
          <w:sz w:val="24"/>
          <w:szCs w:val="24"/>
          <w:highlight w:val="none"/>
        </w:rPr>
      </w:pPr>
      <w:r>
        <w:rPr>
          <w:rFonts w:hint="eastAsia" w:ascii="宋体" w:hAnsi="宋体"/>
          <w:sz w:val="24"/>
          <w:highlight w:val="none"/>
        </w:rPr>
        <w:t>（2026年4月7日郑州商品交易所第八届理事会第三十四次会议审议通过，2026年</w:t>
      </w:r>
      <w:r>
        <w:rPr>
          <w:rFonts w:hint="default" w:ascii="宋体" w:hAnsi="宋体"/>
          <w:sz w:val="24"/>
          <w:highlight w:val="none"/>
          <w:lang w:val="en-US"/>
        </w:rPr>
        <w:t>5</w:t>
      </w:r>
      <w:r>
        <w:rPr>
          <w:rFonts w:hint="eastAsia" w:ascii="宋体" w:hAnsi="宋体"/>
          <w:sz w:val="24"/>
          <w:highlight w:val="none"/>
        </w:rPr>
        <w:t>月</w:t>
      </w:r>
      <w:r>
        <w:rPr>
          <w:rFonts w:hint="default" w:ascii="宋体" w:hAnsi="宋体"/>
          <w:sz w:val="24"/>
          <w:highlight w:val="none"/>
          <w:lang w:val="en-US"/>
        </w:rPr>
        <w:t>7</w:t>
      </w:r>
      <w:r>
        <w:rPr>
          <w:rFonts w:hint="eastAsia" w:ascii="宋体" w:hAnsi="宋体"/>
          <w:sz w:val="24"/>
          <w:highlight w:val="none"/>
        </w:rPr>
        <w:t>日〔2026〕</w:t>
      </w:r>
      <w:r>
        <w:rPr>
          <w:rFonts w:hint="eastAsia" w:ascii="宋体" w:hAnsi="宋体"/>
          <w:sz w:val="24"/>
          <w:highlight w:val="none"/>
          <w:lang w:eastAsia="zh-CN"/>
        </w:rPr>
        <w:t>68号</w:t>
      </w:r>
      <w:r>
        <w:rPr>
          <w:rFonts w:hint="eastAsia" w:ascii="宋体" w:hAnsi="宋体"/>
          <w:sz w:val="24"/>
          <w:highlight w:val="none"/>
        </w:rPr>
        <w:t>公告发布，自发布之日起实施）</w:t>
      </w:r>
    </w:p>
    <w:p>
      <w:pPr>
        <w:tabs>
          <w:tab w:val="left" w:pos="1620"/>
        </w:tabs>
        <w:autoSpaceDE w:val="0"/>
        <w:autoSpaceDN w:val="0"/>
        <w:jc w:val="center"/>
        <w:rPr>
          <w:rFonts w:ascii="黑体" w:hAnsi="黑体" w:eastAsia="黑体"/>
          <w:color w:val="000000"/>
          <w:sz w:val="30"/>
          <w:szCs w:val="30"/>
          <w:highlight w:val="none"/>
        </w:rPr>
      </w:pPr>
      <w:r>
        <w:rPr>
          <w:rFonts w:hint="eastAsia" w:ascii="黑体" w:hAnsi="黑体" w:eastAsia="黑体" w:cs="宋体"/>
          <w:color w:val="000000"/>
          <w:kern w:val="0"/>
          <w:sz w:val="30"/>
          <w:szCs w:val="30"/>
          <w:highlight w:val="none"/>
        </w:rPr>
        <w:t>第一章 总 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cs="宋体"/>
          <w:color w:val="000000"/>
          <w:kern w:val="0"/>
          <w:sz w:val="28"/>
          <w:szCs w:val="28"/>
          <w:highlight w:val="none"/>
        </w:rPr>
        <w:t>为了规范郑州商品交易所（以下简称交易所）菜籽粕（以下简称菜粕）期货相关业务，根据《郑州商品交易所交易规则》及菜粕期货合约，制定本细则。</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cs="宋体"/>
          <w:color w:val="000000"/>
          <w:kern w:val="0"/>
          <w:sz w:val="28"/>
          <w:szCs w:val="28"/>
          <w:highlight w:val="none"/>
        </w:rPr>
        <w:t>交易所、会员、境外特殊参与者、境外中介机构、客户、交割仓库（以下简称仓库）、交割厂库（以下简称厂库）、指定质检机构及期货市场其他参与者应当遵守本细则。</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第二章 交易业务</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cs="宋体"/>
          <w:color w:val="000000"/>
          <w:kern w:val="0"/>
          <w:sz w:val="28"/>
          <w:szCs w:val="28"/>
          <w:highlight w:val="none"/>
        </w:rPr>
        <w:t>菜粕期货合约交易单位为10吨/手。</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cs="宋体"/>
          <w:color w:val="000000"/>
          <w:kern w:val="0"/>
          <w:sz w:val="28"/>
          <w:szCs w:val="28"/>
          <w:highlight w:val="none"/>
        </w:rPr>
        <w:t>菜粕期货合约报价单位为元（人民币）/吨。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cs="宋体"/>
          <w:color w:val="000000"/>
          <w:kern w:val="0"/>
          <w:sz w:val="28"/>
          <w:szCs w:val="28"/>
          <w:highlight w:val="none"/>
        </w:rPr>
        <w:t>菜粕期货合约最小变动价位为1元/吨。</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cs="宋体"/>
          <w:color w:val="000000"/>
          <w:kern w:val="0"/>
          <w:sz w:val="28"/>
          <w:szCs w:val="28"/>
          <w:highlight w:val="none"/>
        </w:rPr>
        <w:t>菜粕</w:t>
      </w:r>
      <w:r>
        <w:rPr>
          <w:rFonts w:hint="eastAsia" w:ascii="宋体" w:hAnsi="宋体" w:cs="宋体"/>
          <w:kern w:val="0"/>
          <w:sz w:val="28"/>
          <w:szCs w:val="28"/>
          <w:highlight w:val="none"/>
        </w:rPr>
        <w:t>期货合约交割月份为1、3、5、7、8、9、11月。</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cs="宋体"/>
          <w:kern w:val="0"/>
          <w:sz w:val="28"/>
          <w:szCs w:val="28"/>
          <w:highlight w:val="none"/>
        </w:rPr>
        <w:t>菜粕期货</w:t>
      </w:r>
      <w:r>
        <w:rPr>
          <w:rFonts w:hint="eastAsia"/>
          <w:sz w:val="28"/>
          <w:szCs w:val="28"/>
          <w:highlight w:val="none"/>
        </w:rPr>
        <w:t>合约</w:t>
      </w:r>
      <w:r>
        <w:rPr>
          <w:rFonts w:hint="eastAsia" w:ascii="宋体" w:hAnsi="宋体" w:cs="宋体"/>
          <w:color w:val="000000"/>
          <w:kern w:val="0"/>
          <w:sz w:val="28"/>
          <w:szCs w:val="28"/>
          <w:highlight w:val="none"/>
        </w:rPr>
        <w:t>交易指令</w:t>
      </w:r>
      <w:r>
        <w:rPr>
          <w:rFonts w:hint="eastAsia"/>
          <w:sz w:val="28"/>
          <w:szCs w:val="28"/>
          <w:highlight w:val="none"/>
        </w:rPr>
        <w:t>每次最小下单量为</w:t>
      </w:r>
      <w:r>
        <w:rPr>
          <w:rFonts w:ascii="宋体" w:hAnsi="宋体"/>
          <w:sz w:val="28"/>
          <w:szCs w:val="28"/>
          <w:highlight w:val="none"/>
        </w:rPr>
        <w:t>1</w:t>
      </w:r>
      <w:r>
        <w:rPr>
          <w:rFonts w:hint="eastAsia"/>
          <w:sz w:val="28"/>
          <w:szCs w:val="28"/>
          <w:highlight w:val="none"/>
        </w:rPr>
        <w:t>手，限价指令每次最大下单量为</w:t>
      </w:r>
      <w:r>
        <w:rPr>
          <w:rFonts w:ascii="宋体" w:hAnsi="宋体" w:cs="宋体"/>
          <w:kern w:val="0"/>
          <w:sz w:val="28"/>
          <w:szCs w:val="28"/>
          <w:highlight w:val="none"/>
        </w:rPr>
        <w:t>1000</w:t>
      </w:r>
      <w:r>
        <w:rPr>
          <w:rFonts w:hint="eastAsia"/>
          <w:sz w:val="28"/>
          <w:szCs w:val="28"/>
          <w:highlight w:val="none"/>
        </w:rPr>
        <w:t>手，市价指令每次最大下单量为</w:t>
      </w:r>
      <w:r>
        <w:rPr>
          <w:sz w:val="28"/>
          <w:szCs w:val="28"/>
          <w:highlight w:val="none"/>
        </w:rPr>
        <w:t>200</w:t>
      </w:r>
      <w:r>
        <w:rPr>
          <w:rFonts w:hint="eastAsia"/>
          <w:sz w:val="28"/>
          <w:szCs w:val="28"/>
          <w:highlight w:val="none"/>
        </w:rPr>
        <w:t>手。</w:t>
      </w:r>
    </w:p>
    <w:p>
      <w:pPr>
        <w:tabs>
          <w:tab w:val="left" w:pos="1620"/>
        </w:tabs>
        <w:autoSpaceDE w:val="0"/>
        <w:autoSpaceDN w:val="0"/>
        <w:ind w:firstLine="560" w:firstLineChars="200"/>
        <w:rPr>
          <w:rFonts w:ascii="宋体" w:hAnsi="宋体" w:cs="宋体"/>
          <w:kern w:val="0"/>
          <w:sz w:val="28"/>
          <w:szCs w:val="28"/>
          <w:highlight w:val="none"/>
        </w:rPr>
      </w:pPr>
      <w:r>
        <w:rPr>
          <w:rFonts w:hint="eastAsia" w:ascii="宋体" w:hAnsi="宋体"/>
          <w:sz w:val="28"/>
          <w:szCs w:val="28"/>
          <w:highlight w:val="none"/>
        </w:rPr>
        <w:t>交易所可以根据市场情况，对菜粕期货合约交易指令每次最小下单量、每次最大下单量进行调整，具体标准由交易所另行公布。</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cs="宋体"/>
          <w:color w:val="000000"/>
          <w:kern w:val="0"/>
          <w:sz w:val="28"/>
          <w:szCs w:val="28"/>
          <w:highlight w:val="none"/>
        </w:rPr>
        <w:t>菜粕期货合约交易时间分为夜盘交易时间和日盘交易时间。夜盘交易时间为下午</w:t>
      </w:r>
      <w:r>
        <w:rPr>
          <w:rFonts w:hint="eastAsia" w:ascii="宋体" w:hAnsi="宋体" w:cs="宋体"/>
          <w:color w:val="000000"/>
          <w:kern w:val="0"/>
          <w:sz w:val="28"/>
          <w:szCs w:val="28"/>
          <w:highlight w:val="none"/>
          <w:lang w:val="en-US" w:eastAsia="zh-CN"/>
        </w:rPr>
        <w:t>21</w:t>
      </w:r>
      <w:r>
        <w:rPr>
          <w:rFonts w:hint="eastAsia" w:ascii="宋体" w:hAnsi="宋体" w:cs="宋体"/>
          <w:color w:val="000000"/>
          <w:kern w:val="0"/>
          <w:sz w:val="28"/>
          <w:szCs w:val="28"/>
          <w:highlight w:val="none"/>
        </w:rPr>
        <w:t>:00</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lang w:val="en-US" w:eastAsia="zh-CN"/>
        </w:rPr>
        <w:t>23</w:t>
      </w:r>
      <w:r>
        <w:rPr>
          <w:rFonts w:hint="eastAsia" w:ascii="宋体" w:hAnsi="宋体" w:cs="宋体"/>
          <w:color w:val="000000"/>
          <w:kern w:val="0"/>
          <w:sz w:val="28"/>
          <w:szCs w:val="28"/>
          <w:highlight w:val="none"/>
        </w:rPr>
        <w:t>：00。日盘交易时间为上午9:00</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rPr>
        <w:t>11:30，下午</w:t>
      </w:r>
      <w:r>
        <w:rPr>
          <w:rFonts w:hint="eastAsia" w:ascii="宋体" w:hAnsi="宋体" w:cs="宋体"/>
          <w:color w:val="000000"/>
          <w:kern w:val="0"/>
          <w:sz w:val="28"/>
          <w:szCs w:val="28"/>
          <w:highlight w:val="none"/>
          <w:lang w:val="en-US" w:eastAsia="zh-CN"/>
        </w:rPr>
        <w:t>13</w:t>
      </w:r>
      <w:r>
        <w:rPr>
          <w:rFonts w:hint="eastAsia" w:ascii="宋体" w:hAnsi="宋体" w:cs="宋体"/>
          <w:color w:val="000000"/>
          <w:kern w:val="0"/>
          <w:sz w:val="28"/>
          <w:szCs w:val="28"/>
          <w:highlight w:val="none"/>
        </w:rPr>
        <w:t>:30</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lang w:val="en-US" w:eastAsia="zh-CN"/>
        </w:rPr>
        <w:t>15</w:t>
      </w:r>
      <w:r>
        <w:rPr>
          <w:rFonts w:hint="eastAsia" w:ascii="宋体" w:hAnsi="宋体" w:cs="宋体"/>
          <w:color w:val="000000"/>
          <w:kern w:val="0"/>
          <w:sz w:val="28"/>
          <w:szCs w:val="28"/>
          <w:highlight w:val="none"/>
        </w:rPr>
        <w:t>:00；其中，上午10:15</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rPr>
        <w:t>10:30为休息时间。</w:t>
      </w:r>
    </w:p>
    <w:p>
      <w:pPr>
        <w:tabs>
          <w:tab w:val="left" w:pos="1620"/>
        </w:tabs>
        <w:autoSpaceDE w:val="0"/>
        <w:autoSpaceDN w:val="0"/>
        <w:ind w:firstLine="560" w:firstLineChars="200"/>
        <w:rPr>
          <w:rFonts w:ascii="宋体" w:hAnsi="宋体" w:cs="宋体"/>
          <w:kern w:val="0"/>
          <w:sz w:val="28"/>
          <w:szCs w:val="28"/>
          <w:highlight w:val="none"/>
        </w:rPr>
      </w:pPr>
      <w:r>
        <w:rPr>
          <w:rFonts w:hint="eastAsia" w:ascii="宋体" w:hAnsi="宋体"/>
          <w:sz w:val="28"/>
          <w:szCs w:val="28"/>
          <w:highlight w:val="none"/>
        </w:rPr>
        <w:t>交易所暂停、取消菜粕期货夜盘交易或者对夜盘交易时间进行调整的，以交易所公告为准。</w:t>
      </w:r>
    </w:p>
    <w:p>
      <w:pPr>
        <w:tabs>
          <w:tab w:val="left" w:pos="1620"/>
        </w:tabs>
        <w:autoSpaceDE w:val="0"/>
        <w:autoSpaceDN w:val="0"/>
        <w:ind w:firstLine="560" w:firstLineChars="200"/>
        <w:rPr>
          <w:rFonts w:ascii="宋体" w:hAnsi="宋体"/>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cs="宋体"/>
          <w:kern w:val="0"/>
          <w:sz w:val="28"/>
          <w:szCs w:val="28"/>
          <w:highlight w:val="none"/>
        </w:rPr>
        <w:t>菜粕</w:t>
      </w:r>
      <w:r>
        <w:rPr>
          <w:rFonts w:hint="eastAsia" w:ascii="宋体" w:hAnsi="宋体"/>
          <w:sz w:val="28"/>
          <w:szCs w:val="28"/>
          <w:highlight w:val="none"/>
        </w:rPr>
        <w:t>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cs="宋体"/>
          <w:color w:val="000000"/>
          <w:kern w:val="0"/>
          <w:sz w:val="28"/>
          <w:szCs w:val="28"/>
          <w:highlight w:val="none"/>
        </w:rPr>
        <w:t>菜粕期货合约交易代码为RM。</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第三章 交割业务</w:t>
      </w:r>
    </w:p>
    <w:p>
      <w:pPr>
        <w:tabs>
          <w:tab w:val="left" w:pos="1620"/>
        </w:tabs>
        <w:autoSpaceDE w:val="0"/>
        <w:autoSpaceDN w:val="0"/>
        <w:jc w:val="center"/>
        <w:rPr>
          <w:b/>
          <w:sz w:val="28"/>
          <w:szCs w:val="28"/>
          <w:highlight w:val="none"/>
        </w:rPr>
      </w:pPr>
      <w:r>
        <w:rPr>
          <w:rFonts w:hint="eastAsia"/>
          <w:b/>
          <w:sz w:val="28"/>
          <w:szCs w:val="28"/>
          <w:highlight w:val="none"/>
        </w:rPr>
        <w:t>第一节 一般规定</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cs="宋体"/>
          <w:color w:val="000000"/>
          <w:kern w:val="0"/>
          <w:sz w:val="28"/>
          <w:szCs w:val="28"/>
          <w:highlight w:val="none"/>
        </w:rPr>
        <w:t>菜粕期货适用期货转现货、仓库标准仓单交割和厂库标准仓单交割。进口菜粕采取厂库交割方式。</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菜粕期货滚动交割的配对方式为响应配对。</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cs="宋体"/>
          <w:color w:val="000000"/>
          <w:kern w:val="0"/>
          <w:sz w:val="28"/>
          <w:szCs w:val="28"/>
          <w:highlight w:val="none"/>
        </w:rPr>
        <w:t>菜粕期货的交割单位为10吨</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cs="宋体"/>
          <w:color w:val="000000"/>
          <w:kern w:val="0"/>
          <w:sz w:val="28"/>
          <w:szCs w:val="28"/>
          <w:highlight w:val="none"/>
        </w:rPr>
        <w:t>菜粕期货合约的最后交割日为合约交割月份的第13个交易日。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cs="宋体"/>
          <w:color w:val="000000"/>
          <w:kern w:val="0"/>
          <w:sz w:val="28"/>
          <w:szCs w:val="28"/>
          <w:highlight w:val="none"/>
        </w:rPr>
        <w:t>菜粕期货标准仓单可以分为仓库标准仓单和厂库标准仓单。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菜粕期货标准仓单为通用标准仓单。</w:t>
      </w:r>
    </w:p>
    <w:p>
      <w:pPr>
        <w:tabs>
          <w:tab w:val="left" w:pos="1620"/>
        </w:tabs>
        <w:autoSpaceDE w:val="0"/>
        <w:autoSpaceDN w:val="0"/>
        <w:ind w:firstLine="560" w:firstLineChars="200"/>
        <w:rPr>
          <w:rFonts w:ascii="宋体" w:hAnsi="宋体"/>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sz w:val="28"/>
          <w:szCs w:val="28"/>
          <w:highlight w:val="none"/>
        </w:rPr>
        <w:t>每年</w:t>
      </w:r>
      <w:r>
        <w:rPr>
          <w:rFonts w:ascii="宋体" w:hAnsi="宋体"/>
          <w:sz w:val="28"/>
          <w:szCs w:val="28"/>
          <w:highlight w:val="none"/>
        </w:rPr>
        <w:t>3</w:t>
      </w:r>
      <w:r>
        <w:rPr>
          <w:rFonts w:hint="eastAsia" w:ascii="宋体" w:hAnsi="宋体"/>
          <w:sz w:val="28"/>
          <w:szCs w:val="28"/>
          <w:highlight w:val="none"/>
        </w:rPr>
        <w:t>月、</w:t>
      </w:r>
      <w:r>
        <w:rPr>
          <w:rFonts w:ascii="宋体" w:hAnsi="宋体"/>
          <w:sz w:val="28"/>
          <w:szCs w:val="28"/>
          <w:highlight w:val="none"/>
        </w:rPr>
        <w:t>7</w:t>
      </w:r>
      <w:r>
        <w:rPr>
          <w:rFonts w:hint="eastAsia" w:ascii="宋体" w:hAnsi="宋体"/>
          <w:sz w:val="28"/>
          <w:szCs w:val="28"/>
          <w:highlight w:val="none"/>
        </w:rPr>
        <w:t>月、</w:t>
      </w:r>
      <w:r>
        <w:rPr>
          <w:rFonts w:ascii="宋体" w:hAnsi="宋体"/>
          <w:sz w:val="28"/>
          <w:szCs w:val="28"/>
          <w:highlight w:val="none"/>
        </w:rPr>
        <w:t>11</w:t>
      </w:r>
      <w:r>
        <w:rPr>
          <w:rFonts w:hint="eastAsia" w:ascii="宋体" w:hAnsi="宋体"/>
          <w:sz w:val="28"/>
          <w:szCs w:val="28"/>
          <w:highlight w:val="none"/>
        </w:rPr>
        <w:t>月第</w:t>
      </w:r>
      <w:r>
        <w:rPr>
          <w:rFonts w:ascii="宋体" w:hAnsi="宋体"/>
          <w:sz w:val="28"/>
          <w:szCs w:val="28"/>
          <w:highlight w:val="none"/>
        </w:rPr>
        <w:t>15</w:t>
      </w:r>
      <w:r>
        <w:rPr>
          <w:rFonts w:hint="eastAsia" w:ascii="宋体" w:hAnsi="宋体"/>
          <w:sz w:val="28"/>
          <w:szCs w:val="28"/>
          <w:highlight w:val="none"/>
        </w:rPr>
        <w:t>个交易日之前（含该日）注册的菜粕期货标准仓单，应当在当年</w:t>
      </w:r>
      <w:r>
        <w:rPr>
          <w:rFonts w:ascii="宋体" w:hAnsi="宋体"/>
          <w:sz w:val="28"/>
          <w:szCs w:val="28"/>
          <w:highlight w:val="none"/>
        </w:rPr>
        <w:t>3</w:t>
      </w:r>
      <w:r>
        <w:rPr>
          <w:rFonts w:hint="eastAsia" w:ascii="宋体" w:hAnsi="宋体"/>
          <w:sz w:val="28"/>
          <w:szCs w:val="28"/>
          <w:highlight w:val="none"/>
        </w:rPr>
        <w:t>月、</w:t>
      </w:r>
      <w:r>
        <w:rPr>
          <w:rFonts w:ascii="宋体" w:hAnsi="宋体"/>
          <w:sz w:val="28"/>
          <w:szCs w:val="28"/>
          <w:highlight w:val="none"/>
        </w:rPr>
        <w:t>7</w:t>
      </w:r>
      <w:r>
        <w:rPr>
          <w:rFonts w:hint="eastAsia" w:ascii="宋体" w:hAnsi="宋体"/>
          <w:sz w:val="28"/>
          <w:szCs w:val="28"/>
          <w:highlight w:val="none"/>
        </w:rPr>
        <w:t>月、</w:t>
      </w:r>
      <w:r>
        <w:rPr>
          <w:rFonts w:ascii="宋体" w:hAnsi="宋体"/>
          <w:sz w:val="28"/>
          <w:szCs w:val="28"/>
          <w:highlight w:val="none"/>
        </w:rPr>
        <w:t>11</w:t>
      </w:r>
      <w:r>
        <w:rPr>
          <w:rFonts w:hint="eastAsia" w:ascii="宋体" w:hAnsi="宋体"/>
          <w:sz w:val="28"/>
          <w:szCs w:val="28"/>
          <w:highlight w:val="none"/>
        </w:rPr>
        <w:t>月第</w:t>
      </w:r>
      <w:r>
        <w:rPr>
          <w:rFonts w:ascii="宋体" w:hAnsi="宋体"/>
          <w:sz w:val="28"/>
          <w:szCs w:val="28"/>
          <w:highlight w:val="none"/>
        </w:rPr>
        <w:t>15</w:t>
      </w:r>
      <w:r>
        <w:rPr>
          <w:rFonts w:hint="eastAsia" w:ascii="宋体" w:hAnsi="宋体"/>
          <w:sz w:val="28"/>
          <w:szCs w:val="28"/>
          <w:highlight w:val="none"/>
        </w:rPr>
        <w:t>个交易日之前（含该日）全部注销。</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sz w:val="28"/>
          <w:szCs w:val="28"/>
          <w:highlight w:val="none"/>
        </w:rPr>
        <w:t>菜粕期货交割开具增值税普通发票。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ascii="宋体" w:hAnsi="宋体" w:cs="宋体"/>
          <w:kern w:val="0"/>
          <w:sz w:val="28"/>
          <w:szCs w:val="28"/>
          <w:highlight w:val="none"/>
        </w:rPr>
        <w:t>菜粕期货仓库</w:t>
      </w:r>
      <w:r>
        <w:rPr>
          <w:rFonts w:hint="eastAsia" w:ascii="宋体" w:hAnsi="宋体" w:cs="宋体"/>
          <w:kern w:val="0"/>
          <w:sz w:val="28"/>
          <w:szCs w:val="28"/>
          <w:highlight w:val="none"/>
        </w:rPr>
        <w:t>、</w:t>
      </w:r>
      <w:r>
        <w:rPr>
          <w:rFonts w:ascii="宋体" w:hAnsi="宋体" w:cs="宋体"/>
          <w:kern w:val="0"/>
          <w:sz w:val="28"/>
          <w:szCs w:val="28"/>
          <w:highlight w:val="none"/>
        </w:rPr>
        <w:t>厂库及</w:t>
      </w:r>
      <w:r>
        <w:rPr>
          <w:rFonts w:hint="eastAsia" w:ascii="宋体" w:hAnsi="宋体" w:cs="宋体"/>
          <w:kern w:val="0"/>
          <w:sz w:val="28"/>
          <w:szCs w:val="28"/>
          <w:highlight w:val="none"/>
        </w:rPr>
        <w:t>相关</w:t>
      </w:r>
      <w:r>
        <w:rPr>
          <w:rFonts w:ascii="宋体" w:hAnsi="宋体" w:cs="宋体"/>
          <w:kern w:val="0"/>
          <w:sz w:val="28"/>
          <w:szCs w:val="28"/>
          <w:highlight w:val="none"/>
        </w:rPr>
        <w:t>升贴水由交易所确定并公布</w:t>
      </w:r>
      <w:r>
        <w:rPr>
          <w:rFonts w:hint="eastAsia" w:ascii="宋体" w:hAnsi="宋体" w:cs="宋体"/>
          <w:kern w:val="0"/>
          <w:sz w:val="28"/>
          <w:szCs w:val="28"/>
          <w:highlight w:val="none"/>
        </w:rPr>
        <w:t>，交易所可以视情况对</w:t>
      </w:r>
      <w:r>
        <w:rPr>
          <w:rFonts w:ascii="宋体" w:hAnsi="宋体" w:cs="宋体"/>
          <w:kern w:val="0"/>
          <w:sz w:val="28"/>
          <w:szCs w:val="28"/>
          <w:highlight w:val="none"/>
        </w:rPr>
        <w:t>菜粕</w:t>
      </w:r>
      <w:r>
        <w:rPr>
          <w:rFonts w:hint="eastAsia" w:ascii="宋体" w:hAnsi="宋体" w:cs="宋体"/>
          <w:kern w:val="0"/>
          <w:sz w:val="28"/>
          <w:szCs w:val="28"/>
          <w:highlight w:val="none"/>
        </w:rPr>
        <w:t>期货仓库、厂库及相关升贴水进行调整。</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cs="宋体"/>
          <w:color w:val="000000"/>
          <w:kern w:val="0"/>
          <w:sz w:val="28"/>
          <w:szCs w:val="28"/>
          <w:highlight w:val="none"/>
        </w:rPr>
        <w:t>菜粕期货替代交割品升贴水、仓库或者厂库升贴水在标准仓单注册、注销时划转，相应的增值税普通发票由标准仓单注册人向标准仓单注销人开具，仓库或者厂库负责监督。仓库或者厂库按照增值税适用税率收取押金，增值税普通发票开具后押金应予退还。</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cs="宋体"/>
          <w:color w:val="000000"/>
          <w:kern w:val="0"/>
          <w:sz w:val="28"/>
          <w:szCs w:val="28"/>
          <w:highlight w:val="none"/>
        </w:rPr>
        <w:t>菜粕期货的交割基准价为</w:t>
      </w:r>
      <w:r>
        <w:rPr>
          <w:rFonts w:hint="eastAsia"/>
          <w:sz w:val="28"/>
          <w:szCs w:val="28"/>
          <w:highlight w:val="none"/>
        </w:rPr>
        <w:t>基准交割品在基准仓库出库时汽车板交货的含税价格（含包装）。</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sz w:val="28"/>
          <w:szCs w:val="28"/>
          <w:highlight w:val="none"/>
        </w:rPr>
        <w:t>菜粕运达仓库指定货位前的一切费用和货物装到汽车板的出库费用由标准仓单注册人承担，货物出库装到汽车板后的一切费用由提货人承担。</w:t>
      </w:r>
    </w:p>
    <w:p>
      <w:pPr>
        <w:tabs>
          <w:tab w:val="left" w:pos="1620"/>
        </w:tabs>
        <w:autoSpaceDE w:val="0"/>
        <w:autoSpaceDN w:val="0"/>
        <w:ind w:firstLine="560" w:firstLineChars="200"/>
        <w:rPr>
          <w:rFonts w:ascii="宋体" w:hAnsi="宋体"/>
          <w:sz w:val="28"/>
          <w:szCs w:val="28"/>
          <w:highlight w:val="none"/>
        </w:rPr>
      </w:pPr>
      <w:r>
        <w:rPr>
          <w:rFonts w:hint="eastAsia" w:ascii="宋体" w:hAnsi="宋体"/>
          <w:sz w:val="28"/>
          <w:szCs w:val="28"/>
          <w:highlight w:val="none"/>
        </w:rPr>
        <w:t>菜粕期货交割手续费、仓储费、出入库费、检验费等交割相关费用标准由交易所另行公布。</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sz w:val="28"/>
          <w:szCs w:val="28"/>
          <w:highlight w:val="none"/>
        </w:rPr>
        <w:t>菜粕包装物价格包含在相应期货合约价格中，不另行计价。</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cs="宋体"/>
          <w:kern w:val="0"/>
          <w:sz w:val="28"/>
          <w:szCs w:val="28"/>
          <w:highlight w:val="none"/>
        </w:rPr>
        <w:t>菜粕期货标准仓单生成、流通、注销等相关业务，本细则未规定的，适用《郑州商品交易所标准仓单管理办法》相关规定。</w:t>
      </w:r>
    </w:p>
    <w:p>
      <w:pPr>
        <w:tabs>
          <w:tab w:val="left" w:pos="1620"/>
        </w:tabs>
        <w:autoSpaceDE w:val="0"/>
        <w:autoSpaceDN w:val="0"/>
        <w:jc w:val="center"/>
        <w:rPr>
          <w:b/>
          <w:sz w:val="28"/>
          <w:szCs w:val="28"/>
          <w:highlight w:val="none"/>
        </w:rPr>
      </w:pPr>
      <w:r>
        <w:rPr>
          <w:rFonts w:hint="eastAsia"/>
          <w:b/>
          <w:sz w:val="28"/>
          <w:szCs w:val="28"/>
          <w:highlight w:val="none"/>
        </w:rPr>
        <w:t>第二节 交割标准</w:t>
      </w:r>
    </w:p>
    <w:p>
      <w:pPr>
        <w:autoSpaceDE w:val="0"/>
        <w:autoSpaceDN w:val="0"/>
        <w:adjustRightInd w:val="0"/>
        <w:ind w:firstLine="560" w:firstLineChars="200"/>
        <w:jc w:val="left"/>
        <w:rPr>
          <w:color w:val="000000"/>
          <w:sz w:val="28"/>
          <w:szCs w:val="28"/>
          <w:highlight w:val="none"/>
        </w:rPr>
      </w:pPr>
      <w:r>
        <w:rPr>
          <w:rFonts w:hint="eastAsia" w:ascii="黑体" w:hAnsi="黑体" w:eastAsia="黑体" w:cs="宋体"/>
          <w:color w:val="000000"/>
          <w:kern w:val="0"/>
          <w:sz w:val="28"/>
          <w:szCs w:val="28"/>
          <w:highlight w:val="none"/>
        </w:rPr>
        <w:t xml:space="preserve">第二十三条 </w:t>
      </w:r>
      <w:r>
        <w:rPr>
          <w:rFonts w:hint="eastAsia"/>
          <w:color w:val="000000"/>
          <w:sz w:val="28"/>
          <w:szCs w:val="28"/>
          <w:highlight w:val="none"/>
        </w:rPr>
        <w:t>菜粕期货交割适用国家标准及本细则规定。</w:t>
      </w:r>
    </w:p>
    <w:p>
      <w:pPr>
        <w:autoSpaceDE w:val="0"/>
        <w:autoSpaceDN w:val="0"/>
        <w:adjustRightInd w:val="0"/>
        <w:ind w:firstLine="560" w:firstLineChars="200"/>
        <w:jc w:val="left"/>
        <w:rPr>
          <w:color w:val="000000"/>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color w:val="000000"/>
          <w:sz w:val="28"/>
          <w:szCs w:val="28"/>
          <w:highlight w:val="none"/>
        </w:rPr>
        <w:t>基准交割品：符合《中华人民共和国国家标准饲料用菜籽粕》</w:t>
      </w:r>
      <w:r>
        <w:rPr>
          <w:rFonts w:hint="eastAsia" w:ascii="宋体" w:hAnsi="宋体"/>
          <w:color w:val="000000"/>
          <w:sz w:val="28"/>
          <w:szCs w:val="28"/>
          <w:highlight w:val="none"/>
        </w:rPr>
        <w:t>（</w:t>
      </w:r>
      <w:r>
        <w:rPr>
          <w:rFonts w:ascii="宋体" w:hAnsi="宋体"/>
          <w:color w:val="000000"/>
          <w:sz w:val="28"/>
          <w:szCs w:val="28"/>
          <w:highlight w:val="none"/>
        </w:rPr>
        <w:t>GB/T</w:t>
      </w:r>
      <w:r>
        <w:rPr>
          <w:rFonts w:hint="eastAsia" w:ascii="宋体" w:hAnsi="宋体"/>
          <w:color w:val="000000"/>
          <w:sz w:val="28"/>
          <w:szCs w:val="28"/>
          <w:highlight w:val="none"/>
          <w:lang w:val="en-US" w:eastAsia="zh-CN"/>
        </w:rPr>
        <w:t xml:space="preserve"> </w:t>
      </w:r>
      <w:r>
        <w:rPr>
          <w:rFonts w:ascii="宋体" w:hAnsi="宋体"/>
          <w:color w:val="000000"/>
          <w:sz w:val="28"/>
          <w:szCs w:val="28"/>
          <w:highlight w:val="none"/>
        </w:rPr>
        <w:t>23736-2009</w:t>
      </w:r>
      <w:r>
        <w:rPr>
          <w:rFonts w:hint="eastAsia" w:ascii="宋体" w:hAnsi="宋体"/>
          <w:color w:val="000000"/>
          <w:sz w:val="28"/>
          <w:szCs w:val="28"/>
          <w:highlight w:val="none"/>
        </w:rPr>
        <w:t>，</w:t>
      </w:r>
      <w:r>
        <w:rPr>
          <w:rFonts w:hint="eastAsia"/>
          <w:color w:val="000000"/>
          <w:sz w:val="28"/>
          <w:szCs w:val="28"/>
          <w:highlight w:val="none"/>
        </w:rPr>
        <w:t>以下简称《菜粕国标》）四级质量标准、氢氧化钾蛋白质溶解度不低于</w:t>
      </w:r>
      <w:r>
        <w:rPr>
          <w:rFonts w:ascii="宋体" w:hAnsi="宋体"/>
          <w:color w:val="000000"/>
          <w:sz w:val="28"/>
          <w:szCs w:val="28"/>
          <w:highlight w:val="none"/>
        </w:rPr>
        <w:t>35.0%</w:t>
      </w:r>
      <w:r>
        <w:rPr>
          <w:rFonts w:hint="eastAsia"/>
          <w:color w:val="000000"/>
          <w:sz w:val="28"/>
          <w:szCs w:val="28"/>
          <w:highlight w:val="none"/>
        </w:rPr>
        <w:t>的菜粕，粗脂肪和赖氨酸指标不作要求。</w:t>
      </w:r>
    </w:p>
    <w:p>
      <w:pPr>
        <w:autoSpaceDE w:val="0"/>
        <w:autoSpaceDN w:val="0"/>
        <w:adjustRightInd w:val="0"/>
        <w:ind w:firstLine="560" w:firstLineChars="200"/>
        <w:jc w:val="left"/>
        <w:rPr>
          <w:color w:val="000000"/>
          <w:sz w:val="28"/>
          <w:szCs w:val="28"/>
          <w:highlight w:val="none"/>
        </w:rPr>
      </w:pPr>
      <w:r>
        <w:rPr>
          <w:rFonts w:hint="eastAsia" w:ascii="黑体" w:hAnsi="黑体" w:eastAsia="黑体" w:cs="宋体"/>
          <w:color w:val="000000"/>
          <w:kern w:val="0"/>
          <w:sz w:val="28"/>
          <w:szCs w:val="28"/>
          <w:highlight w:val="none"/>
        </w:rPr>
        <w:t xml:space="preserve">第二十五条 </w:t>
      </w:r>
      <w:r>
        <w:rPr>
          <w:rFonts w:hint="eastAsia"/>
          <w:color w:val="000000"/>
          <w:sz w:val="28"/>
          <w:szCs w:val="28"/>
          <w:highlight w:val="none"/>
        </w:rPr>
        <w:t>替代交割品及升贴水：</w:t>
      </w:r>
    </w:p>
    <w:p>
      <w:pPr>
        <w:autoSpaceDE w:val="0"/>
        <w:autoSpaceDN w:val="0"/>
        <w:adjustRightInd w:val="0"/>
        <w:ind w:firstLine="560" w:firstLineChars="200"/>
        <w:jc w:val="left"/>
        <w:rPr>
          <w:rFonts w:ascii="宋体" w:hAnsi="宋体"/>
          <w:color w:val="000000"/>
          <w:sz w:val="28"/>
          <w:szCs w:val="28"/>
          <w:highlight w:val="none"/>
        </w:rPr>
      </w:pPr>
      <w:r>
        <w:rPr>
          <w:rFonts w:hint="eastAsia"/>
          <w:color w:val="000000"/>
          <w:sz w:val="28"/>
          <w:szCs w:val="28"/>
          <w:highlight w:val="none"/>
        </w:rPr>
        <w:t>（一）</w:t>
      </w:r>
      <w:r>
        <w:rPr>
          <w:rFonts w:hint="eastAsia" w:ascii="宋体" w:hAnsi="宋体"/>
          <w:color w:val="000000"/>
          <w:sz w:val="28"/>
          <w:szCs w:val="28"/>
          <w:highlight w:val="none"/>
        </w:rPr>
        <w:t>氢氧化钾蛋白质溶解度不低于</w:t>
      </w:r>
      <w:r>
        <w:rPr>
          <w:rFonts w:ascii="宋体" w:hAnsi="宋体"/>
          <w:color w:val="000000"/>
          <w:sz w:val="28"/>
          <w:szCs w:val="28"/>
          <w:highlight w:val="none"/>
        </w:rPr>
        <w:t>35.0%</w:t>
      </w:r>
      <w:r>
        <w:rPr>
          <w:rFonts w:hint="eastAsia" w:ascii="宋体" w:hAnsi="宋体"/>
          <w:color w:val="000000"/>
          <w:sz w:val="28"/>
          <w:szCs w:val="28"/>
          <w:highlight w:val="none"/>
        </w:rPr>
        <w:t>，</w:t>
      </w:r>
      <w:r>
        <w:rPr>
          <w:rFonts w:ascii="宋体" w:hAnsi="宋体"/>
          <w:color w:val="000000"/>
          <w:sz w:val="28"/>
          <w:szCs w:val="28"/>
          <w:highlight w:val="none"/>
        </w:rPr>
        <w:t>34.5%</w:t>
      </w:r>
      <w:r>
        <w:rPr>
          <w:rFonts w:hint="eastAsia" w:ascii="宋体" w:hAnsi="宋体"/>
          <w:color w:val="000000"/>
          <w:sz w:val="28"/>
          <w:szCs w:val="28"/>
          <w:highlight w:val="none"/>
        </w:rPr>
        <w:t>≤粗蛋白质＜</w:t>
      </w:r>
      <w:r>
        <w:rPr>
          <w:rFonts w:ascii="宋体" w:hAnsi="宋体"/>
          <w:color w:val="000000"/>
          <w:sz w:val="28"/>
          <w:szCs w:val="28"/>
          <w:highlight w:val="none"/>
        </w:rPr>
        <w:t>35.0%</w:t>
      </w:r>
      <w:r>
        <w:rPr>
          <w:rFonts w:hint="eastAsia" w:ascii="宋体" w:hAnsi="宋体"/>
          <w:color w:val="000000"/>
          <w:sz w:val="28"/>
          <w:szCs w:val="28"/>
          <w:highlight w:val="none"/>
        </w:rPr>
        <w:t>，贴水</w:t>
      </w:r>
      <w:r>
        <w:rPr>
          <w:rFonts w:ascii="宋体" w:hAnsi="宋体"/>
          <w:color w:val="000000"/>
          <w:sz w:val="28"/>
          <w:szCs w:val="28"/>
          <w:highlight w:val="none"/>
        </w:rPr>
        <w:t>35</w:t>
      </w:r>
      <w:r>
        <w:rPr>
          <w:rFonts w:hint="eastAsia" w:ascii="宋体" w:hAnsi="宋体"/>
          <w:color w:val="000000"/>
          <w:sz w:val="28"/>
          <w:szCs w:val="28"/>
          <w:highlight w:val="none"/>
        </w:rPr>
        <w:t>元</w:t>
      </w:r>
      <w:r>
        <w:rPr>
          <w:rFonts w:ascii="宋体" w:hAnsi="宋体"/>
          <w:color w:val="000000"/>
          <w:sz w:val="28"/>
          <w:szCs w:val="28"/>
          <w:highlight w:val="none"/>
        </w:rPr>
        <w:t>/</w:t>
      </w:r>
      <w:r>
        <w:rPr>
          <w:rFonts w:hint="eastAsia" w:ascii="宋体" w:hAnsi="宋体"/>
          <w:color w:val="000000"/>
          <w:sz w:val="28"/>
          <w:szCs w:val="28"/>
          <w:highlight w:val="none"/>
        </w:rPr>
        <w:t>吨；</w:t>
      </w:r>
      <w:r>
        <w:rPr>
          <w:rFonts w:ascii="宋体" w:hAnsi="宋体"/>
          <w:color w:val="000000"/>
          <w:sz w:val="28"/>
          <w:szCs w:val="28"/>
          <w:highlight w:val="none"/>
        </w:rPr>
        <w:t>34.0%</w:t>
      </w:r>
      <w:r>
        <w:rPr>
          <w:rFonts w:hint="eastAsia" w:ascii="宋体" w:hAnsi="宋体"/>
          <w:color w:val="000000"/>
          <w:sz w:val="28"/>
          <w:szCs w:val="28"/>
          <w:highlight w:val="none"/>
        </w:rPr>
        <w:t>≤粗蛋白质＜</w:t>
      </w:r>
      <w:r>
        <w:rPr>
          <w:rFonts w:ascii="宋体" w:hAnsi="宋体"/>
          <w:color w:val="000000"/>
          <w:sz w:val="28"/>
          <w:szCs w:val="28"/>
          <w:highlight w:val="none"/>
        </w:rPr>
        <w:t>34.5%</w:t>
      </w:r>
      <w:r>
        <w:rPr>
          <w:rFonts w:hint="eastAsia" w:ascii="宋体" w:hAnsi="宋体"/>
          <w:color w:val="000000"/>
          <w:sz w:val="28"/>
          <w:szCs w:val="28"/>
          <w:highlight w:val="none"/>
        </w:rPr>
        <w:t>，贴水</w:t>
      </w:r>
      <w:r>
        <w:rPr>
          <w:rFonts w:ascii="宋体" w:hAnsi="宋体"/>
          <w:color w:val="000000"/>
          <w:sz w:val="28"/>
          <w:szCs w:val="28"/>
          <w:highlight w:val="none"/>
        </w:rPr>
        <w:t>70</w:t>
      </w:r>
      <w:r>
        <w:rPr>
          <w:rFonts w:hint="eastAsia" w:ascii="宋体" w:hAnsi="宋体"/>
          <w:color w:val="000000"/>
          <w:sz w:val="28"/>
          <w:szCs w:val="28"/>
          <w:highlight w:val="none"/>
        </w:rPr>
        <w:t>元</w:t>
      </w:r>
      <w:r>
        <w:rPr>
          <w:rFonts w:ascii="宋体" w:hAnsi="宋体"/>
          <w:color w:val="000000"/>
          <w:sz w:val="28"/>
          <w:szCs w:val="28"/>
          <w:highlight w:val="none"/>
        </w:rPr>
        <w:t>/</w:t>
      </w:r>
      <w:r>
        <w:rPr>
          <w:rFonts w:hint="eastAsia" w:ascii="宋体" w:hAnsi="宋体"/>
          <w:color w:val="000000"/>
          <w:sz w:val="28"/>
          <w:szCs w:val="28"/>
          <w:highlight w:val="none"/>
        </w:rPr>
        <w:t>吨，其他指标符合《菜粕国标》四级质量指标，其中粗脂肪和赖氨酸指标不作要求。</w:t>
      </w:r>
    </w:p>
    <w:p>
      <w:pPr>
        <w:autoSpaceDE w:val="0"/>
        <w:autoSpaceDN w:val="0"/>
        <w:adjustRightInd w:val="0"/>
        <w:ind w:firstLine="560" w:firstLineChars="200"/>
        <w:jc w:val="left"/>
        <w:rPr>
          <w:color w:val="000000"/>
          <w:sz w:val="28"/>
          <w:szCs w:val="28"/>
          <w:highlight w:val="none"/>
        </w:rPr>
      </w:pPr>
      <w:r>
        <w:rPr>
          <w:rFonts w:hint="eastAsia"/>
          <w:color w:val="000000"/>
          <w:sz w:val="28"/>
          <w:szCs w:val="28"/>
          <w:highlight w:val="none"/>
        </w:rPr>
        <w:t>（二）符合基准交割品质量规定要求的进口菜粕可以替代交割，贴水</w:t>
      </w:r>
      <w:r>
        <w:rPr>
          <w:rFonts w:ascii="宋体" w:hAnsi="宋体"/>
          <w:color w:val="000000"/>
          <w:sz w:val="28"/>
          <w:szCs w:val="28"/>
          <w:highlight w:val="none"/>
        </w:rPr>
        <w:t>50</w:t>
      </w:r>
      <w:r>
        <w:rPr>
          <w:rFonts w:hint="eastAsia" w:ascii="宋体" w:hAnsi="宋体"/>
          <w:color w:val="000000"/>
          <w:sz w:val="28"/>
          <w:szCs w:val="28"/>
          <w:highlight w:val="none"/>
        </w:rPr>
        <w:t>元</w:t>
      </w:r>
      <w:r>
        <w:rPr>
          <w:rFonts w:ascii="宋体" w:hAnsi="宋体"/>
          <w:color w:val="000000"/>
          <w:sz w:val="28"/>
          <w:szCs w:val="28"/>
          <w:highlight w:val="none"/>
        </w:rPr>
        <w:t>/</w:t>
      </w:r>
      <w:r>
        <w:rPr>
          <w:rFonts w:hint="eastAsia" w:ascii="宋体" w:hAnsi="宋体"/>
          <w:color w:val="000000"/>
          <w:sz w:val="28"/>
          <w:szCs w:val="28"/>
          <w:highlight w:val="none"/>
        </w:rPr>
        <w:t>吨</w:t>
      </w:r>
      <w:r>
        <w:rPr>
          <w:rFonts w:hint="eastAsia"/>
          <w:color w:val="000000"/>
          <w:sz w:val="28"/>
          <w:szCs w:val="28"/>
          <w:highlight w:val="none"/>
        </w:rPr>
        <w:t>；符合本条第（一）项替代交割品质量规定要求的进口菜粕可以替代交割，再行贴水</w:t>
      </w:r>
      <w:r>
        <w:rPr>
          <w:rFonts w:ascii="宋体" w:hAnsi="宋体"/>
          <w:color w:val="000000"/>
          <w:sz w:val="28"/>
          <w:szCs w:val="28"/>
          <w:highlight w:val="none"/>
        </w:rPr>
        <w:t>50</w:t>
      </w:r>
      <w:r>
        <w:rPr>
          <w:rFonts w:hint="eastAsia" w:ascii="宋体" w:hAnsi="宋体"/>
          <w:color w:val="000000"/>
          <w:sz w:val="28"/>
          <w:szCs w:val="28"/>
          <w:highlight w:val="none"/>
        </w:rPr>
        <w:t>元</w:t>
      </w:r>
      <w:r>
        <w:rPr>
          <w:rFonts w:ascii="宋体" w:hAnsi="宋体"/>
          <w:color w:val="000000"/>
          <w:sz w:val="28"/>
          <w:szCs w:val="28"/>
          <w:highlight w:val="none"/>
        </w:rPr>
        <w:t>/</w:t>
      </w:r>
      <w:r>
        <w:rPr>
          <w:rFonts w:hint="eastAsia" w:ascii="宋体" w:hAnsi="宋体"/>
          <w:color w:val="000000"/>
          <w:sz w:val="28"/>
          <w:szCs w:val="28"/>
          <w:highlight w:val="none"/>
        </w:rPr>
        <w:t>吨</w:t>
      </w:r>
      <w:r>
        <w:rPr>
          <w:rFonts w:hint="eastAsia"/>
          <w:color w:val="000000"/>
          <w:sz w:val="28"/>
          <w:szCs w:val="28"/>
          <w:highlight w:val="none"/>
        </w:rPr>
        <w:t>；进口菜粕形状不作要求，进口菜粕原产地见交易所公告。</w:t>
      </w:r>
    </w:p>
    <w:p>
      <w:pPr>
        <w:ind w:firstLine="560" w:firstLineChars="200"/>
        <w:rPr>
          <w:rFonts w:hAnsi="宋体"/>
          <w:sz w:val="28"/>
          <w:szCs w:val="28"/>
          <w:highlight w:val="none"/>
        </w:rPr>
      </w:pPr>
      <w:r>
        <w:rPr>
          <w:rFonts w:hint="eastAsia" w:ascii="黑体" w:hAnsi="黑体" w:eastAsia="黑体" w:cs="宋体"/>
          <w:color w:val="000000"/>
          <w:kern w:val="0"/>
          <w:sz w:val="28"/>
          <w:szCs w:val="28"/>
          <w:highlight w:val="none"/>
        </w:rPr>
        <w:t xml:space="preserve">第二十六条 </w:t>
      </w:r>
      <w:r>
        <w:rPr>
          <w:rFonts w:ascii="宋体" w:hAnsi="宋体"/>
          <w:sz w:val="28"/>
          <w:szCs w:val="28"/>
          <w:highlight w:val="none"/>
        </w:rPr>
        <w:t>95</w:t>
      </w:r>
      <w:r>
        <w:rPr>
          <w:rFonts w:hint="eastAsia"/>
          <w:sz w:val="28"/>
          <w:szCs w:val="28"/>
          <w:highlight w:val="none"/>
        </w:rPr>
        <w:t>型菜粕不得参与菜粕期货交割。</w:t>
      </w:r>
    </w:p>
    <w:p>
      <w:pPr>
        <w:widowControl/>
        <w:ind w:firstLine="560" w:firstLineChars="200"/>
        <w:outlineLvl w:val="3"/>
        <w:rPr>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sz w:val="28"/>
          <w:szCs w:val="28"/>
          <w:highlight w:val="none"/>
        </w:rPr>
        <w:t>菜粕包装应当符合以下规定：包装物为新编织袋，编织袋不破、不漏；包装物无毒害物质污染，无油污，无霉变，无严重的煤灰、石灰、铁锈、泥土、水渍等污染。</w:t>
      </w:r>
    </w:p>
    <w:p>
      <w:pPr>
        <w:autoSpaceDE w:val="0"/>
        <w:autoSpaceDN w:val="0"/>
        <w:adjustRightInd w:val="0"/>
        <w:ind w:firstLine="560" w:firstLineChars="200"/>
        <w:jc w:val="left"/>
        <w:rPr>
          <w:color w:val="000000"/>
          <w:sz w:val="28"/>
          <w:szCs w:val="28"/>
          <w:highlight w:val="none"/>
        </w:rPr>
      </w:pPr>
      <w:r>
        <w:rPr>
          <w:rFonts w:hint="eastAsia"/>
          <w:color w:val="000000"/>
          <w:sz w:val="28"/>
          <w:szCs w:val="28"/>
          <w:highlight w:val="none"/>
        </w:rPr>
        <w:t>国产菜粕编织袋上应当印有生产企业名称、地址、联系电话、产品名称、净重（千克）标识、是否转基因等信息，其中，生产企业应当取得《饲料生产企业审查合格证》。菜粕编织袋上应当缝制印有产品执行标准、质量指标、生产日期、产品保质期的标签，其中，产品保质期应当自生产日期起不低于</w:t>
      </w:r>
      <w:r>
        <w:rPr>
          <w:rFonts w:ascii="宋体" w:hAnsi="宋体"/>
          <w:sz w:val="28"/>
          <w:szCs w:val="28"/>
          <w:highlight w:val="none"/>
        </w:rPr>
        <w:t>6</w:t>
      </w:r>
      <w:r>
        <w:rPr>
          <w:rFonts w:hint="eastAsia" w:ascii="宋体" w:hAnsi="宋体"/>
          <w:sz w:val="28"/>
          <w:szCs w:val="28"/>
          <w:highlight w:val="none"/>
        </w:rPr>
        <w:t>个月。</w:t>
      </w:r>
    </w:p>
    <w:p>
      <w:pPr>
        <w:ind w:firstLine="560" w:firstLineChars="200"/>
        <w:rPr>
          <w:sz w:val="28"/>
          <w:szCs w:val="28"/>
          <w:highlight w:val="none"/>
        </w:rPr>
      </w:pPr>
      <w:r>
        <w:rPr>
          <w:rFonts w:hint="eastAsia"/>
          <w:sz w:val="28"/>
          <w:szCs w:val="28"/>
          <w:highlight w:val="none"/>
        </w:rPr>
        <w:t>同一客户同一批次交割的菜粕，包装物规格应当统一。</w:t>
      </w:r>
    </w:p>
    <w:p>
      <w:pPr>
        <w:ind w:firstLine="560" w:firstLineChars="200"/>
        <w:rPr>
          <w:rFonts w:ascii="宋体" w:hAnsi="宋体" w:cs="宋体"/>
          <w:kern w:val="0"/>
          <w:sz w:val="28"/>
          <w:szCs w:val="28"/>
          <w:highlight w:val="none"/>
        </w:rPr>
      </w:pPr>
      <w:r>
        <w:rPr>
          <w:rFonts w:hint="eastAsia"/>
          <w:sz w:val="28"/>
          <w:szCs w:val="28"/>
          <w:highlight w:val="none"/>
        </w:rPr>
        <w:t>进口菜粕储存和出库采用散装方式。</w:t>
      </w:r>
    </w:p>
    <w:p>
      <w:pPr>
        <w:tabs>
          <w:tab w:val="left" w:pos="1620"/>
        </w:tabs>
        <w:autoSpaceDE w:val="0"/>
        <w:autoSpaceDN w:val="0"/>
        <w:jc w:val="center"/>
        <w:rPr>
          <w:b/>
          <w:sz w:val="28"/>
          <w:szCs w:val="28"/>
          <w:highlight w:val="none"/>
        </w:rPr>
      </w:pPr>
      <w:r>
        <w:rPr>
          <w:rFonts w:hint="eastAsia"/>
          <w:b/>
          <w:sz w:val="28"/>
          <w:szCs w:val="28"/>
          <w:highlight w:val="none"/>
        </w:rPr>
        <w:t>第三节 仓库标准仓单交割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hAnsi="宋体" w:cs="宋体"/>
          <w:kern w:val="0"/>
          <w:sz w:val="28"/>
          <w:szCs w:val="28"/>
          <w:highlight w:val="none"/>
        </w:rPr>
        <w:t>菜粕期货交割预报时，应当按30元/吨向仓库交纳交割预报定金。</w:t>
      </w:r>
    </w:p>
    <w:p>
      <w:pPr>
        <w:ind w:firstLine="560" w:firstLineChars="200"/>
        <w:rPr>
          <w:b/>
          <w:sz w:val="28"/>
          <w:szCs w:val="28"/>
          <w:highlight w:val="none"/>
        </w:rPr>
      </w:pPr>
      <w:r>
        <w:rPr>
          <w:rFonts w:hint="eastAsia" w:ascii="黑体" w:hAnsi="黑体" w:eastAsia="黑体" w:cs="宋体"/>
          <w:color w:val="000000"/>
          <w:kern w:val="0"/>
          <w:sz w:val="28"/>
          <w:szCs w:val="28"/>
          <w:highlight w:val="none"/>
        </w:rPr>
        <w:t xml:space="preserve">第二十九条 </w:t>
      </w:r>
      <w:r>
        <w:rPr>
          <w:rFonts w:hint="eastAsia" w:ascii="宋体" w:hAnsi="宋体" w:cs="宋体"/>
          <w:kern w:val="0"/>
          <w:sz w:val="28"/>
          <w:szCs w:val="28"/>
          <w:highlight w:val="none"/>
        </w:rPr>
        <w:t>菜粕仓库开具的《入库通知单》有效期为40个日历日。</w:t>
      </w:r>
    </w:p>
    <w:p>
      <w:pPr>
        <w:tabs>
          <w:tab w:val="left" w:pos="1620"/>
        </w:tabs>
        <w:autoSpaceDE w:val="0"/>
        <w:autoSpaceDN w:val="0"/>
        <w:ind w:firstLine="560" w:firstLineChars="200"/>
        <w:rPr>
          <w:rFonts w:ascii="宋体" w:hAnsi="宋体"/>
          <w:b/>
          <w:sz w:val="28"/>
          <w:szCs w:val="28"/>
          <w:highlight w:val="none"/>
        </w:rPr>
      </w:pPr>
      <w:r>
        <w:rPr>
          <w:rFonts w:hint="eastAsia" w:ascii="黑体" w:hAnsi="黑体" w:eastAsia="黑体" w:cs="宋体"/>
          <w:color w:val="000000"/>
          <w:kern w:val="0"/>
          <w:sz w:val="28"/>
          <w:szCs w:val="28"/>
          <w:highlight w:val="none"/>
        </w:rPr>
        <w:t xml:space="preserve">第三十条 </w:t>
      </w:r>
      <w:r>
        <w:rPr>
          <w:rFonts w:hint="eastAsia"/>
          <w:sz w:val="28"/>
          <w:szCs w:val="28"/>
          <w:highlight w:val="none"/>
        </w:rPr>
        <w:t>每年</w:t>
      </w:r>
      <w:r>
        <w:rPr>
          <w:rFonts w:ascii="宋体" w:hAnsi="宋体"/>
          <w:sz w:val="28"/>
          <w:szCs w:val="28"/>
          <w:highlight w:val="none"/>
        </w:rPr>
        <w:t>3</w:t>
      </w:r>
      <w:r>
        <w:rPr>
          <w:rFonts w:hint="eastAsia" w:ascii="宋体" w:hAnsi="宋体"/>
          <w:sz w:val="28"/>
          <w:szCs w:val="28"/>
          <w:highlight w:val="none"/>
        </w:rPr>
        <w:t>月、</w:t>
      </w:r>
      <w:r>
        <w:rPr>
          <w:rFonts w:ascii="宋体" w:hAnsi="宋体"/>
          <w:sz w:val="28"/>
          <w:szCs w:val="28"/>
          <w:highlight w:val="none"/>
        </w:rPr>
        <w:t>7</w:t>
      </w:r>
      <w:r>
        <w:rPr>
          <w:rFonts w:hint="eastAsia" w:ascii="宋体" w:hAnsi="宋体"/>
          <w:sz w:val="28"/>
          <w:szCs w:val="28"/>
          <w:highlight w:val="none"/>
        </w:rPr>
        <w:t>月、</w:t>
      </w:r>
      <w:r>
        <w:rPr>
          <w:rFonts w:ascii="宋体" w:hAnsi="宋体"/>
          <w:sz w:val="28"/>
          <w:szCs w:val="28"/>
          <w:highlight w:val="none"/>
        </w:rPr>
        <w:t>11</w:t>
      </w:r>
      <w:r>
        <w:rPr>
          <w:rFonts w:hint="eastAsia" w:ascii="宋体" w:hAnsi="宋体"/>
          <w:sz w:val="28"/>
          <w:szCs w:val="28"/>
          <w:highlight w:val="none"/>
        </w:rPr>
        <w:t>月第</w:t>
      </w:r>
      <w:r>
        <w:rPr>
          <w:rFonts w:hint="eastAsia" w:ascii="宋体" w:hAnsi="宋体" w:cs="宋体"/>
          <w:kern w:val="0"/>
          <w:sz w:val="28"/>
          <w:szCs w:val="28"/>
          <w:highlight w:val="none"/>
        </w:rPr>
        <w:t>16</w:t>
      </w:r>
      <w:r>
        <w:rPr>
          <w:rFonts w:hint="eastAsia" w:ascii="宋体" w:hAnsi="宋体"/>
          <w:sz w:val="28"/>
          <w:szCs w:val="28"/>
          <w:highlight w:val="none"/>
        </w:rPr>
        <w:t>个交易日之后（含该日）注册的菜粕标准仓单，货物生产日期应当分别为当年</w:t>
      </w:r>
      <w:r>
        <w:rPr>
          <w:rFonts w:ascii="宋体" w:hAnsi="宋体"/>
          <w:sz w:val="28"/>
          <w:szCs w:val="28"/>
          <w:highlight w:val="none"/>
        </w:rPr>
        <w:t>3</w:t>
      </w:r>
      <w:r>
        <w:rPr>
          <w:rFonts w:hint="eastAsia" w:ascii="宋体" w:hAnsi="宋体"/>
          <w:sz w:val="28"/>
          <w:szCs w:val="28"/>
          <w:highlight w:val="none"/>
        </w:rPr>
        <w:t>月</w:t>
      </w:r>
      <w:r>
        <w:rPr>
          <w:rFonts w:ascii="宋体" w:hAnsi="宋体"/>
          <w:sz w:val="28"/>
          <w:szCs w:val="28"/>
          <w:highlight w:val="none"/>
        </w:rPr>
        <w:t>1</w:t>
      </w:r>
      <w:r>
        <w:rPr>
          <w:rFonts w:hint="eastAsia" w:ascii="宋体" w:hAnsi="宋体"/>
          <w:sz w:val="28"/>
          <w:szCs w:val="28"/>
          <w:highlight w:val="none"/>
        </w:rPr>
        <w:t>日、</w:t>
      </w:r>
      <w:r>
        <w:rPr>
          <w:rFonts w:ascii="宋体" w:hAnsi="宋体"/>
          <w:sz w:val="28"/>
          <w:szCs w:val="28"/>
          <w:highlight w:val="none"/>
        </w:rPr>
        <w:t>7</w:t>
      </w:r>
      <w:r>
        <w:rPr>
          <w:rFonts w:hint="eastAsia" w:ascii="宋体" w:hAnsi="宋体"/>
          <w:sz w:val="28"/>
          <w:szCs w:val="28"/>
          <w:highlight w:val="none"/>
        </w:rPr>
        <w:t>月</w:t>
      </w:r>
      <w:r>
        <w:rPr>
          <w:rFonts w:ascii="宋体" w:hAnsi="宋体"/>
          <w:sz w:val="28"/>
          <w:szCs w:val="28"/>
          <w:highlight w:val="none"/>
        </w:rPr>
        <w:t>1</w:t>
      </w:r>
      <w:r>
        <w:rPr>
          <w:rFonts w:hint="eastAsia" w:ascii="宋体" w:hAnsi="宋体"/>
          <w:sz w:val="28"/>
          <w:szCs w:val="28"/>
          <w:highlight w:val="none"/>
        </w:rPr>
        <w:t>日、</w:t>
      </w:r>
      <w:r>
        <w:rPr>
          <w:rFonts w:ascii="宋体" w:hAnsi="宋体"/>
          <w:sz w:val="28"/>
          <w:szCs w:val="28"/>
          <w:highlight w:val="none"/>
        </w:rPr>
        <w:t>11</w:t>
      </w:r>
      <w:r>
        <w:rPr>
          <w:rFonts w:hint="eastAsia" w:ascii="宋体" w:hAnsi="宋体"/>
          <w:sz w:val="28"/>
          <w:szCs w:val="28"/>
          <w:highlight w:val="none"/>
        </w:rPr>
        <w:t>月</w:t>
      </w:r>
      <w:r>
        <w:rPr>
          <w:rFonts w:ascii="宋体" w:hAnsi="宋体"/>
          <w:sz w:val="28"/>
          <w:szCs w:val="28"/>
          <w:highlight w:val="none"/>
        </w:rPr>
        <w:t>1</w:t>
      </w:r>
      <w:r>
        <w:rPr>
          <w:rFonts w:hint="eastAsia" w:ascii="宋体" w:hAnsi="宋体"/>
          <w:sz w:val="28"/>
          <w:szCs w:val="28"/>
          <w:highlight w:val="none"/>
        </w:rPr>
        <w:t>日之后（含该日）。</w:t>
      </w:r>
    </w:p>
    <w:p>
      <w:pPr>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第三十一条 </w:t>
      </w:r>
      <w:r>
        <w:rPr>
          <w:rFonts w:hint="eastAsia" w:ascii="宋体" w:hAnsi="宋体" w:cs="宋体"/>
          <w:kern w:val="0"/>
          <w:sz w:val="28"/>
          <w:szCs w:val="28"/>
          <w:highlight w:val="none"/>
        </w:rPr>
        <w:t>菜粕</w:t>
      </w:r>
      <w:r>
        <w:rPr>
          <w:rFonts w:hint="eastAsia"/>
          <w:sz w:val="28"/>
          <w:szCs w:val="28"/>
          <w:highlight w:val="none"/>
        </w:rPr>
        <w:t>出现潮包、流包、真结块、有异味的，不得入库。</w:t>
      </w:r>
    </w:p>
    <w:p>
      <w:pPr>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第三十二条 </w:t>
      </w:r>
      <w:r>
        <w:rPr>
          <w:rFonts w:hint="eastAsia"/>
          <w:sz w:val="28"/>
          <w:szCs w:val="28"/>
          <w:highlight w:val="none"/>
        </w:rPr>
        <w:t>菜粕入库时，仓库对入库商品进行重量验收。菜粕重量验收采用仓库内整车过地磅的方式进行。</w:t>
      </w:r>
    </w:p>
    <w:p>
      <w:pPr>
        <w:widowControl/>
        <w:ind w:firstLine="565" w:firstLineChars="202"/>
        <w:rPr>
          <w:sz w:val="28"/>
          <w:szCs w:val="28"/>
          <w:highlight w:val="none"/>
        </w:rPr>
      </w:pPr>
      <w:r>
        <w:rPr>
          <w:rFonts w:hint="eastAsia" w:ascii="黑体" w:hAnsi="黑体" w:eastAsia="黑体" w:cs="宋体"/>
          <w:color w:val="000000"/>
          <w:kern w:val="0"/>
          <w:sz w:val="28"/>
          <w:szCs w:val="28"/>
          <w:highlight w:val="none"/>
        </w:rPr>
        <w:t xml:space="preserve">第三十三条 </w:t>
      </w:r>
      <w:r>
        <w:rPr>
          <w:rFonts w:hint="eastAsia"/>
          <w:sz w:val="28"/>
          <w:szCs w:val="28"/>
          <w:highlight w:val="none"/>
        </w:rPr>
        <w:t>菜粕入库质量检验由仓库负责。</w:t>
      </w:r>
      <w:r>
        <w:rPr>
          <w:rFonts w:hint="eastAsia" w:ascii="宋体" w:hAnsi="宋体" w:cs="宋体"/>
          <w:kern w:val="0"/>
          <w:sz w:val="28"/>
          <w:szCs w:val="28"/>
          <w:highlight w:val="none"/>
        </w:rPr>
        <w:t>检验结果不符合交割质量标准的不允许注册标准仓单。入库过程中发现不符合交割质量标准的部分不允许注册标准仓单。</w:t>
      </w:r>
    </w:p>
    <w:p>
      <w:pPr>
        <w:ind w:firstLine="560" w:firstLineChars="200"/>
        <w:rPr>
          <w:sz w:val="28"/>
          <w:szCs w:val="28"/>
          <w:highlight w:val="none"/>
        </w:rPr>
      </w:pPr>
      <w:r>
        <w:rPr>
          <w:rFonts w:hint="eastAsia" w:ascii="宋体" w:hAnsi="宋体" w:cs="宋体"/>
          <w:kern w:val="0"/>
          <w:sz w:val="28"/>
          <w:szCs w:val="28"/>
          <w:highlight w:val="none"/>
        </w:rPr>
        <w:t>质量检验原则上以垛为单位进行抽样，对同一厂家生产的同一批次的商品，</w:t>
      </w:r>
      <w:r>
        <w:rPr>
          <w:rFonts w:hint="eastAsia" w:ascii="宋体" w:hAnsi="宋体"/>
          <w:sz w:val="28"/>
          <w:szCs w:val="28"/>
          <w:highlight w:val="none"/>
        </w:rPr>
        <w:t>每</w:t>
      </w:r>
      <w:r>
        <w:rPr>
          <w:rFonts w:ascii="宋体" w:hAnsi="宋体"/>
          <w:sz w:val="28"/>
          <w:szCs w:val="28"/>
          <w:highlight w:val="none"/>
        </w:rPr>
        <w:t>200</w:t>
      </w:r>
      <w:r>
        <w:rPr>
          <w:rFonts w:hint="eastAsia" w:ascii="宋体" w:hAnsi="宋体"/>
          <w:sz w:val="28"/>
          <w:szCs w:val="28"/>
          <w:highlight w:val="none"/>
        </w:rPr>
        <w:t>吨抽取一个样品，不足</w:t>
      </w:r>
      <w:r>
        <w:rPr>
          <w:rFonts w:ascii="宋体" w:hAnsi="宋体"/>
          <w:sz w:val="28"/>
          <w:szCs w:val="28"/>
          <w:highlight w:val="none"/>
        </w:rPr>
        <w:t>200</w:t>
      </w:r>
      <w:r>
        <w:rPr>
          <w:rFonts w:hint="eastAsia" w:ascii="宋体" w:hAnsi="宋体"/>
          <w:sz w:val="28"/>
          <w:szCs w:val="28"/>
          <w:highlight w:val="none"/>
        </w:rPr>
        <w:t>吨的按</w:t>
      </w:r>
      <w:r>
        <w:rPr>
          <w:rFonts w:ascii="宋体" w:hAnsi="宋体"/>
          <w:sz w:val="28"/>
          <w:szCs w:val="28"/>
          <w:highlight w:val="none"/>
        </w:rPr>
        <w:t>200</w:t>
      </w:r>
      <w:r>
        <w:rPr>
          <w:rFonts w:hint="eastAsia" w:ascii="宋体" w:hAnsi="宋体"/>
          <w:sz w:val="28"/>
          <w:szCs w:val="28"/>
          <w:highlight w:val="none"/>
        </w:rPr>
        <w:t>吨计。每次抽取样品就库分为二份，每份</w:t>
      </w:r>
      <w:r>
        <w:rPr>
          <w:rFonts w:ascii="宋体" w:hAnsi="宋体"/>
          <w:sz w:val="28"/>
          <w:szCs w:val="28"/>
          <w:highlight w:val="none"/>
        </w:rPr>
        <w:t>1</w:t>
      </w:r>
      <w:r>
        <w:rPr>
          <w:rFonts w:hint="eastAsia" w:ascii="宋体" w:hAnsi="宋体"/>
          <w:sz w:val="28"/>
          <w:szCs w:val="28"/>
          <w:highlight w:val="none"/>
        </w:rPr>
        <w:t>公斤</w:t>
      </w:r>
      <w:r>
        <w:rPr>
          <w:rFonts w:hint="eastAsia"/>
          <w:sz w:val="28"/>
          <w:szCs w:val="28"/>
          <w:highlight w:val="none"/>
        </w:rPr>
        <w:t>，仓库任选一份用于检验；另一份由仓库和标准仓单注册人共同封样并签字确认后，由仓库妥善保存。</w:t>
      </w:r>
    </w:p>
    <w:p>
      <w:pPr>
        <w:ind w:firstLine="560" w:firstLineChars="200"/>
        <w:rPr>
          <w:sz w:val="28"/>
          <w:szCs w:val="28"/>
          <w:highlight w:val="none"/>
        </w:rPr>
      </w:pPr>
      <w:r>
        <w:rPr>
          <w:rFonts w:hint="eastAsia" w:ascii="宋体" w:hAnsi="宋体" w:cs="宋体"/>
          <w:kern w:val="0"/>
          <w:sz w:val="28"/>
          <w:szCs w:val="28"/>
          <w:highlight w:val="none"/>
        </w:rPr>
        <w:t>仓库应当自每批货物样品抽取结束之时起24小时内出具检验结果，并及时通知标准仓单注册人。</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标准仓单注册人对入库质量检验结果有异议的，可以向交易所提出复检申请。具体流程按照《郑州商品交易所标准仓单管理办法》“仓库商品入库复检”有关规定办理。</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第三十四条 </w:t>
      </w:r>
      <w:r>
        <w:rPr>
          <w:rFonts w:hint="eastAsia" w:ascii="宋体" w:hAnsi="宋体" w:cs="宋体"/>
          <w:kern w:val="0"/>
          <w:sz w:val="28"/>
          <w:szCs w:val="28"/>
          <w:highlight w:val="none"/>
        </w:rPr>
        <w:t>菜粕重量验收及入库采样时，标准仓单注册人应当到场监督。仓库和标准仓单注册人应当对验收结果签章确认，并共同对入库商品的真实性负责；入库商品未经仓库、标准仓单注册人签章确认的，不得用于期货交割。</w:t>
      </w:r>
    </w:p>
    <w:p>
      <w:pPr>
        <w:ind w:firstLine="560" w:firstLineChars="200"/>
        <w:rPr>
          <w:rFonts w:ascii="黑体" w:hAnsi="黑体" w:eastAsia="黑体" w:cs="宋体"/>
          <w:color w:val="000000"/>
          <w:kern w:val="0"/>
          <w:sz w:val="28"/>
          <w:szCs w:val="28"/>
          <w:highlight w:val="none"/>
        </w:rPr>
      </w:pPr>
      <w:r>
        <w:rPr>
          <w:rFonts w:hint="eastAsia" w:ascii="宋体" w:hAnsi="宋体" w:cs="宋体"/>
          <w:kern w:val="0"/>
          <w:sz w:val="28"/>
          <w:szCs w:val="28"/>
          <w:highlight w:val="none"/>
        </w:rPr>
        <w:t>菜粕入库后，仓库应当对标准仓单注册人的名称、联系人及联系方式、商品数量、生产厂家、存放库房及垛位等事项登记造册，并由标准仓单注册人签字确认。</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第三十五条 </w:t>
      </w:r>
      <w:r>
        <w:rPr>
          <w:rFonts w:hint="eastAsia" w:ascii="宋体" w:hAnsi="宋体" w:cs="宋体"/>
          <w:kern w:val="0"/>
          <w:sz w:val="28"/>
          <w:szCs w:val="28"/>
          <w:highlight w:val="none"/>
        </w:rPr>
        <w:t>菜粕仓库标准仓单注销后，提货人应当在交易所开具《提货通知单》之日起10个工作日内，凭提货人身份证、提货人所在单位证明及《提货通知单》验证密码到仓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第三十六条 </w:t>
      </w:r>
      <w:r>
        <w:rPr>
          <w:rFonts w:hint="eastAsia" w:ascii="宋体" w:hAnsi="宋体" w:cs="宋体"/>
          <w:kern w:val="0"/>
          <w:sz w:val="28"/>
          <w:szCs w:val="28"/>
          <w:highlight w:val="none"/>
        </w:rPr>
        <w:t>菜粕出库重量验收由仓库和提货人共同实施，具体检验办法参照入库重量验收规定。菜粕出库应当同时符合入库时包装物件数计算的重量。</w:t>
      </w:r>
    </w:p>
    <w:p>
      <w:pPr>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第三十七条 </w:t>
      </w:r>
      <w:r>
        <w:rPr>
          <w:rFonts w:hint="eastAsia" w:ascii="宋体" w:hAnsi="宋体" w:cs="宋体"/>
          <w:kern w:val="0"/>
          <w:sz w:val="28"/>
          <w:szCs w:val="28"/>
          <w:highlight w:val="none"/>
        </w:rPr>
        <w:t>菜粕出库水分溢短数量</w:t>
      </w:r>
      <w:r>
        <w:rPr>
          <w:rFonts w:hint="eastAsia"/>
          <w:sz w:val="28"/>
          <w:szCs w:val="28"/>
          <w:highlight w:val="none"/>
        </w:rPr>
        <w:t>由提货人承担，非水分减量由仓库承担。出库水分检验费用由仓库承担。</w:t>
      </w:r>
    </w:p>
    <w:p>
      <w:pPr>
        <w:ind w:firstLine="560" w:firstLineChars="200"/>
        <w:rPr>
          <w:sz w:val="28"/>
          <w:szCs w:val="28"/>
          <w:highlight w:val="none"/>
        </w:rPr>
      </w:pPr>
      <w:r>
        <w:rPr>
          <w:rFonts w:hint="eastAsia"/>
          <w:sz w:val="28"/>
          <w:szCs w:val="28"/>
          <w:highlight w:val="none"/>
        </w:rPr>
        <w:t>水分溢短数量＝提货数量×（入库时的实际水分指标－提货时的实际水分指标）</w:t>
      </w:r>
      <w:r>
        <w:rPr>
          <w:sz w:val="28"/>
          <w:szCs w:val="28"/>
          <w:highlight w:val="none"/>
        </w:rPr>
        <w:t>/</w:t>
      </w:r>
      <w:r>
        <w:rPr>
          <w:rFonts w:hint="eastAsia" w:hAnsi="宋体"/>
          <w:sz w:val="28"/>
          <w:szCs w:val="28"/>
          <w:highlight w:val="none"/>
        </w:rPr>
        <w:t>（</w:t>
      </w:r>
      <w:r>
        <w:rPr>
          <w:sz w:val="28"/>
          <w:szCs w:val="28"/>
          <w:highlight w:val="none"/>
        </w:rPr>
        <w:t>1</w:t>
      </w:r>
      <w:r>
        <w:rPr>
          <w:rFonts w:hint="eastAsia"/>
          <w:sz w:val="28"/>
          <w:szCs w:val="28"/>
          <w:highlight w:val="none"/>
        </w:rPr>
        <w:t>－提货时的实际水分指标）。</w:t>
      </w:r>
    </w:p>
    <w:p>
      <w:pPr>
        <w:ind w:firstLine="560" w:firstLineChars="200"/>
        <w:rPr>
          <w:rFonts w:ascii="宋体" w:hAnsi="宋体" w:cs="宋体"/>
          <w:kern w:val="0"/>
          <w:sz w:val="28"/>
          <w:szCs w:val="28"/>
          <w:highlight w:val="none"/>
        </w:rPr>
      </w:pPr>
      <w:r>
        <w:rPr>
          <w:rFonts w:hint="eastAsia"/>
          <w:sz w:val="28"/>
          <w:szCs w:val="28"/>
          <w:highlight w:val="none"/>
        </w:rPr>
        <w:t>对于非水分减量，仓库应当按照《提货通知单》开具日之前（含该日）菜粕期货最近交割月的最高交割结算价</w:t>
      </w:r>
      <w:r>
        <w:rPr>
          <w:rFonts w:hint="eastAsia" w:ascii="宋体" w:hAnsi="宋体" w:cs="宋体"/>
          <w:kern w:val="0"/>
          <w:sz w:val="28"/>
          <w:szCs w:val="28"/>
          <w:highlight w:val="none"/>
        </w:rPr>
        <w:t>核算短少商品价款，赔偿提货人。</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第三十八条 </w:t>
      </w:r>
      <w:r>
        <w:rPr>
          <w:rFonts w:hint="eastAsia" w:ascii="宋体" w:hAnsi="宋体" w:cs="宋体"/>
          <w:kern w:val="0"/>
          <w:sz w:val="28"/>
          <w:szCs w:val="28"/>
          <w:highlight w:val="none"/>
        </w:rPr>
        <w:t>菜粕出库时，提货人对菜粕质量有异议的，可以向交易所申请一次复检，并预交复检费用。</w:t>
      </w:r>
      <w:r>
        <w:rPr>
          <w:rFonts w:hint="eastAsia" w:ascii="宋体" w:hAnsi="宋体" w:cs="宋体"/>
          <w:color w:val="000000"/>
          <w:kern w:val="0"/>
          <w:sz w:val="28"/>
          <w:szCs w:val="28"/>
          <w:highlight w:val="none"/>
        </w:rPr>
        <w:t>质量异议应当在</w:t>
      </w:r>
      <w:r>
        <w:rPr>
          <w:rFonts w:hint="eastAsia" w:ascii="宋体" w:hAnsi="宋体" w:cs="宋体"/>
          <w:kern w:val="0"/>
          <w:sz w:val="28"/>
          <w:szCs w:val="28"/>
          <w:highlight w:val="none"/>
        </w:rPr>
        <w:t>《提货通知单》开具之日起10个工作日内</w:t>
      </w:r>
      <w:r>
        <w:rPr>
          <w:rFonts w:hint="eastAsia" w:ascii="宋体" w:hAnsi="宋体" w:cs="宋体"/>
          <w:color w:val="000000"/>
          <w:kern w:val="0"/>
          <w:sz w:val="28"/>
          <w:szCs w:val="28"/>
          <w:highlight w:val="none"/>
        </w:rPr>
        <w:t>提出。</w:t>
      </w:r>
      <w:r>
        <w:rPr>
          <w:rFonts w:hint="eastAsia" w:ascii="宋体" w:hAnsi="宋体" w:cs="宋体"/>
          <w:kern w:val="0"/>
          <w:sz w:val="28"/>
          <w:szCs w:val="28"/>
          <w:highlight w:val="none"/>
        </w:rPr>
        <w:t>具体流程按照《郑州商品交易所标准仓单管理办法》“仓库商品出库复检”有关规定办理。</w:t>
      </w:r>
    </w:p>
    <w:p>
      <w:pPr>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第三十九条 </w:t>
      </w:r>
      <w:r>
        <w:rPr>
          <w:rFonts w:hint="eastAsia"/>
          <w:sz w:val="28"/>
          <w:szCs w:val="28"/>
          <w:highlight w:val="none"/>
        </w:rPr>
        <w:t>菜粕出库时，粗蛋白质质量指标低于入库时</w:t>
      </w:r>
      <w:r>
        <w:rPr>
          <w:rFonts w:ascii="宋体" w:hAnsi="宋体" w:cs="宋体"/>
          <w:kern w:val="0"/>
          <w:sz w:val="28"/>
          <w:szCs w:val="28"/>
          <w:highlight w:val="none"/>
        </w:rPr>
        <w:t>0.5</w:t>
      </w:r>
      <w:r>
        <w:rPr>
          <w:rFonts w:hint="eastAsia" w:ascii="宋体" w:hAnsi="宋体" w:cs="宋体"/>
          <w:kern w:val="0"/>
          <w:sz w:val="28"/>
          <w:szCs w:val="28"/>
          <w:highlight w:val="none"/>
        </w:rPr>
        <w:t>个</w:t>
      </w:r>
      <w:r>
        <w:rPr>
          <w:rFonts w:hint="eastAsia"/>
          <w:sz w:val="28"/>
          <w:szCs w:val="28"/>
          <w:highlight w:val="none"/>
        </w:rPr>
        <w:t>百分点以内的，视为合格。</w:t>
      </w:r>
    </w:p>
    <w:p>
      <w:pPr>
        <w:tabs>
          <w:tab w:val="left" w:pos="1620"/>
        </w:tabs>
        <w:autoSpaceDE w:val="0"/>
        <w:autoSpaceDN w:val="0"/>
        <w:jc w:val="center"/>
        <w:rPr>
          <w:rFonts w:ascii="宋体" w:hAnsi="宋体" w:cs="宋体"/>
          <w:b/>
          <w:kern w:val="0"/>
          <w:sz w:val="28"/>
          <w:szCs w:val="28"/>
          <w:highlight w:val="none"/>
        </w:rPr>
      </w:pPr>
      <w:r>
        <w:rPr>
          <w:rFonts w:hint="eastAsia" w:ascii="宋体" w:hAnsi="宋体" w:cs="宋体"/>
          <w:b/>
          <w:kern w:val="0"/>
          <w:sz w:val="28"/>
          <w:szCs w:val="28"/>
          <w:highlight w:val="none"/>
        </w:rPr>
        <w:t>第四节 厂库标准仓单交割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cs="宋体"/>
          <w:kern w:val="0"/>
          <w:sz w:val="28"/>
          <w:szCs w:val="28"/>
          <w:highlight w:val="none"/>
        </w:rPr>
        <w:t>菜粕厂库允许注册标准仓单的最大数量由交易所确定，交易所可以根据情况予以调整。</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菜粕厂库申请注册标准仓单前，应当按照交易所规定提供标准仓单注册担保。</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第四十一条 </w:t>
      </w:r>
      <w:r>
        <w:rPr>
          <w:rFonts w:hint="eastAsia" w:ascii="宋体" w:hAnsi="宋体" w:cs="宋体"/>
          <w:kern w:val="0"/>
          <w:sz w:val="28"/>
          <w:szCs w:val="28"/>
          <w:highlight w:val="none"/>
        </w:rPr>
        <w:t>菜粕厂库标准仓单注销后，提货人应当在交易所开具《提货通知单》之日起10个工作日内，凭提货人身份证、提货人所在单位证明及《提货通知单》验证密码到厂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cs="宋体"/>
          <w:b/>
          <w:kern w:val="0"/>
          <w:sz w:val="28"/>
          <w:szCs w:val="28"/>
          <w:highlight w:val="none"/>
        </w:rPr>
      </w:pPr>
      <w:r>
        <w:rPr>
          <w:rFonts w:hint="eastAsia" w:ascii="黑体" w:hAnsi="黑体" w:eastAsia="黑体" w:cs="宋体"/>
          <w:color w:val="000000"/>
          <w:kern w:val="0"/>
          <w:sz w:val="28"/>
          <w:szCs w:val="28"/>
          <w:highlight w:val="none"/>
        </w:rPr>
        <w:t xml:space="preserve">第四十二条 </w:t>
      </w:r>
      <w:r>
        <w:rPr>
          <w:rFonts w:hint="eastAsia" w:ascii="宋体" w:hAnsi="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cs="宋体"/>
          <w:b/>
          <w:kern w:val="0"/>
          <w:sz w:val="28"/>
          <w:szCs w:val="28"/>
          <w:highlight w:val="none"/>
        </w:rPr>
      </w:pPr>
      <w:r>
        <w:rPr>
          <w:rFonts w:hint="eastAsia" w:ascii="宋体" w:hAnsi="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b/>
          <w:kern w:val="0"/>
          <w:sz w:val="28"/>
          <w:szCs w:val="28"/>
          <w:highlight w:val="none"/>
        </w:rPr>
      </w:pPr>
      <w:r>
        <w:rPr>
          <w:rFonts w:hint="eastAsia" w:ascii="黑体" w:hAnsi="黑体" w:eastAsia="黑体" w:cs="宋体"/>
          <w:color w:val="000000"/>
          <w:kern w:val="0"/>
          <w:sz w:val="28"/>
          <w:szCs w:val="28"/>
          <w:highlight w:val="none"/>
        </w:rPr>
        <w:t xml:space="preserve">第四十三条 </w:t>
      </w:r>
      <w:r>
        <w:rPr>
          <w:rFonts w:hint="eastAsia" w:ascii="宋体" w:hAnsi="宋体" w:cs="宋体"/>
          <w:kern w:val="0"/>
          <w:sz w:val="28"/>
          <w:szCs w:val="28"/>
          <w:highlight w:val="none"/>
        </w:rPr>
        <w:t>进口菜粕出库时，厂库应当向提货人提供境外检验机构出具的品质证书和中国海关出具的入境货物检验检疫证明的复印件，并加盖厂库公章。</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第四十四条 </w:t>
      </w:r>
      <w:r>
        <w:rPr>
          <w:rFonts w:hint="eastAsia" w:ascii="宋体" w:hAnsi="宋体" w:cs="宋体"/>
          <w:kern w:val="0"/>
          <w:sz w:val="28"/>
          <w:szCs w:val="28"/>
          <w:highlight w:val="none"/>
        </w:rPr>
        <w:t>厂库菜粕出库重量验收由提货人与厂库共同实施，以厂库检重为准，足量出库。</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菜粕出库重量发生短少的，厂库应当及时补足。不能补足的，厂库应当按照《提货通知单》开具日之前（含该日）菜粕期货最近交割月最高交割结算价核算短少商品价款，赔偿提货人。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cs="宋体"/>
          <w:kern w:val="0"/>
          <w:sz w:val="28"/>
          <w:szCs w:val="32"/>
          <w:highlight w:val="none"/>
        </w:rPr>
      </w:pPr>
      <w:r>
        <w:rPr>
          <w:rFonts w:hint="eastAsia" w:ascii="黑体" w:hAnsi="黑体" w:eastAsia="黑体" w:cs="宋体"/>
          <w:color w:val="000000"/>
          <w:kern w:val="0"/>
          <w:sz w:val="28"/>
          <w:szCs w:val="28"/>
          <w:highlight w:val="none"/>
        </w:rPr>
        <w:t xml:space="preserve">第四十五条 </w:t>
      </w:r>
      <w:r>
        <w:rPr>
          <w:rFonts w:hint="eastAsia" w:ascii="宋体" w:hAnsi="宋体" w:cs="宋体"/>
          <w:kern w:val="0"/>
          <w:sz w:val="28"/>
          <w:szCs w:val="32"/>
          <w:highlight w:val="none"/>
        </w:rPr>
        <w:t>厂库应当保证交割商品的质量符合交易所规定的交割标准，双方协商一致的除外。</w:t>
      </w:r>
    </w:p>
    <w:p>
      <w:pPr>
        <w:ind w:firstLine="560" w:firstLineChars="200"/>
        <w:rPr>
          <w:rFonts w:ascii="楷体" w:hAnsi="楷体" w:eastAsia="楷体" w:cs="宋体"/>
          <w:kern w:val="0"/>
          <w:sz w:val="24"/>
          <w:highlight w:val="none"/>
        </w:rPr>
      </w:pPr>
      <w:r>
        <w:rPr>
          <w:rFonts w:hint="eastAsia" w:ascii="宋体" w:hAnsi="宋体" w:cs="宋体"/>
          <w:kern w:val="0"/>
          <w:sz w:val="28"/>
          <w:szCs w:val="28"/>
          <w:highlight w:val="none"/>
        </w:rPr>
        <w:t>菜粕出库时，厂库应当在提货人监督下在货物装运到买方运输工具前进行抽样，经双方确认后共同封样。样品一式三份，一份由提货人保存，两份由厂库保存。厂库应当将样品保留至发货后30个日历日，作为发生质量争议时的处理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第四十六条 </w:t>
      </w:r>
      <w:r>
        <w:rPr>
          <w:rFonts w:hint="eastAsia" w:ascii="宋体" w:hAnsi="宋体" w:cs="宋体"/>
          <w:kern w:val="0"/>
          <w:sz w:val="28"/>
          <w:szCs w:val="28"/>
          <w:highlight w:val="none"/>
        </w:rPr>
        <w:t>提货人或者厂库</w:t>
      </w:r>
      <w:r>
        <w:rPr>
          <w:rFonts w:hint="eastAsia" w:ascii="宋体" w:hAnsi="宋体" w:cs="宋体"/>
          <w:color w:val="000000"/>
          <w:kern w:val="0"/>
          <w:sz w:val="28"/>
          <w:szCs w:val="28"/>
          <w:highlight w:val="none"/>
        </w:rPr>
        <w:t>对菜粕重量、质量有异议的，由</w:t>
      </w:r>
      <w:r>
        <w:rPr>
          <w:rFonts w:hint="eastAsia" w:ascii="宋体" w:hAnsi="宋体" w:cs="宋体"/>
          <w:kern w:val="0"/>
          <w:sz w:val="28"/>
          <w:szCs w:val="28"/>
          <w:highlight w:val="none"/>
        </w:rPr>
        <w:t>提货人</w:t>
      </w:r>
      <w:r>
        <w:rPr>
          <w:rFonts w:hint="eastAsia" w:ascii="宋体" w:hAnsi="宋体" w:cs="宋体"/>
          <w:color w:val="000000"/>
          <w:kern w:val="0"/>
          <w:sz w:val="28"/>
          <w:szCs w:val="28"/>
          <w:highlight w:val="none"/>
        </w:rPr>
        <w:t>和厂库协商解决；协商不成的，可以向交易所申请一次复检，并由申请方预交复检及相关费用。重量异议应当在菜粕出库前提出；质量异议应当在菜粕出库之日起5个工作日内提出。</w:t>
      </w:r>
      <w:r>
        <w:rPr>
          <w:rFonts w:hint="eastAsia" w:ascii="宋体" w:hAnsi="宋体" w:cs="宋体"/>
          <w:kern w:val="0"/>
          <w:sz w:val="28"/>
          <w:szCs w:val="28"/>
          <w:highlight w:val="none"/>
        </w:rPr>
        <w:t>具体流程按照《郑州商品交易所标准仓单管理办法》“厂库商品出库复检”有关规定办理。</w:t>
      </w:r>
    </w:p>
    <w:p>
      <w:pPr>
        <w:ind w:firstLine="560" w:firstLineChars="200"/>
        <w:rPr>
          <w:rFonts w:ascii="宋体" w:hAnsi="宋体" w:cs="宋体"/>
          <w:kern w:val="0"/>
          <w:sz w:val="28"/>
          <w:szCs w:val="28"/>
          <w:highlight w:val="none"/>
          <w:shd w:val="pct10" w:color="auto" w:fill="FFFFFF"/>
        </w:rPr>
      </w:pPr>
      <w:r>
        <w:rPr>
          <w:rFonts w:hint="eastAsia" w:ascii="黑体" w:hAnsi="黑体" w:eastAsia="黑体" w:cs="宋体"/>
          <w:color w:val="000000"/>
          <w:kern w:val="0"/>
          <w:sz w:val="28"/>
          <w:szCs w:val="28"/>
          <w:highlight w:val="none"/>
        </w:rPr>
        <w:t xml:space="preserve">第四十七条 </w:t>
      </w:r>
      <w:r>
        <w:rPr>
          <w:rFonts w:hint="eastAsia" w:ascii="宋体" w:hAnsi="宋体" w:cs="宋体"/>
          <w:kern w:val="0"/>
          <w:sz w:val="28"/>
          <w:szCs w:val="28"/>
          <w:highlight w:val="none"/>
        </w:rPr>
        <w:t>厂库或者提货人因故不能按照约定计划发货或者提货的，双方应当及时协商并妥善调整发货速度或者发货计划，并且过错方应当支付滞纳金。滞纳金额 = ∑</w:t>
      </w:r>
      <w:r>
        <w:rPr>
          <w:rFonts w:ascii="宋体" w:hAnsi="宋体" w:cs="宋体"/>
          <w:kern w:val="0"/>
          <w:sz w:val="28"/>
          <w:szCs w:val="28"/>
          <w:highlight w:val="none"/>
        </w:rPr>
        <w:t>[5</w:t>
      </w:r>
      <w:r>
        <w:rPr>
          <w:rFonts w:hint="eastAsia" w:ascii="宋体" w:hAnsi="宋体" w:cs="宋体"/>
          <w:kern w:val="0"/>
          <w:sz w:val="28"/>
          <w:szCs w:val="28"/>
          <w:highlight w:val="none"/>
        </w:rPr>
        <w:t>（元</w:t>
      </w:r>
      <w:r>
        <w:rPr>
          <w:rFonts w:ascii="宋体" w:hAnsi="宋体" w:cs="宋体"/>
          <w:kern w:val="0"/>
          <w:sz w:val="28"/>
          <w:szCs w:val="28"/>
          <w:highlight w:val="none"/>
        </w:rPr>
        <w:t>/吨•天）×延误天数×应发（收）而未发（收）商品数量]。</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因厂库原因在约定的最后发货日起5个日历日内仍不能完成所有商品发货的，提货人可以要求厂库终止发货并支付赔偿金。赔偿金额=菜粕期货最近交割月最高交割结算价×应发未发的商品数量×120%。</w:t>
      </w:r>
    </w:p>
    <w:p>
      <w:pPr>
        <w:ind w:firstLine="560" w:firstLineChars="200"/>
        <w:rPr>
          <w:rFonts w:ascii="宋体" w:hAnsi="宋体" w:cs="宋体"/>
          <w:color w:val="000000"/>
          <w:kern w:val="0"/>
          <w:sz w:val="28"/>
          <w:szCs w:val="28"/>
          <w:highlight w:val="none"/>
        </w:rPr>
      </w:pPr>
      <w:r>
        <w:rPr>
          <w:rFonts w:hint="eastAsia" w:ascii="宋体" w:hAnsi="宋体" w:cs="宋体"/>
          <w:kern w:val="0"/>
          <w:sz w:val="28"/>
          <w:szCs w:val="28"/>
          <w:highlight w:val="none"/>
        </w:rPr>
        <w:t>因天气原因及其他不可抗力因素导致无法按计划发货或者提货的，厂库或者提货人不需支付滞纳金或者赔偿金。</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第四十八条 </w:t>
      </w:r>
      <w:r>
        <w:rPr>
          <w:rFonts w:hint="eastAsia" w:ascii="宋体" w:hAnsi="宋体" w:cs="宋体"/>
          <w:color w:val="000000"/>
          <w:kern w:val="0"/>
          <w:sz w:val="28"/>
          <w:szCs w:val="28"/>
          <w:highlight w:val="none"/>
        </w:rPr>
        <w:t>多名提货人同时提货的，厂库可以根</w:t>
      </w:r>
      <w:r>
        <w:rPr>
          <w:rFonts w:hint="eastAsia" w:ascii="宋体" w:hAnsi="宋体" w:cs="宋体"/>
          <w:kern w:val="0"/>
          <w:sz w:val="28"/>
          <w:szCs w:val="28"/>
          <w:highlight w:val="none"/>
        </w:rPr>
        <w:t>据提货人预约时间及办理提货手续的先后顺序等因素合理安排发货。</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第四十九条 </w:t>
      </w:r>
      <w:r>
        <w:rPr>
          <w:rFonts w:hint="eastAsia" w:ascii="宋体" w:hAnsi="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第五十条 </w:t>
      </w:r>
      <w:r>
        <w:rPr>
          <w:rFonts w:hint="eastAsia" w:ascii="宋体" w:hAnsi="宋体" w:cs="宋体"/>
          <w:kern w:val="0"/>
          <w:sz w:val="28"/>
          <w:szCs w:val="28"/>
          <w:highlight w:val="none"/>
        </w:rPr>
        <w:t>厂库发货完毕后，交易所书面确认无质量、数量责任的，经厂库申请，交易所退还厂库提交的担保财产或者担保凭证。</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第四章 风险管理</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第五十一条 </w:t>
      </w:r>
      <w:r>
        <w:rPr>
          <w:rFonts w:hint="eastAsia" w:ascii="宋体" w:hAnsi="宋体" w:cs="宋体"/>
          <w:color w:val="000000"/>
          <w:kern w:val="0"/>
          <w:sz w:val="28"/>
          <w:szCs w:val="28"/>
          <w:highlight w:val="none"/>
        </w:rPr>
        <w:t>菜粕期货合约最低交易保证金标准为合约价值的5%。</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菜粕期货合约交易保证金标准见下表：</w:t>
      </w:r>
    </w:p>
    <w:tbl>
      <w:tblPr>
        <w:tblStyle w:val="9"/>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kern w:val="0"/>
                <w:sz w:val="24"/>
                <w:highlight w:val="none"/>
              </w:rPr>
              <w:t>交易时间段</w:t>
            </w:r>
          </w:p>
        </w:tc>
        <w:tc>
          <w:tcPr>
            <w:tcW w:w="2976" w:type="dxa"/>
            <w:noWrap w:val="0"/>
            <w:vAlign w:val="center"/>
          </w:tcPr>
          <w:p>
            <w:pPr>
              <w:tabs>
                <w:tab w:val="left" w:pos="1620"/>
              </w:tabs>
              <w:autoSpaceDE w:val="0"/>
              <w:autoSpaceDN w:val="0"/>
              <w:jc w:val="center"/>
              <w:rPr>
                <w:rFonts w:ascii="宋体" w:hAnsi="宋体" w:cs="宋体"/>
                <w:kern w:val="0"/>
                <w:sz w:val="24"/>
                <w:highlight w:val="none"/>
              </w:rPr>
            </w:pPr>
            <w:r>
              <w:rPr>
                <w:rFonts w:ascii="宋体" w:hAnsi="宋体" w:cs="宋体"/>
                <w:kern w:val="0"/>
                <w:sz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2976" w:type="dxa"/>
            <w:noWrap w:val="0"/>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2976" w:type="dxa"/>
            <w:noWrap w:val="0"/>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合约价值的20%</w:t>
            </w:r>
          </w:p>
        </w:tc>
      </w:tr>
    </w:tbl>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第五十二条 </w:t>
      </w:r>
      <w:r>
        <w:rPr>
          <w:rFonts w:hint="eastAsia" w:ascii="宋体" w:hAnsi="宋体" w:cs="宋体"/>
          <w:kern w:val="0"/>
          <w:sz w:val="28"/>
          <w:szCs w:val="28"/>
          <w:highlight w:val="none"/>
        </w:rPr>
        <w:t>菜粕期货合约每日涨跌停板幅度为前一交易日结算价的±4%。</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第五十三条 </w:t>
      </w:r>
      <w:r>
        <w:rPr>
          <w:rFonts w:hint="eastAsia" w:ascii="宋体" w:hAnsi="宋体" w:cs="宋体"/>
          <w:kern w:val="0"/>
          <w:sz w:val="28"/>
          <w:szCs w:val="28"/>
          <w:highlight w:val="none"/>
        </w:rPr>
        <w:t>菜粕</w:t>
      </w:r>
      <w:r>
        <w:rPr>
          <w:rFonts w:hint="eastAsia" w:ascii="宋体" w:hAnsi="宋体" w:cs="宋体"/>
          <w:color w:val="000000"/>
          <w:kern w:val="0"/>
          <w:sz w:val="28"/>
          <w:szCs w:val="28"/>
          <w:highlight w:val="none"/>
        </w:rPr>
        <w:t>期货合约限仓标准见下表：</w:t>
      </w:r>
    </w:p>
    <w:tbl>
      <w:tblPr>
        <w:tblStyle w:val="9"/>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311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kern w:val="0"/>
                <w:sz w:val="24"/>
                <w:highlight w:val="none"/>
              </w:rPr>
              <w:t>交易时间段</w:t>
            </w:r>
          </w:p>
        </w:tc>
        <w:tc>
          <w:tcPr>
            <w:tcW w:w="5103" w:type="dxa"/>
            <w:gridSpan w:val="2"/>
            <w:noWrap w:val="0"/>
            <w:vAlign w:val="center"/>
          </w:tcPr>
          <w:p>
            <w:pPr>
              <w:tabs>
                <w:tab w:val="left" w:pos="1620"/>
              </w:tabs>
              <w:autoSpaceDE w:val="0"/>
              <w:autoSpaceDN w:val="0"/>
              <w:rPr>
                <w:rFonts w:ascii="宋体" w:hAnsi="宋体" w:cs="宋体"/>
                <w:kern w:val="0"/>
                <w:sz w:val="24"/>
                <w:highlight w:val="none"/>
              </w:rPr>
            </w:pPr>
            <w:r>
              <w:rPr>
                <w:rFonts w:hint="eastAsia" w:ascii="宋体" w:hAnsi="宋体" w:cs="宋体"/>
                <w:kern w:val="0"/>
                <w:sz w:val="24"/>
                <w:highlight w:val="none"/>
              </w:rPr>
              <w:t>非期货公司会员、境外特殊非经纪参与者和客户的最大单边持仓量（手）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402" w:type="dxa"/>
            <w:vMerge w:val="restart"/>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311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期货合约单边持仓量＜20万</w:t>
            </w:r>
          </w:p>
        </w:tc>
        <w:tc>
          <w:tcPr>
            <w:tcW w:w="1984" w:type="dxa"/>
            <w:noWrap w:val="0"/>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3402" w:type="dxa"/>
            <w:vMerge w:val="continue"/>
            <w:noWrap w:val="0"/>
            <w:vAlign w:val="center"/>
          </w:tcPr>
          <w:p>
            <w:pPr>
              <w:tabs>
                <w:tab w:val="left" w:pos="1620"/>
              </w:tabs>
              <w:autoSpaceDE w:val="0"/>
              <w:autoSpaceDN w:val="0"/>
              <w:ind w:firstLine="480" w:firstLineChars="200"/>
              <w:rPr>
                <w:rFonts w:ascii="宋体" w:hAnsi="宋体" w:cs="宋体"/>
                <w:color w:val="000000"/>
                <w:kern w:val="0"/>
                <w:sz w:val="24"/>
                <w:highlight w:val="none"/>
              </w:rPr>
            </w:pPr>
          </w:p>
        </w:tc>
        <w:tc>
          <w:tcPr>
            <w:tcW w:w="311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期货合约单边持仓量≥20万</w:t>
            </w:r>
          </w:p>
        </w:tc>
        <w:tc>
          <w:tcPr>
            <w:tcW w:w="1984" w:type="dxa"/>
            <w:noWrap w:val="0"/>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期货合约单边持仓量×10%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trPr>
        <w:tc>
          <w:tcPr>
            <w:tcW w:w="3402"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5103" w:type="dxa"/>
            <w:gridSpan w:val="2"/>
            <w:noWrap w:val="0"/>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5103" w:type="dxa"/>
            <w:gridSpan w:val="2"/>
            <w:noWrap w:val="0"/>
            <w:vAlign w:val="top"/>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1000</w:t>
            </w:r>
          </w:p>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（自然人客户最大单边持仓量为0）</w:t>
            </w:r>
          </w:p>
        </w:tc>
      </w:tr>
    </w:tbl>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本条所称限仓是指交易所规定会员、境外特殊参与者或者客户按单边计算的、可以持有某一期货合约投机持仓的最大数量。</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第五十四条 </w:t>
      </w:r>
      <w:r>
        <w:rPr>
          <w:rFonts w:hint="eastAsia" w:ascii="宋体" w:hAnsi="宋体" w:cs="宋体"/>
          <w:color w:val="000000"/>
          <w:kern w:val="0"/>
          <w:sz w:val="28"/>
          <w:szCs w:val="28"/>
          <w:highlight w:val="none"/>
        </w:rPr>
        <w:t>根据《郑州商品交易所期货交易风险控制管理办法》等有关规定，交易所对菜粕期货合约交易保证金标准、涨跌停板幅度进行调整的，按照相关标准执行。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宋体" w:hAnsi="宋体" w:cs="宋体"/>
          <w:b/>
          <w:color w:val="000000"/>
          <w:kern w:val="0"/>
          <w:sz w:val="28"/>
          <w:szCs w:val="28"/>
          <w:highlight w:val="none"/>
        </w:rPr>
      </w:pPr>
      <w:r>
        <w:rPr>
          <w:rFonts w:hint="eastAsia" w:ascii="黑体" w:hAnsi="黑体" w:eastAsia="黑体" w:cs="宋体"/>
          <w:color w:val="000000"/>
          <w:kern w:val="0"/>
          <w:sz w:val="28"/>
          <w:szCs w:val="28"/>
          <w:highlight w:val="none"/>
        </w:rPr>
        <w:t xml:space="preserve">第五十五条 </w:t>
      </w:r>
      <w:r>
        <w:rPr>
          <w:rFonts w:hint="eastAsia" w:ascii="宋体" w:hAnsi="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第五十六条 </w:t>
      </w:r>
      <w:r>
        <w:rPr>
          <w:rFonts w:hint="eastAsia" w:ascii="宋体" w:hAnsi="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第五十七条 </w:t>
      </w:r>
      <w:r>
        <w:rPr>
          <w:rFonts w:hint="eastAsia" w:ascii="宋体" w:hAnsi="宋体" w:cs="宋体"/>
          <w:color w:val="000000"/>
          <w:kern w:val="0"/>
          <w:sz w:val="28"/>
          <w:szCs w:val="28"/>
          <w:highlight w:val="none"/>
        </w:rPr>
        <w:t>本细则解释权属于郑州商品交易所。</w:t>
      </w:r>
    </w:p>
    <w:p>
      <w:pPr>
        <w:ind w:firstLine="560" w:firstLineChars="200"/>
        <w:rPr>
          <w:rFonts w:hint="eastAsia"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第五十八条 </w:t>
      </w:r>
      <w:r>
        <w:rPr>
          <w:rFonts w:hint="eastAsia" w:ascii="宋体" w:hAnsi="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年</w:t>
      </w:r>
      <w:r>
        <w:rPr>
          <w:rFonts w:hint="default"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月</w:t>
      </w:r>
      <w:r>
        <w:rPr>
          <w:rFonts w:hint="default" w:ascii="宋体" w:hAnsi="宋体" w:cs="宋体"/>
          <w:color w:val="000000"/>
          <w:kern w:val="0"/>
          <w:sz w:val="28"/>
          <w:szCs w:val="28"/>
          <w:highlight w:val="none"/>
          <w:lang w:val="en-US" w:eastAsia="zh-CN"/>
        </w:rPr>
        <w:t>7</w:t>
      </w:r>
      <w:r>
        <w:rPr>
          <w:rFonts w:hint="eastAsia" w:ascii="宋体" w:hAnsi="宋体" w:eastAsia="宋体" w:cs="宋体"/>
          <w:color w:val="000000"/>
          <w:kern w:val="0"/>
          <w:sz w:val="28"/>
          <w:szCs w:val="28"/>
          <w:highlight w:val="none"/>
          <w:lang w:val="en-US" w:eastAsia="zh-CN"/>
        </w:rPr>
        <w:t>日</w:t>
      </w:r>
      <w:r>
        <w:rPr>
          <w:rFonts w:hint="eastAsia" w:ascii="宋体" w:hAnsi="宋体" w:cs="宋体"/>
          <w:color w:val="000000"/>
          <w:kern w:val="0"/>
          <w:sz w:val="28"/>
          <w:szCs w:val="28"/>
          <w:highlight w:val="none"/>
        </w:rPr>
        <w:t>起施行。</w:t>
      </w:r>
    </w:p>
    <w:p>
      <w:pPr>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br w:type="page"/>
      </w:r>
      <w:r>
        <w:rPr>
          <w:rFonts w:hint="eastAsia" w:ascii="黑体" w:hAnsi="黑体" w:eastAsia="黑体" w:cs="黑体"/>
          <w:sz w:val="32"/>
          <w:szCs w:val="32"/>
          <w:highlight w:val="none"/>
          <w:lang w:val="en-US" w:eastAsia="zh-CN"/>
        </w:rPr>
        <w:t>附件18</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郑州商品交易所菜籽油期货业务细则</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对《郑州商品交易所菜籽油期货业务细则》作如下修订：</w:t>
      </w:r>
    </w:p>
    <w:p>
      <w:pPr>
        <w:keepNext w:val="0"/>
        <w:keepLines w:val="0"/>
        <w:pageBreakBefore w:val="0"/>
        <w:widowControl w:val="0"/>
        <w:numPr>
          <w:ilvl w:val="0"/>
          <w:numId w:val="26"/>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将第一章第二条修订为：“交易所、会员、境外特殊参与者、境外中介机构、客户、交割仓库（以下简称仓库）、交割厂库（以下简称厂库）、指定质检机构及期货市场其他参与者应当遵守本细则。”</w:t>
      </w:r>
    </w:p>
    <w:p>
      <w:pPr>
        <w:keepNext w:val="0"/>
        <w:keepLines w:val="0"/>
        <w:pageBreakBefore w:val="0"/>
        <w:widowControl w:val="0"/>
        <w:numPr>
          <w:ilvl w:val="0"/>
          <w:numId w:val="26"/>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将第四章第五十一条第一款表格第二列表头修订为：“非期货公司会员、境外特殊非经纪参与者和客户的最大单边持仓量（手）”。</w:t>
      </w:r>
    </w:p>
    <w:p>
      <w:pPr>
        <w:keepNext w:val="0"/>
        <w:keepLines w:val="0"/>
        <w:pageBreakBefore w:val="0"/>
        <w:widowControl w:val="0"/>
        <w:numPr>
          <w:ilvl w:val="0"/>
          <w:numId w:val="26"/>
        </w:numPr>
        <w:kinsoku/>
        <w:wordWrap/>
        <w:overflowPunct/>
        <w:topLinePunct w:val="0"/>
        <w:autoSpaceDE/>
        <w:autoSpaceDN/>
        <w:bidi w:val="0"/>
        <w:adjustRightInd w:val="0"/>
        <w:snapToGrid/>
        <w:spacing w:line="24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将第四章第五十一条第二款修订为：“本条所称限仓是指交易所规定会员、境外特殊参与者或者客户按单边计算的、可以持有某一期货合约投机持仓的最大数量。”</w:t>
      </w:r>
    </w:p>
    <w:p>
      <w:pPr>
        <w:widowControl/>
        <w:jc w:val="center"/>
        <w:rPr>
          <w:rFonts w:hint="eastAsia" w:ascii="方正小标宋简体" w:hAnsi="方正小标宋简体" w:eastAsia="方正小标宋简体" w:cs="方正小标宋简体"/>
          <w:b w:val="0"/>
          <w:bCs/>
          <w:sz w:val="40"/>
          <w:szCs w:val="40"/>
          <w:highlight w:val="none"/>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《郑州商品交易所菜籽油期货业务细则》</w:t>
      </w:r>
    </w:p>
    <w:p>
      <w:pPr>
        <w:widowControl/>
        <w:jc w:val="center"/>
        <w:rPr>
          <w:rFonts w:hint="eastAsia" w:ascii="方正小标宋简体" w:hAnsi="方正小标宋简体" w:eastAsia="方正小标宋简体" w:cs="方正小标宋简体"/>
          <w:b w:val="0"/>
          <w:bCs/>
          <w:sz w:val="40"/>
          <w:szCs w:val="40"/>
          <w:highlight w:val="none"/>
          <w:lang w:val="en-US" w:eastAsia="zh-CN"/>
        </w:rPr>
      </w:pPr>
      <w:r>
        <w:rPr>
          <w:rFonts w:hint="eastAsia" w:ascii="方正小标宋简体" w:hAnsi="方正小标宋简体" w:eastAsia="方正小标宋简体" w:cs="方正小标宋简体"/>
          <w:b w:val="0"/>
          <w:bCs/>
          <w:sz w:val="40"/>
          <w:szCs w:val="40"/>
          <w:highlight w:val="none"/>
        </w:rPr>
        <w:t>修订对照表</w:t>
      </w:r>
    </w:p>
    <w:p>
      <w:pPr>
        <w:widowControl/>
        <w:spacing w:line="360" w:lineRule="auto"/>
        <w:jc w:val="center"/>
        <w:rPr>
          <w:rFonts w:ascii="仿宋" w:hAnsi="仿宋" w:eastAsia="仿宋"/>
          <w:sz w:val="32"/>
          <w:szCs w:val="32"/>
          <w:highlight w:val="none"/>
        </w:rPr>
      </w:pPr>
      <w:r>
        <w:rPr>
          <w:rFonts w:hint="eastAsia" w:ascii="仿宋" w:hAnsi="仿宋" w:eastAsia="仿宋" w:cs="Calibri"/>
          <w:sz w:val="32"/>
          <w:szCs w:val="32"/>
          <w:highlight w:val="none"/>
        </w:rPr>
        <w:t>（删除线部分为删除，下划线加粗部分为修改增加）</w:t>
      </w:r>
    </w:p>
    <w:tbl>
      <w:tblPr>
        <w:tblStyle w:val="8"/>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rPr>
          <w:trHeight w:val="397" w:hRule="atLeast"/>
        </w:trPr>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修订前</w:t>
            </w:r>
            <w:r>
              <w:rPr>
                <w:rFonts w:hint="eastAsia" w:ascii="仿宋" w:hAnsi="仿宋" w:eastAsia="仿宋" w:cs="仿宋"/>
                <w:b/>
                <w:bCs/>
                <w:sz w:val="24"/>
                <w:szCs w:val="24"/>
                <w:highlight w:val="none"/>
              </w:rPr>
              <w:t>条文</w:t>
            </w:r>
          </w:p>
        </w:tc>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修订</w:t>
            </w:r>
            <w:r>
              <w:rPr>
                <w:rFonts w:hint="eastAsia" w:ascii="仿宋" w:hAnsi="仿宋" w:eastAsia="仿宋" w:cs="仿宋"/>
                <w:b/>
                <w:bCs/>
                <w:sz w:val="24"/>
                <w:szCs w:val="24"/>
                <w:highlight w:val="none"/>
                <w:lang w:eastAsia="zh-CN"/>
              </w:rPr>
              <w:t>后</w:t>
            </w:r>
            <w:r>
              <w:rPr>
                <w:rFonts w:hint="eastAsia" w:ascii="仿宋" w:hAnsi="仿宋" w:eastAsia="仿宋" w:cs="仿宋"/>
                <w:b/>
                <w:bCs/>
                <w:sz w:val="24"/>
                <w:szCs w:val="24"/>
                <w:highlight w:val="none"/>
              </w:rPr>
              <w:t>条文</w:t>
            </w:r>
          </w:p>
        </w:tc>
      </w:tr>
      <w:tr>
        <w:tblPrEx>
          <w:tblCellMar>
            <w:top w:w="0" w:type="dxa"/>
            <w:left w:w="108" w:type="dxa"/>
            <w:bottom w:w="0" w:type="dxa"/>
            <w:right w:w="108" w:type="dxa"/>
          </w:tblCellMar>
        </w:tblPrEx>
        <w:trPr>
          <w:trHeight w:val="397"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27"/>
              </w:numPr>
              <w:ind w:firstLineChars="0"/>
              <w:jc w:val="center"/>
              <w:rPr>
                <w:rFonts w:hint="eastAsia" w:ascii="仿宋" w:hAnsi="仿宋" w:eastAsia="仿宋" w:cs="仿宋"/>
                <w:b/>
                <w:sz w:val="24"/>
                <w:szCs w:val="24"/>
                <w:highlight w:val="none"/>
              </w:rPr>
            </w:pPr>
            <w:r>
              <w:rPr>
                <w:rFonts w:hint="eastAsia" w:ascii="仿宋" w:hAnsi="仿宋" w:eastAsia="仿宋" w:cs="仿宋"/>
                <w:b/>
                <w:bCs w:val="0"/>
                <w:sz w:val="24"/>
                <w:szCs w:val="24"/>
                <w:highlight w:val="none"/>
              </w:rPr>
              <w:t>总则</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第二条 </w:t>
            </w:r>
            <w:r>
              <w:rPr>
                <w:rFonts w:hint="eastAsia" w:ascii="仿宋" w:hAnsi="仿宋" w:eastAsia="仿宋" w:cs="仿宋"/>
                <w:sz w:val="24"/>
                <w:szCs w:val="24"/>
                <w:highlight w:val="none"/>
              </w:rPr>
              <w:t>交易所、会员、境外经纪机构、客户、交割仓库（以下简称仓库）、交割厂库（以下简称厂库）、指定质检机构及期货市场其他参与者应当遵守本细则。</w:t>
            </w:r>
          </w:p>
        </w:tc>
        <w:tc>
          <w:tcPr>
            <w:tcW w:w="4148" w:type="dxa"/>
            <w:tcBorders>
              <w:top w:val="single" w:color="auto" w:sz="4" w:space="0"/>
              <w:left w:val="single" w:color="auto" w:sz="4" w:space="0"/>
              <w:bottom w:val="single" w:color="auto" w:sz="4" w:space="0"/>
              <w:right w:val="single" w:color="auto" w:sz="4" w:space="0"/>
            </w:tcBorders>
            <w:noWrap w:val="0"/>
            <w:vAlign w:val="top"/>
          </w:tcPr>
          <w:p>
            <w:pPr>
              <w:ind w:firstLine="48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第二条 </w:t>
            </w:r>
            <w:r>
              <w:rPr>
                <w:rFonts w:hint="eastAsia" w:ascii="仿宋" w:hAnsi="仿宋" w:eastAsia="仿宋" w:cs="仿宋"/>
                <w:sz w:val="24"/>
                <w:szCs w:val="24"/>
                <w:highlight w:val="none"/>
              </w:rPr>
              <w:t>交易所、会员、</w:t>
            </w:r>
            <w:r>
              <w:rPr>
                <w:rFonts w:hint="eastAsia" w:ascii="仿宋" w:hAnsi="仿宋" w:eastAsia="仿宋" w:cs="仿宋"/>
                <w:b/>
                <w:sz w:val="24"/>
                <w:szCs w:val="24"/>
                <w:highlight w:val="none"/>
                <w:u w:val="single"/>
              </w:rPr>
              <w:t>境外特殊参与者、</w:t>
            </w:r>
            <w:r>
              <w:rPr>
                <w:rFonts w:hint="eastAsia" w:ascii="仿宋" w:hAnsi="仿宋" w:eastAsia="仿宋" w:cs="仿宋"/>
                <w:sz w:val="24"/>
                <w:szCs w:val="24"/>
                <w:highlight w:val="none"/>
              </w:rPr>
              <w:t>境外</w:t>
            </w:r>
            <w:r>
              <w:rPr>
                <w:rFonts w:hint="eastAsia" w:ascii="仿宋" w:hAnsi="仿宋" w:eastAsia="仿宋" w:cs="仿宋"/>
                <w:dstrike/>
                <w:sz w:val="24"/>
                <w:szCs w:val="24"/>
                <w:highlight w:val="none"/>
              </w:rPr>
              <w:t>经纪</w:t>
            </w:r>
            <w:r>
              <w:rPr>
                <w:rFonts w:hint="eastAsia" w:ascii="仿宋" w:hAnsi="仿宋" w:eastAsia="仿宋" w:cs="仿宋"/>
                <w:b/>
                <w:sz w:val="24"/>
                <w:szCs w:val="24"/>
                <w:highlight w:val="none"/>
                <w:u w:val="single"/>
              </w:rPr>
              <w:t>中介</w:t>
            </w:r>
            <w:r>
              <w:rPr>
                <w:rFonts w:hint="eastAsia" w:ascii="仿宋" w:hAnsi="仿宋" w:eastAsia="仿宋" w:cs="仿宋"/>
                <w:sz w:val="24"/>
                <w:szCs w:val="24"/>
                <w:highlight w:val="none"/>
              </w:rPr>
              <w:t>机构、客户、交割仓库（以下简称仓库）、交割厂库（以下简称厂库）、指定质检机构及期货市场其他参与者应当遵守本细则。</w:t>
            </w:r>
          </w:p>
        </w:tc>
      </w:tr>
      <w:tr>
        <w:tblPrEx>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sz w:val="24"/>
                <w:szCs w:val="24"/>
                <w:highlight w:val="none"/>
              </w:rPr>
            </w:pPr>
            <w:r>
              <w:rPr>
                <w:rFonts w:hint="eastAsia" w:ascii="仿宋" w:hAnsi="仿宋" w:eastAsia="仿宋"/>
                <w:b/>
                <w:sz w:val="24"/>
                <w:highlight w:val="none"/>
                <w:lang w:eastAsia="zh-CN"/>
              </w:rPr>
              <w:t>第四章</w:t>
            </w:r>
            <w:r>
              <w:rPr>
                <w:rFonts w:hint="eastAsia" w:ascii="仿宋" w:hAnsi="仿宋" w:eastAsia="仿宋"/>
                <w:b/>
                <w:sz w:val="24"/>
                <w:highlight w:val="none"/>
                <w:lang w:val="en-US" w:eastAsia="zh-CN"/>
              </w:rPr>
              <w:t xml:space="preserve"> 风险管理</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第五十一条</w:t>
            </w:r>
            <w:r>
              <w:rPr>
                <w:rFonts w:hint="eastAsia" w:ascii="仿宋" w:hAnsi="仿宋" w:eastAsia="仿宋" w:cs="仿宋"/>
                <w:b/>
                <w:sz w:val="24"/>
                <w:szCs w:val="24"/>
                <w:highlight w:val="none"/>
                <w:lang w:val="en-US" w:eastAsia="zh-CN"/>
              </w:rPr>
              <w:t xml:space="preserve"> </w:t>
            </w:r>
            <w:r>
              <w:rPr>
                <w:rFonts w:hint="default" w:ascii="Times New Roman" w:hAnsi="Times New Roman" w:eastAsia="仿宋" w:cs="Times New Roman"/>
                <w:b/>
                <w:sz w:val="24"/>
                <w:szCs w:val="24"/>
                <w:highlight w:val="none"/>
                <w:lang w:val="en-US" w:eastAsia="zh-CN"/>
              </w:rPr>
              <w:t>第一款表格</w:t>
            </w:r>
            <w:r>
              <w:rPr>
                <w:rFonts w:hint="eastAsia" w:eastAsia="仿宋" w:cs="Times New Roman"/>
                <w:b/>
                <w:sz w:val="24"/>
                <w:szCs w:val="24"/>
                <w:highlight w:val="none"/>
                <w:lang w:val="en-US" w:eastAsia="zh-CN"/>
              </w:rPr>
              <w:t xml:space="preserve">第一行第二列 </w:t>
            </w:r>
            <w:r>
              <w:rPr>
                <w:rFonts w:hint="eastAsia" w:ascii="仿宋" w:hAnsi="仿宋" w:eastAsia="仿宋" w:cs="仿宋"/>
                <w:sz w:val="24"/>
                <w:szCs w:val="24"/>
                <w:highlight w:val="none"/>
                <w:lang w:val="en-US" w:eastAsia="zh-CN"/>
              </w:rPr>
              <w:t>非期货公司会员和客户的最大单边持仓量（手）</w:t>
            </w:r>
          </w:p>
          <w:p>
            <w:pPr>
              <w:widowControl/>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widowControl/>
              <w:ind w:firstLine="480"/>
              <w:rPr>
                <w:rFonts w:hint="eastAsia" w:ascii="仿宋" w:hAnsi="仿宋" w:eastAsia="仿宋" w:cs="仿宋"/>
                <w:b/>
                <w:sz w:val="24"/>
                <w:szCs w:val="24"/>
                <w:highlight w:val="none"/>
              </w:rPr>
            </w:pPr>
            <w:r>
              <w:rPr>
                <w:rFonts w:hint="default" w:ascii="仿宋" w:hAnsi="仿宋" w:eastAsia="仿宋" w:cs="仿宋"/>
                <w:sz w:val="24"/>
                <w:szCs w:val="24"/>
                <w:highlight w:val="none"/>
                <w:lang w:val="en-US" w:eastAsia="zh-CN"/>
              </w:rPr>
              <w:t>本条所称限仓是指交易所规定会员或者客户按单边计算的、可以持有某一期货合约投机持仓的最大数量。</w:t>
            </w:r>
          </w:p>
        </w:tc>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第五十一条</w:t>
            </w:r>
            <w:r>
              <w:rPr>
                <w:rFonts w:hint="eastAsia" w:ascii="仿宋" w:hAnsi="仿宋" w:eastAsia="仿宋" w:cs="仿宋"/>
                <w:b/>
                <w:sz w:val="24"/>
                <w:szCs w:val="24"/>
                <w:highlight w:val="none"/>
                <w:lang w:val="en-US" w:eastAsia="zh-CN"/>
              </w:rPr>
              <w:t xml:space="preserve"> </w:t>
            </w:r>
            <w:r>
              <w:rPr>
                <w:rFonts w:hint="default" w:ascii="Times New Roman" w:hAnsi="Times New Roman" w:eastAsia="仿宋" w:cs="Times New Roman"/>
                <w:b/>
                <w:sz w:val="24"/>
                <w:szCs w:val="24"/>
                <w:highlight w:val="none"/>
                <w:lang w:val="en-US" w:eastAsia="zh-CN"/>
              </w:rPr>
              <w:t>第一款表格</w:t>
            </w:r>
            <w:r>
              <w:rPr>
                <w:rFonts w:hint="eastAsia" w:eastAsia="仿宋" w:cs="Times New Roman"/>
                <w:b/>
                <w:sz w:val="24"/>
                <w:szCs w:val="24"/>
                <w:highlight w:val="none"/>
                <w:lang w:val="en-US" w:eastAsia="zh-CN"/>
              </w:rPr>
              <w:t xml:space="preserve">第一行第二列 </w:t>
            </w:r>
            <w:r>
              <w:rPr>
                <w:rFonts w:hint="eastAsia" w:ascii="仿宋" w:hAnsi="仿宋" w:eastAsia="仿宋" w:cs="仿宋"/>
                <w:sz w:val="24"/>
                <w:szCs w:val="24"/>
                <w:highlight w:val="none"/>
                <w:lang w:val="en-US" w:eastAsia="zh-CN"/>
              </w:rPr>
              <w:t>非期货公司会员</w:t>
            </w:r>
            <w:r>
              <w:rPr>
                <w:rFonts w:hint="eastAsia" w:ascii="仿宋" w:hAnsi="仿宋" w:eastAsia="仿宋" w:cs="仿宋"/>
                <w:b/>
                <w:bCs/>
                <w:sz w:val="24"/>
                <w:szCs w:val="24"/>
                <w:highlight w:val="none"/>
                <w:u w:val="single"/>
                <w:lang w:val="en-US" w:eastAsia="zh-CN"/>
              </w:rPr>
              <w:t>、境外特殊非经纪参与者</w:t>
            </w:r>
            <w:r>
              <w:rPr>
                <w:rFonts w:hint="eastAsia" w:ascii="仿宋" w:hAnsi="仿宋" w:eastAsia="仿宋" w:cs="仿宋"/>
                <w:sz w:val="24"/>
                <w:szCs w:val="24"/>
                <w:highlight w:val="none"/>
                <w:lang w:val="en-US" w:eastAsia="zh-CN"/>
              </w:rPr>
              <w:t>和客户的最大单边持仓量（手）</w:t>
            </w:r>
          </w:p>
          <w:p>
            <w:pPr>
              <w:widowControl/>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ind w:firstLine="480"/>
              <w:rPr>
                <w:rFonts w:hint="eastAsia" w:ascii="仿宋" w:hAnsi="仿宋" w:eastAsia="仿宋" w:cs="仿宋"/>
                <w:b/>
                <w:sz w:val="24"/>
                <w:szCs w:val="24"/>
                <w:highlight w:val="none"/>
              </w:rPr>
            </w:pPr>
            <w:r>
              <w:rPr>
                <w:rFonts w:hint="default" w:ascii="仿宋" w:hAnsi="仿宋" w:eastAsia="仿宋" w:cs="仿宋"/>
                <w:sz w:val="24"/>
                <w:szCs w:val="24"/>
                <w:highlight w:val="none"/>
                <w:lang w:val="en-US" w:eastAsia="zh-CN"/>
              </w:rPr>
              <w:t>本条所称限仓是指交易所规定会员</w:t>
            </w:r>
            <w:r>
              <w:rPr>
                <w:rFonts w:hint="eastAsia" w:ascii="仿宋" w:hAnsi="仿宋" w:eastAsia="仿宋" w:cs="仿宋"/>
                <w:b/>
                <w:bCs/>
                <w:sz w:val="24"/>
                <w:szCs w:val="24"/>
                <w:highlight w:val="none"/>
                <w:u w:val="single"/>
                <w:lang w:val="en-US" w:eastAsia="zh-CN"/>
              </w:rPr>
              <w:t>、境外特殊参与者</w:t>
            </w:r>
            <w:r>
              <w:rPr>
                <w:rFonts w:hint="default" w:ascii="仿宋" w:hAnsi="仿宋" w:eastAsia="仿宋" w:cs="仿宋"/>
                <w:sz w:val="24"/>
                <w:szCs w:val="24"/>
                <w:highlight w:val="none"/>
                <w:lang w:val="en-US" w:eastAsia="zh-CN"/>
              </w:rPr>
              <w:t>或者客户按单边计算的、可以持有某一期货合约投机持仓的最大数量。</w:t>
            </w:r>
          </w:p>
        </w:tc>
      </w:tr>
    </w:tbl>
    <w:p>
      <w:pPr>
        <w:jc w:val="center"/>
        <w:outlineLvl w:val="0"/>
        <w:rPr>
          <w:rFonts w:ascii="方正小标宋简体" w:hAnsi="方正小标宋简体" w:eastAsia="方正小标宋简体" w:cs="方正小标宋简体"/>
          <w:sz w:val="44"/>
          <w:highlight w:val="none"/>
        </w:rPr>
      </w:pPr>
      <w:r>
        <w:rPr>
          <w:rFonts w:hint="default" w:ascii="黑体" w:hAnsi="黑体" w:eastAsia="黑体" w:cs="黑体"/>
          <w:sz w:val="32"/>
          <w:szCs w:val="32"/>
          <w:highlight w:val="none"/>
          <w:lang w:val="en-US" w:eastAsia="zh-CN"/>
        </w:rPr>
        <w:br w:type="page"/>
      </w:r>
      <w:r>
        <w:rPr>
          <w:rFonts w:hint="eastAsia" w:ascii="方正小标宋简体" w:hAnsi="方正小标宋简体" w:eastAsia="方正小标宋简体" w:cs="方正小标宋简体"/>
          <w:sz w:val="44"/>
          <w:highlight w:val="none"/>
        </w:rPr>
        <w:t>郑州商品交易所菜籽油期货业务细则</w:t>
      </w:r>
    </w:p>
    <w:p>
      <w:pPr>
        <w:spacing w:before="240" w:after="240"/>
        <w:ind w:firstLine="240" w:firstLineChars="100"/>
        <w:rPr>
          <w:rFonts w:ascii="楷体" w:hAnsi="楷体" w:eastAsia="楷体" w:cs="Times New Roman"/>
          <w:b/>
          <w:sz w:val="24"/>
          <w:szCs w:val="24"/>
          <w:highlight w:val="none"/>
        </w:rPr>
      </w:pPr>
      <w:r>
        <w:rPr>
          <w:rFonts w:hint="eastAsia" w:ascii="宋体" w:hAnsi="宋体"/>
          <w:sz w:val="24"/>
          <w:highlight w:val="none"/>
        </w:rPr>
        <w:t>（2026年4月7日郑州商品交易所第八届理事会第三十四次会议审议通过，2026年</w:t>
      </w:r>
      <w:r>
        <w:rPr>
          <w:rFonts w:hint="default" w:ascii="宋体" w:hAnsi="宋体"/>
          <w:sz w:val="24"/>
          <w:highlight w:val="none"/>
          <w:lang w:val="en-US"/>
        </w:rPr>
        <w:t>5</w:t>
      </w:r>
      <w:r>
        <w:rPr>
          <w:rFonts w:hint="eastAsia" w:ascii="宋体" w:hAnsi="宋体"/>
          <w:sz w:val="24"/>
          <w:highlight w:val="none"/>
        </w:rPr>
        <w:t>月</w:t>
      </w:r>
      <w:r>
        <w:rPr>
          <w:rFonts w:hint="default" w:ascii="宋体" w:hAnsi="宋体"/>
          <w:sz w:val="24"/>
          <w:highlight w:val="none"/>
          <w:lang w:val="en-US"/>
        </w:rPr>
        <w:t>7</w:t>
      </w:r>
      <w:r>
        <w:rPr>
          <w:rFonts w:hint="eastAsia" w:ascii="宋体" w:hAnsi="宋体"/>
          <w:sz w:val="24"/>
          <w:highlight w:val="none"/>
        </w:rPr>
        <w:t>日〔2026〕</w:t>
      </w:r>
      <w:r>
        <w:rPr>
          <w:rFonts w:hint="eastAsia" w:ascii="宋体" w:hAnsi="宋体"/>
          <w:sz w:val="24"/>
          <w:highlight w:val="none"/>
          <w:lang w:eastAsia="zh-CN"/>
        </w:rPr>
        <w:t>68号</w:t>
      </w:r>
      <w:r>
        <w:rPr>
          <w:rFonts w:hint="eastAsia" w:ascii="宋体" w:hAnsi="宋体"/>
          <w:sz w:val="24"/>
          <w:highlight w:val="none"/>
        </w:rPr>
        <w:t>公告发布，自发布之日起实施）</w:t>
      </w:r>
    </w:p>
    <w:p>
      <w:pPr>
        <w:pStyle w:val="15"/>
        <w:numPr>
          <w:ilvl w:val="0"/>
          <w:numId w:val="28"/>
        </w:numPr>
        <w:tabs>
          <w:tab w:val="left" w:pos="1620"/>
        </w:tabs>
        <w:autoSpaceDE w:val="0"/>
        <w:autoSpaceDN w:val="0"/>
        <w:ind w:firstLineChars="0"/>
        <w:jc w:val="center"/>
        <w:rPr>
          <w:rFonts w:ascii="黑体" w:hAnsi="黑体" w:eastAsia="黑体"/>
          <w:color w:val="000000"/>
          <w:sz w:val="30"/>
          <w:szCs w:val="30"/>
          <w:highlight w:val="none"/>
        </w:rPr>
      </w:pP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cs="宋体"/>
          <w:color w:val="000000"/>
          <w:kern w:val="0"/>
          <w:sz w:val="28"/>
          <w:szCs w:val="28"/>
          <w:highlight w:val="none"/>
        </w:rPr>
        <w:t>为了规范郑州商品交易所（以下简称交易所）菜籽油（以下简称菜油）期货相关业务，根据《郑州商品交易所交易规则》及菜油期货合约，制定本细则。</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cs="宋体"/>
          <w:color w:val="000000"/>
          <w:kern w:val="0"/>
          <w:sz w:val="28"/>
          <w:szCs w:val="28"/>
          <w:highlight w:val="none"/>
        </w:rPr>
        <w:t>交易所、会员、境外特殊参与者、境外中介机构、客户、交割仓库（以下简称仓库）、交割厂库（以下简称厂库）、指定质检机构及期货市场其他参与者应当遵守本细则。</w:t>
      </w:r>
    </w:p>
    <w:p>
      <w:pPr>
        <w:pStyle w:val="15"/>
        <w:numPr>
          <w:ilvl w:val="0"/>
          <w:numId w:val="28"/>
        </w:numPr>
        <w:tabs>
          <w:tab w:val="left" w:pos="1620"/>
        </w:tabs>
        <w:autoSpaceDE w:val="0"/>
        <w:autoSpaceDN w:val="0"/>
        <w:ind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交易业务</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cs="宋体"/>
          <w:color w:val="000000"/>
          <w:kern w:val="0"/>
          <w:sz w:val="28"/>
          <w:szCs w:val="28"/>
          <w:highlight w:val="none"/>
        </w:rPr>
        <w:t>菜油期货合约交易单位为10吨/手。</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cs="宋体"/>
          <w:color w:val="000000"/>
          <w:kern w:val="0"/>
          <w:sz w:val="28"/>
          <w:szCs w:val="28"/>
          <w:highlight w:val="none"/>
        </w:rPr>
        <w:t>菜油期货合约报价单位为元（人民币）/吨。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cs="宋体"/>
          <w:color w:val="000000"/>
          <w:kern w:val="0"/>
          <w:sz w:val="28"/>
          <w:szCs w:val="28"/>
          <w:highlight w:val="none"/>
        </w:rPr>
        <w:t>菜油期货合约最小变动价位为1元/吨。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cs="宋体"/>
          <w:color w:val="000000"/>
          <w:kern w:val="0"/>
          <w:sz w:val="28"/>
          <w:szCs w:val="28"/>
          <w:highlight w:val="none"/>
        </w:rPr>
        <w:t>菜油期货合约交割月份为1、3、5、7、9、11月。</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cs="宋体"/>
          <w:color w:val="000000"/>
          <w:kern w:val="0"/>
          <w:sz w:val="28"/>
          <w:szCs w:val="28"/>
          <w:highlight w:val="none"/>
        </w:rPr>
        <w:t>菜油</w:t>
      </w:r>
      <w:r>
        <w:rPr>
          <w:rFonts w:ascii="宋体" w:hAnsi="宋体" w:cs="宋体"/>
          <w:color w:val="000000"/>
          <w:kern w:val="0"/>
          <w:sz w:val="28"/>
          <w:szCs w:val="28"/>
          <w:highlight w:val="none"/>
        </w:rPr>
        <w:t>期货</w:t>
      </w:r>
      <w:r>
        <w:rPr>
          <w:rFonts w:hint="eastAsia" w:ascii="宋体" w:hAnsi="宋体" w:cs="宋体"/>
          <w:color w:val="000000"/>
          <w:kern w:val="0"/>
          <w:sz w:val="28"/>
          <w:szCs w:val="28"/>
          <w:highlight w:val="none"/>
        </w:rPr>
        <w:t>合约交易指令</w:t>
      </w:r>
      <w:r>
        <w:rPr>
          <w:rFonts w:hint="eastAsia"/>
          <w:sz w:val="28"/>
          <w:szCs w:val="28"/>
          <w:highlight w:val="none"/>
        </w:rPr>
        <w:t>每次最小下单量为</w:t>
      </w:r>
      <w:r>
        <w:rPr>
          <w:rFonts w:ascii="宋体" w:hAnsi="宋体"/>
          <w:sz w:val="28"/>
          <w:szCs w:val="28"/>
          <w:highlight w:val="none"/>
        </w:rPr>
        <w:t>1</w:t>
      </w:r>
      <w:r>
        <w:rPr>
          <w:rFonts w:hint="eastAsia"/>
          <w:sz w:val="28"/>
          <w:szCs w:val="28"/>
          <w:highlight w:val="none"/>
        </w:rPr>
        <w:t>手，</w:t>
      </w:r>
      <w:r>
        <w:rPr>
          <w:rFonts w:hint="eastAsia" w:ascii="宋体" w:hAnsi="宋体" w:cs="宋体"/>
          <w:color w:val="000000"/>
          <w:kern w:val="0"/>
          <w:sz w:val="28"/>
          <w:szCs w:val="28"/>
          <w:highlight w:val="none"/>
        </w:rPr>
        <w:t>限价指令每次最大下单量为1000手，市价指令每次最大下单量为200手。</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sz w:val="28"/>
          <w:szCs w:val="28"/>
          <w:highlight w:val="none"/>
        </w:rPr>
        <w:t>交易所可以根据市场情况，对菜油期货合约交易指令每次最小下单量、每次最大下单量进行调整，具体标准由交易所另行公布。</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cs="宋体"/>
          <w:color w:val="000000"/>
          <w:kern w:val="0"/>
          <w:sz w:val="28"/>
          <w:szCs w:val="28"/>
          <w:highlight w:val="none"/>
        </w:rPr>
        <w:t>菜油期货合约交易时间分为夜盘交易时间和日盘交易时间。夜盘交易时间为下午</w:t>
      </w:r>
      <w:r>
        <w:rPr>
          <w:rFonts w:hint="eastAsia" w:ascii="宋体" w:hAnsi="宋体" w:cs="宋体"/>
          <w:color w:val="000000"/>
          <w:kern w:val="0"/>
          <w:sz w:val="28"/>
          <w:szCs w:val="28"/>
          <w:highlight w:val="none"/>
          <w:lang w:val="en-US" w:eastAsia="zh-CN"/>
        </w:rPr>
        <w:t>21</w:t>
      </w:r>
      <w:r>
        <w:rPr>
          <w:rFonts w:hint="eastAsia" w:ascii="宋体" w:hAnsi="宋体" w:cs="宋体"/>
          <w:color w:val="000000"/>
          <w:kern w:val="0"/>
          <w:sz w:val="28"/>
          <w:szCs w:val="28"/>
          <w:highlight w:val="none"/>
        </w:rPr>
        <w:t>:00</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lang w:val="en-US" w:eastAsia="zh-CN"/>
        </w:rPr>
        <w:t>23</w:t>
      </w:r>
      <w:r>
        <w:rPr>
          <w:rFonts w:hint="eastAsia" w:ascii="宋体" w:hAnsi="宋体" w:cs="宋体"/>
          <w:color w:val="000000"/>
          <w:kern w:val="0"/>
          <w:sz w:val="28"/>
          <w:szCs w:val="28"/>
          <w:highlight w:val="none"/>
        </w:rPr>
        <w:t>:00。日盘交易时间为上午9:00</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rPr>
        <w:t>11:30，下午</w:t>
      </w:r>
      <w:r>
        <w:rPr>
          <w:rFonts w:hint="eastAsia" w:ascii="宋体" w:hAnsi="宋体" w:cs="宋体"/>
          <w:color w:val="000000"/>
          <w:kern w:val="0"/>
          <w:sz w:val="28"/>
          <w:szCs w:val="28"/>
          <w:highlight w:val="none"/>
          <w:lang w:val="en-US" w:eastAsia="zh-CN"/>
        </w:rPr>
        <w:t>13</w:t>
      </w:r>
      <w:r>
        <w:rPr>
          <w:rFonts w:hint="eastAsia" w:ascii="宋体" w:hAnsi="宋体" w:cs="宋体"/>
          <w:color w:val="000000"/>
          <w:kern w:val="0"/>
          <w:sz w:val="28"/>
          <w:szCs w:val="28"/>
          <w:highlight w:val="none"/>
        </w:rPr>
        <w:t>:30</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lang w:val="en-US" w:eastAsia="zh-CN"/>
        </w:rPr>
        <w:t>15</w:t>
      </w:r>
      <w:r>
        <w:rPr>
          <w:rFonts w:hint="eastAsia" w:ascii="宋体" w:hAnsi="宋体" w:cs="宋体"/>
          <w:color w:val="000000"/>
          <w:kern w:val="0"/>
          <w:sz w:val="28"/>
          <w:szCs w:val="28"/>
          <w:highlight w:val="none"/>
        </w:rPr>
        <w:t>:00；其中，上午10:15</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rPr>
        <w:t>10:30为休息时间。</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sz w:val="28"/>
          <w:szCs w:val="28"/>
          <w:highlight w:val="none"/>
        </w:rPr>
        <w:t>交易所暂停、取消菜油期货夜盘交易或者对夜盘交易时间进行调整的，以交易所公告为准。</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cs="宋体"/>
          <w:color w:val="000000"/>
          <w:kern w:val="0"/>
          <w:sz w:val="28"/>
          <w:szCs w:val="28"/>
          <w:highlight w:val="none"/>
        </w:rPr>
        <w:t>菜油期货合约最后交易日为合约交割月份的第10个交易日。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cs="宋体"/>
          <w:color w:val="000000"/>
          <w:kern w:val="0"/>
          <w:sz w:val="28"/>
          <w:szCs w:val="28"/>
          <w:highlight w:val="none"/>
        </w:rPr>
        <w:t>菜油期货合约交易代码为OI</w:t>
      </w:r>
      <w:r>
        <w:rPr>
          <w:rFonts w:ascii="宋体" w:hAnsi="宋体" w:cs="宋体"/>
          <w:color w:val="000000"/>
          <w:kern w:val="0"/>
          <w:sz w:val="28"/>
          <w:szCs w:val="28"/>
          <w:highlight w:val="none"/>
        </w:rPr>
        <w:t>。</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第三章 交割业务</w:t>
      </w:r>
    </w:p>
    <w:p>
      <w:pPr>
        <w:tabs>
          <w:tab w:val="left" w:pos="1620"/>
        </w:tabs>
        <w:autoSpaceDE w:val="0"/>
        <w:autoSpaceDN w:val="0"/>
        <w:jc w:val="center"/>
        <w:rPr>
          <w:rFonts w:ascii="宋体" w:hAnsi="宋体" w:cs="宋体"/>
          <w:b/>
          <w:kern w:val="0"/>
          <w:sz w:val="28"/>
          <w:szCs w:val="28"/>
          <w:highlight w:val="none"/>
        </w:rPr>
      </w:pPr>
      <w:r>
        <w:rPr>
          <w:rFonts w:hint="eastAsia" w:ascii="宋体" w:hAnsi="宋体" w:cs="宋体"/>
          <w:b/>
          <w:kern w:val="0"/>
          <w:sz w:val="28"/>
          <w:szCs w:val="28"/>
          <w:highlight w:val="none"/>
        </w:rPr>
        <w:t>第一节</w:t>
      </w:r>
      <w:r>
        <w:rPr>
          <w:rFonts w:ascii="宋体" w:hAnsi="宋体" w:cs="宋体"/>
          <w:b/>
          <w:kern w:val="0"/>
          <w:sz w:val="28"/>
          <w:szCs w:val="28"/>
          <w:highlight w:val="none"/>
        </w:rPr>
        <w:t xml:space="preserve"> 一般规定</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cs="宋体"/>
          <w:color w:val="000000"/>
          <w:kern w:val="0"/>
          <w:sz w:val="28"/>
          <w:szCs w:val="28"/>
          <w:highlight w:val="none"/>
        </w:rPr>
        <w:t>菜油期货适用期货转现货、仓库标准仓单交割和厂库标准仓单交割</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菜油期货滚动交割的配对方式为响应配对。</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宋体" w:hAnsi="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cs="宋体"/>
          <w:color w:val="000000"/>
          <w:kern w:val="0"/>
          <w:sz w:val="28"/>
          <w:szCs w:val="28"/>
          <w:highlight w:val="none"/>
        </w:rPr>
        <w:t>菜油期货的交割单位为10吨</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cs="宋体"/>
          <w:color w:val="000000"/>
          <w:kern w:val="0"/>
          <w:sz w:val="28"/>
          <w:szCs w:val="28"/>
          <w:highlight w:val="none"/>
        </w:rPr>
        <w:t>菜油期货合约的最后交割日为合约交割月份的第13个交易日。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cs="宋体"/>
          <w:color w:val="000000"/>
          <w:kern w:val="0"/>
          <w:sz w:val="28"/>
          <w:szCs w:val="28"/>
          <w:highlight w:val="none"/>
        </w:rPr>
        <w:t>菜油期货标准仓单可以分为仓库标准仓单和厂库标准仓单。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菜油期货标准仓单为通用标准仓单。</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cs="宋体"/>
          <w:kern w:val="0"/>
          <w:sz w:val="28"/>
          <w:szCs w:val="28"/>
          <w:highlight w:val="none"/>
        </w:rPr>
        <w:t>N年6月1日起注册的菜油期货标准仓单，有效期至N+1年5月最后一个工作日（含该日）。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cs="宋体"/>
          <w:color w:val="000000"/>
          <w:kern w:val="0"/>
          <w:sz w:val="28"/>
          <w:szCs w:val="28"/>
          <w:highlight w:val="none"/>
        </w:rPr>
        <w:t>菜油期货交割开具增值税专用发票。</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ascii="宋体" w:hAnsi="宋体" w:cs="宋体"/>
          <w:kern w:val="0"/>
          <w:sz w:val="28"/>
          <w:szCs w:val="28"/>
          <w:highlight w:val="none"/>
        </w:rPr>
        <w:t>菜油期货仓库</w:t>
      </w:r>
      <w:r>
        <w:rPr>
          <w:rFonts w:hint="eastAsia" w:ascii="宋体" w:hAnsi="宋体" w:cs="宋体"/>
          <w:kern w:val="0"/>
          <w:sz w:val="28"/>
          <w:szCs w:val="28"/>
          <w:highlight w:val="none"/>
        </w:rPr>
        <w:t>、</w:t>
      </w:r>
      <w:r>
        <w:rPr>
          <w:rFonts w:ascii="宋体" w:hAnsi="宋体" w:cs="宋体"/>
          <w:kern w:val="0"/>
          <w:sz w:val="28"/>
          <w:szCs w:val="28"/>
          <w:highlight w:val="none"/>
        </w:rPr>
        <w:t>厂库及</w:t>
      </w:r>
      <w:r>
        <w:rPr>
          <w:rFonts w:hint="eastAsia" w:ascii="宋体" w:hAnsi="宋体" w:cs="宋体"/>
          <w:kern w:val="0"/>
          <w:sz w:val="28"/>
          <w:szCs w:val="28"/>
          <w:highlight w:val="none"/>
        </w:rPr>
        <w:t>相关</w:t>
      </w:r>
      <w:r>
        <w:rPr>
          <w:rFonts w:ascii="宋体" w:hAnsi="宋体" w:cs="宋体"/>
          <w:kern w:val="0"/>
          <w:sz w:val="28"/>
          <w:szCs w:val="28"/>
          <w:highlight w:val="none"/>
        </w:rPr>
        <w:t>升贴水由交易所确定并公布</w:t>
      </w:r>
      <w:r>
        <w:rPr>
          <w:rFonts w:hint="eastAsia" w:ascii="宋体" w:hAnsi="宋体" w:cs="宋体"/>
          <w:kern w:val="0"/>
          <w:sz w:val="28"/>
          <w:szCs w:val="28"/>
          <w:highlight w:val="none"/>
        </w:rPr>
        <w:t>，交易所可以视情况对</w:t>
      </w:r>
      <w:r>
        <w:rPr>
          <w:rFonts w:ascii="宋体" w:hAnsi="宋体" w:cs="宋体"/>
          <w:kern w:val="0"/>
          <w:sz w:val="28"/>
          <w:szCs w:val="28"/>
          <w:highlight w:val="none"/>
        </w:rPr>
        <w:t>菜油</w:t>
      </w:r>
      <w:r>
        <w:rPr>
          <w:rFonts w:hint="eastAsia" w:ascii="宋体" w:hAnsi="宋体" w:cs="宋体"/>
          <w:kern w:val="0"/>
          <w:sz w:val="28"/>
          <w:szCs w:val="28"/>
          <w:highlight w:val="none"/>
        </w:rPr>
        <w:t>期货仓库、厂库及相关升贴水进行调整。</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cs="宋体"/>
          <w:color w:val="000000"/>
          <w:kern w:val="0"/>
          <w:sz w:val="28"/>
          <w:szCs w:val="28"/>
          <w:highlight w:val="none"/>
        </w:rPr>
        <w:t>菜油期货替代交割品升贴水、仓库或者厂库升贴水在标准仓单注册、注销时划转，相应的增值税专用发票由标准仓单注册人向标准仓单注销人开具，仓库或者厂库负责监督。仓库或者厂库按照增值税适用税率收取押金，增值税专用发票开具后押金应予退还。</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cs="宋体"/>
          <w:color w:val="000000"/>
          <w:kern w:val="0"/>
          <w:sz w:val="28"/>
          <w:szCs w:val="28"/>
          <w:highlight w:val="none"/>
        </w:rPr>
        <w:t>菜油期货的交割基准价为</w:t>
      </w:r>
      <w:r>
        <w:rPr>
          <w:rFonts w:hint="eastAsia" w:ascii="宋体" w:hAnsi="宋体" w:cs="宋体"/>
          <w:kern w:val="0"/>
          <w:sz w:val="28"/>
          <w:szCs w:val="28"/>
          <w:highlight w:val="none"/>
        </w:rPr>
        <w:t>基准交割品在基准仓库出库时汽车、火车或者轮船板交货的含税价格。</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第二十</w:t>
      </w:r>
      <w:r>
        <w:rPr>
          <w:rFonts w:ascii="黑体" w:hAnsi="黑体" w:eastAsia="黑体" w:cs="宋体"/>
          <w:color w:val="000000"/>
          <w:kern w:val="0"/>
          <w:sz w:val="28"/>
          <w:szCs w:val="28"/>
          <w:highlight w:val="none"/>
        </w:rPr>
        <w:t>条</w:t>
      </w:r>
      <w:r>
        <w:rPr>
          <w:rFonts w:hint="eastAsia" w:ascii="宋体" w:hAnsi="宋体" w:cs="宋体"/>
          <w:kern w:val="0"/>
          <w:sz w:val="28"/>
          <w:szCs w:val="28"/>
          <w:highlight w:val="none"/>
        </w:rPr>
        <w:t>菜油运达仓库指定货位前的一切费用和货物装到汽车、火车或者轮船板的出库费用由标准仓单注册人承担，货物出库装到汽车、火车或者轮船板后的一切费用由提货人承担。</w:t>
      </w:r>
    </w:p>
    <w:p>
      <w:pPr>
        <w:tabs>
          <w:tab w:val="left" w:pos="1620"/>
        </w:tabs>
        <w:autoSpaceDE w:val="0"/>
        <w:autoSpaceDN w:val="0"/>
        <w:ind w:firstLine="560" w:firstLineChars="200"/>
        <w:rPr>
          <w:rFonts w:ascii="宋体" w:hAnsi="宋体"/>
          <w:sz w:val="28"/>
          <w:szCs w:val="28"/>
          <w:highlight w:val="none"/>
        </w:rPr>
      </w:pPr>
      <w:r>
        <w:rPr>
          <w:rFonts w:hint="eastAsia" w:ascii="宋体" w:hAnsi="宋体"/>
          <w:sz w:val="28"/>
          <w:szCs w:val="28"/>
          <w:highlight w:val="none"/>
        </w:rPr>
        <w:t>菜油期货交割手续费、仓储费、出入库费、检验费等交割相关费用标准由交易所另行公布。</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ascii="宋体" w:hAnsi="宋体" w:cs="宋体"/>
          <w:kern w:val="0"/>
          <w:sz w:val="28"/>
          <w:szCs w:val="28"/>
          <w:highlight w:val="none"/>
        </w:rPr>
        <w:t>菜油期货标准仓单生成、流通、注销等相关业务，本细则未规定的，适用《郑州商品交易所标准仓单管理办法》相关规定。</w:t>
      </w:r>
    </w:p>
    <w:p>
      <w:pPr>
        <w:tabs>
          <w:tab w:val="left" w:pos="1620"/>
        </w:tabs>
        <w:autoSpaceDE w:val="0"/>
        <w:autoSpaceDN w:val="0"/>
        <w:jc w:val="center"/>
        <w:rPr>
          <w:rFonts w:ascii="宋体" w:hAnsi="宋体" w:cs="宋体"/>
          <w:b/>
          <w:kern w:val="0"/>
          <w:sz w:val="28"/>
          <w:szCs w:val="28"/>
          <w:highlight w:val="none"/>
        </w:rPr>
      </w:pPr>
      <w:r>
        <w:rPr>
          <w:rFonts w:hint="eastAsia" w:ascii="宋体" w:hAnsi="宋体" w:cs="宋体"/>
          <w:b/>
          <w:kern w:val="0"/>
          <w:sz w:val="28"/>
          <w:szCs w:val="28"/>
          <w:highlight w:val="none"/>
        </w:rPr>
        <w:t>第二节</w:t>
      </w:r>
      <w:r>
        <w:rPr>
          <w:rFonts w:ascii="宋体" w:hAnsi="宋体" w:cs="宋体"/>
          <w:b/>
          <w:kern w:val="0"/>
          <w:sz w:val="28"/>
          <w:szCs w:val="28"/>
          <w:highlight w:val="none"/>
        </w:rPr>
        <w:t xml:space="preserve"> 交割标准</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cs="宋体"/>
          <w:spacing w:val="-6"/>
          <w:kern w:val="52"/>
          <w:sz w:val="28"/>
          <w:szCs w:val="28"/>
          <w:highlight w:val="none"/>
        </w:rPr>
        <w:t>菜油期货交割</w:t>
      </w:r>
      <w:r>
        <w:rPr>
          <w:rFonts w:hint="eastAsia" w:ascii="宋体" w:hAnsi="宋体" w:cs="宋体"/>
          <w:kern w:val="0"/>
          <w:sz w:val="28"/>
          <w:szCs w:val="28"/>
          <w:highlight w:val="none"/>
        </w:rPr>
        <w:t>适用国家标准及本细则规定。</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第二十三条 </w:t>
      </w:r>
      <w:r>
        <w:rPr>
          <w:rFonts w:hint="eastAsia" w:ascii="宋体" w:hAnsi="宋体" w:cs="宋体"/>
          <w:spacing w:val="-6"/>
          <w:kern w:val="52"/>
          <w:sz w:val="28"/>
          <w:szCs w:val="28"/>
          <w:highlight w:val="none"/>
        </w:rPr>
        <w:t xml:space="preserve">基准交割品：符合《中华人民共和国国家标准 </w:t>
      </w:r>
      <w:r>
        <w:rPr>
          <w:rFonts w:hint="eastAsia" w:ascii="宋体" w:hAnsi="宋体" w:cs="宋体"/>
          <w:kern w:val="0"/>
          <w:sz w:val="28"/>
          <w:szCs w:val="28"/>
          <w:highlight w:val="none"/>
        </w:rPr>
        <w:t>菜籽油》（</w:t>
      </w:r>
      <w:r>
        <w:rPr>
          <w:rFonts w:ascii="宋体" w:hAnsi="宋体" w:cs="宋体"/>
          <w:kern w:val="0"/>
          <w:sz w:val="28"/>
          <w:szCs w:val="28"/>
          <w:highlight w:val="none"/>
        </w:rPr>
        <w:t>GB/T</w:t>
      </w:r>
      <w:r>
        <w:rPr>
          <w:rFonts w:hint="eastAsia" w:ascii="宋体" w:hAnsi="宋体" w:cs="宋体"/>
          <w:kern w:val="0"/>
          <w:sz w:val="28"/>
          <w:szCs w:val="28"/>
          <w:highlight w:val="none"/>
          <w:lang w:val="en-US" w:eastAsia="zh-CN"/>
        </w:rPr>
        <w:t xml:space="preserve"> </w:t>
      </w:r>
      <w:r>
        <w:rPr>
          <w:rFonts w:ascii="宋体" w:hAnsi="宋体" w:cs="宋体"/>
          <w:kern w:val="0"/>
          <w:sz w:val="28"/>
          <w:szCs w:val="28"/>
          <w:highlight w:val="none"/>
        </w:rPr>
        <w:t>1536-20</w:t>
      </w:r>
      <w:r>
        <w:rPr>
          <w:rFonts w:hint="eastAsia" w:ascii="宋体" w:hAnsi="宋体" w:cs="宋体"/>
          <w:kern w:val="0"/>
          <w:sz w:val="28"/>
          <w:szCs w:val="28"/>
          <w:highlight w:val="none"/>
        </w:rPr>
        <w:t>21，以下简称《菜油国标》）浸出三级</w:t>
      </w:r>
      <w:r>
        <w:rPr>
          <w:rFonts w:hint="eastAsia" w:ascii="宋体" w:hAnsi="宋体" w:cs="宋体"/>
          <w:spacing w:val="-6"/>
          <w:kern w:val="52"/>
          <w:sz w:val="28"/>
          <w:szCs w:val="28"/>
          <w:highlight w:val="none"/>
        </w:rPr>
        <w:t>质量指标的菜油。</w:t>
      </w:r>
    </w:p>
    <w:p>
      <w:pPr>
        <w:ind w:firstLine="560" w:firstLineChars="200"/>
        <w:rPr>
          <w:rFonts w:ascii="宋体" w:hAnsi="宋体" w:cs="宋体"/>
          <w:spacing w:val="-6"/>
          <w:kern w:val="52"/>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ascii="宋体" w:hAnsi="宋体" w:cs="宋体"/>
          <w:spacing w:val="-6"/>
          <w:kern w:val="52"/>
          <w:sz w:val="28"/>
          <w:szCs w:val="28"/>
          <w:highlight w:val="none"/>
        </w:rPr>
        <w:t>替代交割品及升贴水：符合</w:t>
      </w:r>
      <w:r>
        <w:rPr>
          <w:rFonts w:hint="eastAsia" w:ascii="宋体" w:hAnsi="宋体" w:cs="宋体"/>
          <w:kern w:val="0"/>
          <w:sz w:val="28"/>
          <w:szCs w:val="28"/>
          <w:highlight w:val="none"/>
        </w:rPr>
        <w:t>《菜油国标》规定的</w:t>
      </w:r>
      <w:r>
        <w:rPr>
          <w:rFonts w:hint="eastAsia" w:ascii="宋体" w:hAnsi="宋体" w:cs="宋体"/>
          <w:spacing w:val="-6"/>
          <w:kern w:val="52"/>
          <w:sz w:val="28"/>
          <w:szCs w:val="28"/>
          <w:highlight w:val="none"/>
        </w:rPr>
        <w:t>浸出一级、二级或者压榨一级、二级质量指标的菜油，</w:t>
      </w:r>
      <w:r>
        <w:rPr>
          <w:rFonts w:hint="eastAsia" w:ascii="宋体" w:hAnsi="宋体" w:cs="宋体"/>
          <w:bCs/>
          <w:spacing w:val="-6"/>
          <w:kern w:val="52"/>
          <w:sz w:val="28"/>
          <w:szCs w:val="28"/>
          <w:highlight w:val="none"/>
        </w:rPr>
        <w:t>可以替代交割，无升贴水</w:t>
      </w:r>
      <w:r>
        <w:rPr>
          <w:rFonts w:hint="eastAsia" w:ascii="宋体" w:hAnsi="宋体" w:cs="宋体"/>
          <w:spacing w:val="-6"/>
          <w:kern w:val="52"/>
          <w:sz w:val="28"/>
          <w:szCs w:val="28"/>
          <w:highlight w:val="none"/>
        </w:rPr>
        <w:t>。</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ascii="宋体" w:hAnsi="宋体" w:cs="宋体"/>
          <w:kern w:val="0"/>
          <w:sz w:val="28"/>
          <w:szCs w:val="28"/>
          <w:highlight w:val="none"/>
        </w:rPr>
        <w:t>菜油入库时，酸</w:t>
      </w:r>
      <w:r>
        <w:rPr>
          <w:rFonts w:hint="eastAsia" w:ascii="宋体" w:hAnsi="宋体" w:cs="宋体"/>
          <w:kern w:val="0"/>
          <w:sz w:val="28"/>
          <w:szCs w:val="28"/>
          <w:highlight w:val="none"/>
        </w:rPr>
        <w:t>价</w:t>
      </w:r>
      <w:r>
        <w:rPr>
          <w:rFonts w:ascii="宋体" w:hAnsi="宋体" w:cs="宋体"/>
          <w:kern w:val="0"/>
          <w:sz w:val="28"/>
          <w:szCs w:val="28"/>
          <w:highlight w:val="none"/>
        </w:rPr>
        <w:t>不得超过2.3mg/g，过氧化值不得超过0.10g/100g。</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菜油出库时，酸价不得超过3.0mg/g，过氧化值不得超过</w:t>
      </w:r>
      <w:r>
        <w:rPr>
          <w:rFonts w:ascii="宋体" w:hAnsi="宋体" w:cs="宋体"/>
          <w:kern w:val="0"/>
          <w:sz w:val="28"/>
          <w:szCs w:val="28"/>
          <w:highlight w:val="none"/>
        </w:rPr>
        <w:t>0.16g/100g。</w:t>
      </w:r>
    </w:p>
    <w:p>
      <w:pPr>
        <w:tabs>
          <w:tab w:val="left" w:pos="1620"/>
        </w:tabs>
        <w:autoSpaceDE w:val="0"/>
        <w:autoSpaceDN w:val="0"/>
        <w:jc w:val="center"/>
        <w:rPr>
          <w:rFonts w:ascii="宋体" w:hAnsi="宋体" w:cs="宋体"/>
          <w:b/>
          <w:kern w:val="0"/>
          <w:sz w:val="28"/>
          <w:szCs w:val="28"/>
          <w:highlight w:val="none"/>
        </w:rPr>
      </w:pPr>
      <w:r>
        <w:rPr>
          <w:rFonts w:hint="eastAsia" w:ascii="宋体" w:hAnsi="宋体" w:cs="宋体"/>
          <w:b/>
          <w:kern w:val="0"/>
          <w:sz w:val="28"/>
          <w:szCs w:val="28"/>
          <w:highlight w:val="none"/>
        </w:rPr>
        <w:t>第三节</w:t>
      </w:r>
      <w:r>
        <w:rPr>
          <w:rFonts w:ascii="宋体" w:hAnsi="宋体" w:cs="宋体"/>
          <w:b/>
          <w:kern w:val="0"/>
          <w:sz w:val="28"/>
          <w:szCs w:val="28"/>
          <w:highlight w:val="none"/>
        </w:rPr>
        <w:t xml:space="preserve"> 仓库标准仓单交割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ascii="宋体" w:hAnsi="宋体" w:cs="宋体"/>
          <w:kern w:val="0"/>
          <w:sz w:val="28"/>
          <w:szCs w:val="28"/>
          <w:highlight w:val="none"/>
        </w:rPr>
        <w:t>菜油期货交割预报时，应当按30元/吨向仓库交纳交割预报定金。</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cs="宋体"/>
          <w:kern w:val="0"/>
          <w:sz w:val="28"/>
          <w:szCs w:val="28"/>
          <w:highlight w:val="none"/>
        </w:rPr>
        <w:t>菜油仓库开具的《入库通知单》有效期为40个日历日。</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ascii="黑体" w:hAnsi="黑体" w:eastAsia="黑体" w:cs="宋体"/>
          <w:color w:val="000000"/>
          <w:kern w:val="0"/>
          <w:sz w:val="28"/>
          <w:szCs w:val="28"/>
          <w:highlight w:val="none"/>
        </w:rPr>
        <w:t>二十八条</w:t>
      </w:r>
      <w:r>
        <w:rPr>
          <w:rFonts w:hint="eastAsia" w:ascii="宋体" w:hAnsi="宋体" w:cs="宋体"/>
          <w:kern w:val="0"/>
          <w:sz w:val="28"/>
          <w:szCs w:val="28"/>
          <w:highlight w:val="none"/>
        </w:rPr>
        <w:t>菜油运输应当符合国家卫生标准规定。</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第二十九条 </w:t>
      </w:r>
      <w:r>
        <w:rPr>
          <w:rFonts w:hint="eastAsia" w:hAnsi="宋体"/>
          <w:sz w:val="28"/>
          <w:szCs w:val="28"/>
          <w:highlight w:val="none"/>
        </w:rPr>
        <w:t>菜油申请入库，标准</w:t>
      </w:r>
      <w:r>
        <w:rPr>
          <w:rFonts w:hint="eastAsia" w:ascii="宋体" w:hAnsi="宋体" w:cs="宋体"/>
          <w:kern w:val="0"/>
          <w:sz w:val="28"/>
          <w:szCs w:val="28"/>
          <w:highlight w:val="none"/>
        </w:rPr>
        <w:t>仓单注册人应当向仓库提供加盖生产厂家公章的《产品生产许可证》复印件和《食品卫生许可证》复印件，以及随货同行的产品化验单。</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产品化验单中应当载明产品名称、产地、压榨或者浸出、产品执行标准、等级、编号、是否转基因产品等信息。其中，产地信息中应当注明原产国。</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第三十条 </w:t>
      </w:r>
      <w:r>
        <w:rPr>
          <w:rFonts w:hint="eastAsia" w:ascii="宋体" w:hAnsi="宋体" w:cs="宋体"/>
          <w:kern w:val="0"/>
          <w:sz w:val="28"/>
          <w:szCs w:val="28"/>
          <w:highlight w:val="none"/>
        </w:rPr>
        <w:t>菜油入库时，仓库对入库商品进行重量验收。采用汽车运输的，菜油重量验收以地磅计量为准；采用火车运输的，以火车罐打尺或者储油罐打尺计量为准；采用船舶运输的，以过磅或者储油罐打尺计量为准。</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经交易所批准，菜油重量验收可以使用质量技术监督部门认可的其他先进衡器计量。</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第三十一条 </w:t>
      </w:r>
      <w:r>
        <w:rPr>
          <w:rFonts w:hint="eastAsia" w:ascii="宋体" w:hAnsi="宋体" w:cs="宋体"/>
          <w:kern w:val="0"/>
          <w:sz w:val="28"/>
          <w:szCs w:val="28"/>
          <w:highlight w:val="none"/>
        </w:rPr>
        <w:t>菜油入库质量检验和掺伪检验由仓库负责，仓库可以全部或者部分委托经国家质量技术监督部门认证的质检机构进行检验，检验费用由仓库承担。</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菜油质量检验样品由仓库在卸货前扦取。每次扦取的样品分为两份，每份不低于1公斤。仓库任选一份用于检验，另一份由标准仓单注册人和仓库签字封样，由仓库妥善保存。</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仓库应当自每批样品扦取完成之时起48小时内出具检验结果，并及时通知标准仓单注册人。</w:t>
      </w:r>
    </w:p>
    <w:p>
      <w:pPr>
        <w:ind w:firstLine="560" w:firstLineChars="200"/>
        <w:rPr>
          <w:sz w:val="28"/>
          <w:szCs w:val="28"/>
          <w:highlight w:val="none"/>
        </w:rPr>
      </w:pPr>
      <w:r>
        <w:rPr>
          <w:rFonts w:hint="eastAsia"/>
          <w:sz w:val="28"/>
          <w:szCs w:val="28"/>
          <w:highlight w:val="none"/>
        </w:rPr>
        <w:t>标准仓单注册人对入库质量检验结果有异议的，可以向交易所提出复检申请</w:t>
      </w:r>
      <w:r>
        <w:rPr>
          <w:rFonts w:hint="eastAsia" w:ascii="宋体" w:hAnsi="宋体" w:cs="宋体"/>
          <w:kern w:val="0"/>
          <w:sz w:val="28"/>
          <w:szCs w:val="28"/>
          <w:highlight w:val="none"/>
        </w:rPr>
        <w:t>。具体流程按照《郑州商品交易所标准仓单管理办法》“仓库商品入库复检</w:t>
      </w:r>
      <w:r>
        <w:rPr>
          <w:rFonts w:ascii="宋体" w:hAnsi="宋体" w:cs="宋体"/>
          <w:kern w:val="0"/>
          <w:sz w:val="28"/>
          <w:szCs w:val="28"/>
          <w:highlight w:val="none"/>
        </w:rPr>
        <w:t>”</w:t>
      </w:r>
      <w:r>
        <w:rPr>
          <w:rFonts w:hint="eastAsia" w:ascii="宋体" w:hAnsi="宋体" w:cs="宋体"/>
          <w:kern w:val="0"/>
          <w:sz w:val="28"/>
          <w:szCs w:val="28"/>
          <w:highlight w:val="none"/>
        </w:rPr>
        <w:t>有关规定办理。</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第三十二条 </w:t>
      </w:r>
      <w:r>
        <w:rPr>
          <w:rFonts w:hint="eastAsia" w:ascii="宋体" w:hAnsi="宋体" w:cs="宋体"/>
          <w:kern w:val="0"/>
          <w:sz w:val="28"/>
          <w:szCs w:val="28"/>
          <w:highlight w:val="none"/>
        </w:rPr>
        <w:t>菜油重量验收及入库扦样时，标准仓单注册人应当到场监督。仓库和标准仓单注册人应当对验收结果签章确认，并共同对入库商品的真实性负责；入库商品未经仓库、标准仓单注册人签章确认的，不得用于期货交割。</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菜油入库后，仓库应当对标准仓单注册人的名称、联系人及联系方式、商品数量、生产厂家、存放罐位等事项登记造册，并由标准仓单注册人签字确认。</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第三十三条 </w:t>
      </w:r>
      <w:r>
        <w:rPr>
          <w:rFonts w:hint="eastAsia" w:ascii="宋体" w:hAnsi="宋体" w:cs="宋体"/>
          <w:kern w:val="0"/>
          <w:sz w:val="28"/>
          <w:szCs w:val="28"/>
          <w:highlight w:val="none"/>
        </w:rPr>
        <w:t>对检验合格的菜油，仓库应当按商品到库先后安排储油罐，并于检验报告出具之日起5个工作日内入库完毕。</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转基因菜油应当与非转基因菜油分罐储存。标准仓单注册人未在交割预报单中注明菜油是否为转基因产品或者标注信息与事实不符，导致转基因菜油和非转基因菜油混罐储存的，由此引起的法律责任由标准仓单注册人承担。责任主体根据入库时仓库保留的样品确定。</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菜油储油罐应当符合国家卫生标准规定。</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第三十四条 </w:t>
      </w:r>
      <w:r>
        <w:rPr>
          <w:rFonts w:hint="eastAsia" w:ascii="宋体" w:hAnsi="宋体" w:cs="宋体"/>
          <w:kern w:val="0"/>
          <w:sz w:val="28"/>
          <w:szCs w:val="28"/>
          <w:highlight w:val="none"/>
        </w:rPr>
        <w:t>标准仓单注册人应当保证入库菜油符合国家卫生标准。混罐储存的菜油不符合国家卫生标准的，根据入库时仓库保留的样品确定责任主体。</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第三十五条 </w:t>
      </w:r>
      <w:r>
        <w:rPr>
          <w:rFonts w:hint="eastAsia" w:ascii="宋体" w:hAnsi="宋体" w:cs="宋体"/>
          <w:kern w:val="0"/>
          <w:sz w:val="28"/>
          <w:szCs w:val="28"/>
          <w:highlight w:val="none"/>
        </w:rPr>
        <w:t>入库过程中和标准仓单注册前发现有下列情况之一的，仓库应当拒绝转存为期货交割商品，并及时通知会员或者标准仓单注册人：</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（一）掺伪的菜油；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（二）菜油运输工具不符合国家规定的；</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（三）入库菜油不符合交易所其他交割规定的。</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第三十六条 </w:t>
      </w:r>
      <w:r>
        <w:rPr>
          <w:rFonts w:hint="eastAsia" w:ascii="宋体" w:hAnsi="宋体" w:cs="宋体"/>
          <w:kern w:val="0"/>
          <w:sz w:val="28"/>
          <w:szCs w:val="28"/>
          <w:highlight w:val="none"/>
        </w:rPr>
        <w:t>菜油仓库标准仓单注销后，提货人应当在交易所开具《提货通知单》之日起</w:t>
      </w:r>
      <w:r>
        <w:rPr>
          <w:rFonts w:ascii="宋体" w:hAnsi="宋体" w:cs="宋体"/>
          <w:kern w:val="0"/>
          <w:sz w:val="28"/>
          <w:szCs w:val="28"/>
          <w:highlight w:val="none"/>
        </w:rPr>
        <w:t>10个工作日内</w:t>
      </w:r>
      <w:r>
        <w:rPr>
          <w:rFonts w:hint="eastAsia" w:ascii="宋体" w:hAnsi="宋体" w:cs="宋体"/>
          <w:kern w:val="0"/>
          <w:sz w:val="28"/>
          <w:szCs w:val="28"/>
          <w:highlight w:val="none"/>
        </w:rPr>
        <w:t>，凭提货人身份证、提货人所在单位证明及《提货通知单》验证密码到仓库办理提货手续，确认商品质量、运输方式，并预交各项费用。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ascii="黑体" w:hAnsi="黑体" w:eastAsia="黑体" w:cs="宋体"/>
          <w:color w:val="000000"/>
          <w:kern w:val="0"/>
          <w:sz w:val="28"/>
          <w:szCs w:val="28"/>
          <w:highlight w:val="none"/>
        </w:rPr>
        <w:t>三十</w:t>
      </w:r>
      <w:r>
        <w:rPr>
          <w:rFonts w:hint="eastAsia" w:ascii="黑体" w:hAnsi="黑体" w:eastAsia="黑体" w:cs="宋体"/>
          <w:color w:val="000000"/>
          <w:kern w:val="0"/>
          <w:sz w:val="28"/>
          <w:szCs w:val="28"/>
          <w:highlight w:val="none"/>
        </w:rPr>
        <w:t>七</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lang w:val="en-US" w:eastAsia="zh-CN"/>
        </w:rPr>
        <w:t xml:space="preserve"> </w:t>
      </w:r>
      <w:r>
        <w:rPr>
          <w:rFonts w:hint="eastAsia" w:ascii="宋体" w:hAnsi="宋体" w:cs="宋体"/>
          <w:kern w:val="0"/>
          <w:sz w:val="28"/>
          <w:szCs w:val="28"/>
          <w:highlight w:val="none"/>
        </w:rPr>
        <w:t>菜油出库重量验收由仓库和提货人共同实施，具体办法参照入库重量验收规定。</w:t>
      </w:r>
    </w:p>
    <w:p>
      <w:pPr>
        <w:ind w:firstLine="560" w:firstLineChars="200"/>
        <w:rPr>
          <w:rFonts w:ascii="宋体" w:hAnsi="宋体" w:cs="宋体"/>
          <w:strike/>
          <w:kern w:val="0"/>
          <w:sz w:val="28"/>
          <w:szCs w:val="28"/>
          <w:highlight w:val="none"/>
        </w:rPr>
      </w:pPr>
      <w:r>
        <w:rPr>
          <w:rFonts w:hint="eastAsia"/>
          <w:sz w:val="28"/>
          <w:szCs w:val="28"/>
          <w:highlight w:val="none"/>
        </w:rPr>
        <w:t>菜油出库时</w:t>
      </w:r>
      <w:r>
        <w:rPr>
          <w:rFonts w:hint="eastAsia" w:ascii="宋体" w:hAnsi="宋体" w:cs="宋体"/>
          <w:kern w:val="0"/>
          <w:sz w:val="28"/>
          <w:szCs w:val="28"/>
          <w:highlight w:val="none"/>
        </w:rPr>
        <w:t>数量发生损耗造成短少的</w:t>
      </w:r>
      <w:r>
        <w:rPr>
          <w:rFonts w:hint="eastAsia"/>
          <w:sz w:val="28"/>
          <w:szCs w:val="28"/>
          <w:highlight w:val="none"/>
        </w:rPr>
        <w:t>，仓库应当及时补足。不能及时补足的，仓库应当按照《提货通知单》开具日之前（含该日）菜油期货最近交割月最高交割结算价核算短少商品价款，赔偿提货人。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第三十八条 </w:t>
      </w:r>
      <w:r>
        <w:rPr>
          <w:rFonts w:hint="eastAsia"/>
          <w:sz w:val="28"/>
          <w:szCs w:val="28"/>
          <w:highlight w:val="none"/>
        </w:rPr>
        <w:t>菜油出库时，提</w:t>
      </w:r>
      <w:r>
        <w:rPr>
          <w:rFonts w:hint="eastAsia" w:ascii="宋体" w:hAnsi="宋体" w:cs="宋体"/>
          <w:kern w:val="0"/>
          <w:sz w:val="28"/>
          <w:szCs w:val="28"/>
          <w:highlight w:val="none"/>
        </w:rPr>
        <w:t>货人对商品质量有异议的，可以向交易所申请一次复检，并预交复检费用。</w:t>
      </w:r>
      <w:r>
        <w:rPr>
          <w:rFonts w:hint="eastAsia" w:ascii="宋体" w:hAnsi="宋体" w:cs="宋体"/>
          <w:color w:val="000000"/>
          <w:kern w:val="0"/>
          <w:sz w:val="28"/>
          <w:szCs w:val="28"/>
          <w:highlight w:val="none"/>
        </w:rPr>
        <w:t>质量异议应当在</w:t>
      </w:r>
      <w:r>
        <w:rPr>
          <w:rFonts w:hint="eastAsia" w:ascii="宋体" w:hAnsi="宋体" w:cs="宋体"/>
          <w:kern w:val="0"/>
          <w:sz w:val="28"/>
          <w:szCs w:val="28"/>
          <w:highlight w:val="none"/>
        </w:rPr>
        <w:t>《提货通知单》开具之日起10个工作日内</w:t>
      </w:r>
      <w:r>
        <w:rPr>
          <w:rFonts w:hint="eastAsia" w:ascii="宋体" w:hAnsi="宋体" w:cs="宋体"/>
          <w:color w:val="000000"/>
          <w:kern w:val="0"/>
          <w:sz w:val="28"/>
          <w:szCs w:val="28"/>
          <w:highlight w:val="none"/>
        </w:rPr>
        <w:t>提出。</w:t>
      </w:r>
      <w:r>
        <w:rPr>
          <w:rFonts w:hint="eastAsia" w:ascii="宋体" w:hAnsi="宋体" w:cs="宋体"/>
          <w:kern w:val="0"/>
          <w:sz w:val="28"/>
          <w:szCs w:val="28"/>
          <w:highlight w:val="none"/>
        </w:rPr>
        <w:t>具体流程按照《郑州商品交易所标准仓单管理办法》“仓库商品出库复检”有关规定办理。</w:t>
      </w:r>
    </w:p>
    <w:p>
      <w:pPr>
        <w:tabs>
          <w:tab w:val="left" w:pos="1620"/>
        </w:tabs>
        <w:autoSpaceDE w:val="0"/>
        <w:autoSpaceDN w:val="0"/>
        <w:jc w:val="center"/>
        <w:rPr>
          <w:b/>
          <w:sz w:val="28"/>
          <w:szCs w:val="28"/>
          <w:highlight w:val="none"/>
        </w:rPr>
      </w:pPr>
      <w:r>
        <w:rPr>
          <w:rFonts w:hint="eastAsia"/>
          <w:b/>
          <w:sz w:val="28"/>
          <w:szCs w:val="28"/>
          <w:highlight w:val="none"/>
        </w:rPr>
        <w:t>第四节 厂库标准仓单交割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第三十九条 </w:t>
      </w:r>
      <w:r>
        <w:rPr>
          <w:rFonts w:hint="eastAsia" w:ascii="宋体" w:hAnsi="宋体" w:cs="宋体"/>
          <w:kern w:val="0"/>
          <w:sz w:val="28"/>
          <w:szCs w:val="28"/>
          <w:highlight w:val="none"/>
        </w:rPr>
        <w:t>菜油厂库允许注册标准仓单的最大数量由交易所确定，交易所可以根据情况予以调整。</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菜油厂库申请注册标准仓单前，应当按照交易所规定提供标准仓单注册担保。</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cs="宋体"/>
          <w:kern w:val="0"/>
          <w:sz w:val="28"/>
          <w:szCs w:val="28"/>
          <w:highlight w:val="none"/>
        </w:rPr>
        <w:t>菜油厂库标准仓单注销后，提货人应当在交易所开具《提货通知单》之日起10个工作日内，凭提货人身份证、提货人所在单位证明及《提货通知单》验证密码到厂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第四十一</w:t>
      </w:r>
      <w:r>
        <w:rPr>
          <w:rFonts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第四十二条 </w:t>
      </w:r>
      <w:r>
        <w:rPr>
          <w:rFonts w:hint="eastAsia" w:ascii="宋体" w:hAnsi="宋体" w:cs="宋体"/>
          <w:kern w:val="0"/>
          <w:sz w:val="28"/>
          <w:szCs w:val="28"/>
          <w:highlight w:val="none"/>
        </w:rPr>
        <w:t>厂库菜油出库重量验收由提货人与厂库共同实施，以厂库检重为准，足量出库。</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菜油出库重量发生短少的，厂库应当及时补足。不能补足的，厂库应当按照《提货通知单》开具日之前（含该日）菜油期货最近交割月最高交割结算价核算短少商品价款，赔偿提货人。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cs="宋体"/>
          <w:kern w:val="0"/>
          <w:sz w:val="28"/>
          <w:szCs w:val="32"/>
          <w:highlight w:val="none"/>
        </w:rPr>
      </w:pPr>
      <w:r>
        <w:rPr>
          <w:rFonts w:hint="eastAsia" w:ascii="黑体" w:hAnsi="黑体" w:eastAsia="黑体" w:cs="宋体"/>
          <w:color w:val="000000"/>
          <w:kern w:val="0"/>
          <w:sz w:val="28"/>
          <w:szCs w:val="28"/>
          <w:highlight w:val="none"/>
        </w:rPr>
        <w:t xml:space="preserve">第四十三条 </w:t>
      </w:r>
      <w:r>
        <w:rPr>
          <w:rFonts w:hint="eastAsia" w:ascii="宋体" w:hAnsi="宋体" w:cs="宋体"/>
          <w:kern w:val="0"/>
          <w:sz w:val="28"/>
          <w:szCs w:val="32"/>
          <w:highlight w:val="none"/>
        </w:rPr>
        <w:t>厂库应当保证交割商品的质量符合交易所规定的交割标准，双方协商一致的除外。</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菜油出库时，厂库应当在提货人监督下在货物装运到买方运输工具前进行抽样，经双方确认后共同封样。样品一式三份，一份由提货人保存，两份由厂库保存。厂库应当将样品保留至发货后</w:t>
      </w:r>
      <w:r>
        <w:rPr>
          <w:rFonts w:ascii="宋体" w:hAnsi="宋体" w:cs="宋体"/>
          <w:kern w:val="0"/>
          <w:sz w:val="28"/>
          <w:szCs w:val="28"/>
          <w:highlight w:val="none"/>
        </w:rPr>
        <w:t>30个日历</w:t>
      </w:r>
      <w:r>
        <w:rPr>
          <w:rFonts w:hint="eastAsia" w:ascii="宋体" w:hAnsi="宋体" w:cs="宋体"/>
          <w:kern w:val="0"/>
          <w:sz w:val="28"/>
          <w:szCs w:val="28"/>
          <w:highlight w:val="none"/>
        </w:rPr>
        <w:t>日，作为发生质量争议时的处理依据。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第四十四条 </w:t>
      </w:r>
      <w:r>
        <w:rPr>
          <w:rFonts w:hint="eastAsia" w:ascii="宋体" w:hAnsi="宋体" w:cs="宋体"/>
          <w:kern w:val="0"/>
          <w:sz w:val="28"/>
          <w:szCs w:val="28"/>
          <w:highlight w:val="none"/>
        </w:rPr>
        <w:t>提货人或者厂库</w:t>
      </w:r>
      <w:r>
        <w:rPr>
          <w:rFonts w:hint="eastAsia" w:ascii="宋体" w:hAnsi="宋体" w:cs="宋体"/>
          <w:color w:val="000000"/>
          <w:kern w:val="0"/>
          <w:sz w:val="28"/>
          <w:szCs w:val="28"/>
          <w:highlight w:val="none"/>
        </w:rPr>
        <w:t>对菜油重量、质量有异议的，由</w:t>
      </w:r>
      <w:r>
        <w:rPr>
          <w:rFonts w:hint="eastAsia" w:ascii="宋体" w:hAnsi="宋体" w:cs="宋体"/>
          <w:kern w:val="0"/>
          <w:sz w:val="28"/>
          <w:szCs w:val="28"/>
          <w:highlight w:val="none"/>
        </w:rPr>
        <w:t>提货人</w:t>
      </w:r>
      <w:r>
        <w:rPr>
          <w:rFonts w:hint="eastAsia" w:ascii="宋体" w:hAnsi="宋体" w:cs="宋体"/>
          <w:color w:val="000000"/>
          <w:kern w:val="0"/>
          <w:sz w:val="28"/>
          <w:szCs w:val="28"/>
          <w:highlight w:val="none"/>
        </w:rPr>
        <w:t>和厂库协商解决；协商不成的，可以向交易所申请一次复检，并由申请方预交复检及相关费用。重量异议应当在菜油出库前提出；质量异议应当在菜油出库之日起5个工作日内提出。</w:t>
      </w:r>
      <w:r>
        <w:rPr>
          <w:rFonts w:hint="eastAsia" w:ascii="宋体" w:hAnsi="宋体" w:cs="宋体"/>
          <w:kern w:val="0"/>
          <w:sz w:val="28"/>
          <w:szCs w:val="28"/>
          <w:highlight w:val="none"/>
        </w:rPr>
        <w:t>具体流程按照《郑州商品交易所标准仓单管理办法》“厂库商品出库复检</w:t>
      </w:r>
      <w:r>
        <w:rPr>
          <w:rFonts w:ascii="宋体" w:hAnsi="宋体" w:cs="宋体"/>
          <w:kern w:val="0"/>
          <w:sz w:val="28"/>
          <w:szCs w:val="28"/>
          <w:highlight w:val="none"/>
        </w:rPr>
        <w:t>”</w:t>
      </w:r>
      <w:r>
        <w:rPr>
          <w:rFonts w:hint="eastAsia" w:ascii="宋体" w:hAnsi="宋体" w:cs="宋体"/>
          <w:kern w:val="0"/>
          <w:sz w:val="28"/>
          <w:szCs w:val="28"/>
          <w:highlight w:val="none"/>
        </w:rPr>
        <w:t>有关规定办理。</w:t>
      </w:r>
      <w:r>
        <w:rPr>
          <w:rFonts w:ascii="宋体" w:hAnsi="宋体" w:cs="宋体"/>
          <w:kern w:val="0"/>
          <w:sz w:val="28"/>
          <w:szCs w:val="28"/>
          <w:highlight w:val="none"/>
        </w:rPr>
        <w:br w:type="textWrapping"/>
      </w:r>
      <w:r>
        <w:rPr>
          <w:rFonts w:hint="eastAsia" w:ascii="黑体" w:hAnsi="黑体" w:eastAsia="黑体" w:cs="宋体"/>
          <w:color w:val="000000"/>
          <w:kern w:val="0"/>
          <w:sz w:val="28"/>
          <w:szCs w:val="28"/>
          <w:highlight w:val="none"/>
        </w:rPr>
        <w:t xml:space="preserve">    第四十五条 </w:t>
      </w:r>
      <w:r>
        <w:rPr>
          <w:rFonts w:hint="eastAsia" w:ascii="宋体" w:hAnsi="宋体" w:cs="宋体"/>
          <w:kern w:val="0"/>
          <w:sz w:val="28"/>
          <w:szCs w:val="28"/>
          <w:highlight w:val="none"/>
        </w:rPr>
        <w:t>厂库或者提货人因故不能按照约定计划发货或者提货的，双方应当及时协商并妥善调整发货速度或者发货计划，并且过错方应当支付滞纳金。滞纳金额 =∑</w:t>
      </w:r>
      <w:r>
        <w:rPr>
          <w:rFonts w:ascii="宋体" w:hAnsi="宋体" w:cs="宋体"/>
          <w:kern w:val="0"/>
          <w:sz w:val="28"/>
          <w:szCs w:val="28"/>
          <w:highlight w:val="none"/>
        </w:rPr>
        <w:t>[5</w:t>
      </w:r>
      <w:r>
        <w:rPr>
          <w:rFonts w:hint="eastAsia" w:ascii="宋体" w:hAnsi="宋体" w:cs="宋体"/>
          <w:kern w:val="0"/>
          <w:sz w:val="28"/>
          <w:szCs w:val="28"/>
          <w:highlight w:val="none"/>
        </w:rPr>
        <w:t>（元</w:t>
      </w:r>
      <w:r>
        <w:rPr>
          <w:rFonts w:ascii="宋体" w:hAnsi="宋体" w:cs="宋体"/>
          <w:kern w:val="0"/>
          <w:sz w:val="28"/>
          <w:szCs w:val="28"/>
          <w:highlight w:val="none"/>
        </w:rPr>
        <w:t>/吨•天）×延误天数×应发（收）而未发（收）商品数量]。</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因厂库原因在约定的最后发货日起5个日历日内仍不能完成所有商品发货的，提货人可以要求厂库终止发货并支付赔偿金。赔偿金额=菜油期货最近交割月最高交割结算价×应发未发的商品数量×120%。</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因天气原因及其他不可抗力因素导致无法按计划发货或提货的，厂库或者提货人不需支付滞纳金或者赔偿金。</w:t>
      </w:r>
    </w:p>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第四十六条 </w:t>
      </w:r>
      <w:r>
        <w:rPr>
          <w:rFonts w:hint="eastAsia" w:ascii="宋体" w:hAnsi="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第四十七条 </w:t>
      </w:r>
      <w:r>
        <w:rPr>
          <w:rFonts w:hint="eastAsia" w:ascii="宋体" w:hAnsi="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第四十八条 </w:t>
      </w:r>
      <w:r>
        <w:rPr>
          <w:rFonts w:hint="eastAsia" w:ascii="宋体" w:hAnsi="宋体" w:cs="宋体"/>
          <w:kern w:val="0"/>
          <w:sz w:val="28"/>
          <w:szCs w:val="28"/>
          <w:highlight w:val="none"/>
        </w:rPr>
        <w:t>厂库发货完毕后，交易所书面确认无质量、数量责任的，经厂库申请，交易所退还厂库提交的担保财产或者担保凭证。</w:t>
      </w:r>
    </w:p>
    <w:p>
      <w:pPr>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第四章</w:t>
      </w:r>
      <w:r>
        <w:rPr>
          <w:rFonts w:ascii="黑体" w:hAnsi="黑体" w:eastAsia="黑体" w:cs="宋体"/>
          <w:color w:val="000000"/>
          <w:kern w:val="0"/>
          <w:sz w:val="30"/>
          <w:szCs w:val="30"/>
          <w:highlight w:val="none"/>
        </w:rPr>
        <w:t xml:space="preserve"> 风险管理</w:t>
      </w:r>
    </w:p>
    <w:p>
      <w:pPr>
        <w:ind w:firstLine="560" w:firstLineChars="200"/>
        <w:jc w:val="left"/>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第四十九条 </w:t>
      </w:r>
      <w:r>
        <w:rPr>
          <w:rFonts w:hint="eastAsia" w:ascii="宋体" w:hAnsi="宋体" w:cs="宋体"/>
          <w:color w:val="000000"/>
          <w:kern w:val="0"/>
          <w:sz w:val="28"/>
          <w:szCs w:val="28"/>
          <w:highlight w:val="none"/>
        </w:rPr>
        <w:t>菜油期货合约最低交易保证金标准为合约价值的5%。</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菜油期货合约交易保证金标准见下表：</w:t>
      </w:r>
    </w:p>
    <w:tbl>
      <w:tblPr>
        <w:tblStyle w:val="9"/>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ind w:firstLine="480"/>
              <w:jc w:val="center"/>
              <w:rPr>
                <w:rFonts w:ascii="宋体" w:hAnsi="宋体" w:cs="宋体"/>
                <w:kern w:val="0"/>
                <w:sz w:val="24"/>
                <w:highlight w:val="none"/>
              </w:rPr>
            </w:pPr>
            <w:r>
              <w:rPr>
                <w:rFonts w:hint="eastAsia" w:ascii="宋体" w:hAnsi="宋体" w:cs="宋体"/>
                <w:kern w:val="0"/>
                <w:sz w:val="24"/>
                <w:highlight w:val="none"/>
              </w:rPr>
              <w:t>交易时间段</w:t>
            </w:r>
          </w:p>
        </w:tc>
        <w:tc>
          <w:tcPr>
            <w:tcW w:w="2976" w:type="dxa"/>
            <w:noWrap w:val="0"/>
            <w:vAlign w:val="center"/>
          </w:tcPr>
          <w:p>
            <w:pPr>
              <w:tabs>
                <w:tab w:val="left" w:pos="1620"/>
              </w:tabs>
              <w:autoSpaceDE w:val="0"/>
              <w:autoSpaceDN w:val="0"/>
              <w:jc w:val="center"/>
              <w:rPr>
                <w:rFonts w:ascii="宋体" w:hAnsi="宋体" w:cs="宋体"/>
                <w:kern w:val="0"/>
                <w:sz w:val="24"/>
                <w:highlight w:val="none"/>
              </w:rPr>
            </w:pPr>
            <w:r>
              <w:rPr>
                <w:rFonts w:ascii="宋体" w:hAnsi="宋体" w:cs="宋体"/>
                <w:kern w:val="0"/>
                <w:sz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2976" w:type="dxa"/>
            <w:noWrap w:val="0"/>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2976" w:type="dxa"/>
            <w:noWrap w:val="0"/>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合约价值的20%</w:t>
            </w:r>
          </w:p>
        </w:tc>
      </w:tr>
    </w:tbl>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第五十条 </w:t>
      </w:r>
      <w:r>
        <w:rPr>
          <w:rFonts w:hint="eastAsia"/>
          <w:sz w:val="28"/>
          <w:szCs w:val="28"/>
          <w:highlight w:val="none"/>
        </w:rPr>
        <w:t>菜油</w:t>
      </w:r>
      <w:r>
        <w:rPr>
          <w:rFonts w:hint="eastAsia" w:ascii="宋体" w:hAnsi="宋体" w:cs="宋体"/>
          <w:kern w:val="0"/>
          <w:sz w:val="28"/>
          <w:szCs w:val="28"/>
          <w:highlight w:val="none"/>
        </w:rPr>
        <w:t>期货合约每日涨跌停板幅度为前一交易日结算价的±</w:t>
      </w:r>
      <w:r>
        <w:rPr>
          <w:rFonts w:ascii="宋体" w:hAnsi="宋体" w:cs="宋体"/>
          <w:kern w:val="0"/>
          <w:sz w:val="28"/>
          <w:szCs w:val="28"/>
          <w:highlight w:val="none"/>
        </w:rPr>
        <w:t>4%</w:t>
      </w:r>
      <w:r>
        <w:rPr>
          <w:rFonts w:hint="eastAsia" w:ascii="宋体" w:hAnsi="宋体" w:cs="宋体"/>
          <w:kern w:val="0"/>
          <w:sz w:val="28"/>
          <w:szCs w:val="28"/>
          <w:highlight w:val="none"/>
        </w:rPr>
        <w:t>。</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第五十一条 </w:t>
      </w:r>
      <w:r>
        <w:rPr>
          <w:rFonts w:hint="eastAsia"/>
          <w:sz w:val="28"/>
          <w:szCs w:val="28"/>
          <w:highlight w:val="none"/>
        </w:rPr>
        <w:t>菜油</w:t>
      </w:r>
      <w:r>
        <w:rPr>
          <w:rFonts w:hint="eastAsia" w:ascii="宋体" w:hAnsi="宋体" w:cs="宋体"/>
          <w:color w:val="000000"/>
          <w:kern w:val="0"/>
          <w:sz w:val="28"/>
          <w:szCs w:val="28"/>
          <w:highlight w:val="none"/>
        </w:rPr>
        <w:t>期货合约限仓标准见下表：</w:t>
      </w:r>
    </w:p>
    <w:tbl>
      <w:tblPr>
        <w:tblStyle w:val="9"/>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311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kern w:val="0"/>
                <w:sz w:val="24"/>
                <w:highlight w:val="none"/>
              </w:rPr>
              <w:t>交易时间段</w:t>
            </w:r>
          </w:p>
        </w:tc>
        <w:tc>
          <w:tcPr>
            <w:tcW w:w="5103" w:type="dxa"/>
            <w:gridSpan w:val="2"/>
            <w:noWrap w:val="0"/>
            <w:vAlign w:val="center"/>
          </w:tcPr>
          <w:p>
            <w:pPr>
              <w:tabs>
                <w:tab w:val="left" w:pos="1620"/>
              </w:tabs>
              <w:autoSpaceDE w:val="0"/>
              <w:autoSpaceDN w:val="0"/>
              <w:rPr>
                <w:rFonts w:ascii="宋体" w:hAnsi="宋体" w:cs="宋体"/>
                <w:kern w:val="0"/>
                <w:sz w:val="24"/>
                <w:highlight w:val="none"/>
              </w:rPr>
            </w:pPr>
            <w:r>
              <w:rPr>
                <w:rFonts w:hint="eastAsia" w:ascii="宋体" w:hAnsi="宋体" w:cs="宋体"/>
                <w:kern w:val="0"/>
                <w:sz w:val="24"/>
                <w:highlight w:val="none"/>
              </w:rPr>
              <w:t>非期货公司会员、境外特殊非经纪参与者和客户的最大单边持仓量（手）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402" w:type="dxa"/>
            <w:vMerge w:val="restart"/>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311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期货合约单边持仓量＜10万</w:t>
            </w:r>
          </w:p>
        </w:tc>
        <w:tc>
          <w:tcPr>
            <w:tcW w:w="1984" w:type="dxa"/>
            <w:noWrap w:val="0"/>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3402" w:type="dxa"/>
            <w:vMerge w:val="continue"/>
            <w:noWrap w:val="0"/>
            <w:vAlign w:val="center"/>
          </w:tcPr>
          <w:p>
            <w:pPr>
              <w:tabs>
                <w:tab w:val="left" w:pos="1620"/>
              </w:tabs>
              <w:autoSpaceDE w:val="0"/>
              <w:autoSpaceDN w:val="0"/>
              <w:ind w:firstLine="480" w:firstLineChars="200"/>
              <w:rPr>
                <w:rFonts w:ascii="宋体" w:hAnsi="宋体" w:cs="宋体"/>
                <w:color w:val="000000"/>
                <w:kern w:val="0"/>
                <w:sz w:val="24"/>
                <w:highlight w:val="none"/>
              </w:rPr>
            </w:pPr>
          </w:p>
        </w:tc>
        <w:tc>
          <w:tcPr>
            <w:tcW w:w="3119"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期货合约单边持仓量≥10万</w:t>
            </w:r>
          </w:p>
        </w:tc>
        <w:tc>
          <w:tcPr>
            <w:tcW w:w="1984" w:type="dxa"/>
            <w:noWrap w:val="0"/>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期货合约单边持仓量×10%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trPr>
        <w:tc>
          <w:tcPr>
            <w:tcW w:w="3402"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5103" w:type="dxa"/>
            <w:gridSpan w:val="2"/>
            <w:noWrap w:val="0"/>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5103" w:type="dxa"/>
            <w:gridSpan w:val="2"/>
            <w:noWrap w:val="0"/>
            <w:vAlign w:val="top"/>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1000</w:t>
            </w:r>
          </w:p>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（自然人客户最大单边持仓量为0）</w:t>
            </w:r>
          </w:p>
        </w:tc>
      </w:tr>
    </w:tbl>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本条所称限仓是指交易所规定会员、境外特殊参与者或者客户按单边计算的、可以持有某一期货合约投机持仓的最大数量。</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第五十二条 </w:t>
      </w:r>
      <w:r>
        <w:rPr>
          <w:rFonts w:hint="eastAsia" w:ascii="宋体" w:hAnsi="宋体" w:cs="宋体"/>
          <w:color w:val="000000"/>
          <w:kern w:val="0"/>
          <w:sz w:val="28"/>
          <w:szCs w:val="28"/>
          <w:highlight w:val="none"/>
        </w:rPr>
        <w:t>根据《郑州商品交易所期货交易风险控制管理办法》等有关规定，交易所对菜油期货合约交易保证金标准、涨跌停板幅度进行调整的，按照相关标准执行。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宋体" w:hAnsi="宋体" w:cs="宋体"/>
          <w:b/>
          <w:color w:val="000000"/>
          <w:kern w:val="0"/>
          <w:sz w:val="28"/>
          <w:szCs w:val="28"/>
          <w:highlight w:val="none"/>
        </w:rPr>
      </w:pPr>
      <w:r>
        <w:rPr>
          <w:rFonts w:hint="eastAsia" w:ascii="黑体" w:hAnsi="黑体" w:eastAsia="黑体" w:cs="宋体"/>
          <w:color w:val="000000"/>
          <w:kern w:val="0"/>
          <w:sz w:val="28"/>
          <w:szCs w:val="28"/>
          <w:highlight w:val="none"/>
        </w:rPr>
        <w:t xml:space="preserve">第五十三条 </w:t>
      </w:r>
      <w:r>
        <w:rPr>
          <w:rFonts w:hint="eastAsia" w:ascii="宋体" w:hAnsi="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宋体" w:hAnsi="宋体" w:cs="宋体"/>
          <w:b/>
          <w:color w:val="000000"/>
          <w:kern w:val="0"/>
          <w:sz w:val="28"/>
          <w:szCs w:val="28"/>
          <w:highlight w:val="none"/>
        </w:rPr>
      </w:pPr>
      <w:r>
        <w:rPr>
          <w:rFonts w:hint="eastAsia" w:ascii="黑体" w:hAnsi="黑体" w:eastAsia="黑体" w:cs="宋体"/>
          <w:color w:val="000000"/>
          <w:kern w:val="0"/>
          <w:sz w:val="28"/>
          <w:szCs w:val="28"/>
          <w:highlight w:val="none"/>
        </w:rPr>
        <w:t xml:space="preserve">第五十四条 </w:t>
      </w:r>
      <w:r>
        <w:rPr>
          <w:rFonts w:hint="eastAsia" w:ascii="宋体" w:hAnsi="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第五十五条 </w:t>
      </w:r>
      <w:r>
        <w:rPr>
          <w:rFonts w:hint="eastAsia" w:ascii="宋体" w:hAnsi="宋体" w:cs="宋体"/>
          <w:color w:val="000000"/>
          <w:kern w:val="0"/>
          <w:sz w:val="28"/>
          <w:szCs w:val="28"/>
          <w:highlight w:val="none"/>
        </w:rPr>
        <w:t>本细则解释权属于郑州商品交易所。</w:t>
      </w:r>
    </w:p>
    <w:p>
      <w:pPr>
        <w:tabs>
          <w:tab w:val="left" w:pos="1620"/>
        </w:tabs>
        <w:autoSpaceDE w:val="0"/>
        <w:autoSpaceDN w:val="0"/>
        <w:ind w:firstLine="560" w:firstLineChars="200"/>
        <w:rPr>
          <w:szCs w:val="32"/>
          <w:highlight w:val="none"/>
        </w:rPr>
      </w:pPr>
      <w:r>
        <w:rPr>
          <w:rFonts w:hint="eastAsia" w:ascii="黑体" w:hAnsi="黑体" w:eastAsia="黑体" w:cs="宋体"/>
          <w:color w:val="000000"/>
          <w:kern w:val="0"/>
          <w:sz w:val="28"/>
          <w:szCs w:val="28"/>
          <w:highlight w:val="none"/>
          <w:vertAlign w:val="baseline"/>
        </w:rPr>
        <w:t>第五十六条</w:t>
      </w:r>
      <w:r>
        <w:rPr>
          <w:rFonts w:hint="eastAsia" w:ascii="黑体" w:hAnsi="黑体" w:eastAsia="黑体" w:cs="宋体"/>
          <w:color w:val="000000"/>
          <w:kern w:val="0"/>
          <w:sz w:val="28"/>
          <w:szCs w:val="28"/>
          <w:highlight w:val="none"/>
          <w:vertAlign w:val="baseline"/>
          <w:lang w:val="en-US" w:eastAsia="zh-CN"/>
        </w:rPr>
        <w:t xml:space="preserve"> </w:t>
      </w:r>
      <w:r>
        <w:rPr>
          <w:rFonts w:hint="eastAsia" w:ascii="宋体" w:hAnsi="宋体" w:cs="宋体"/>
          <w:color w:val="000000"/>
          <w:kern w:val="0"/>
          <w:sz w:val="28"/>
          <w:szCs w:val="28"/>
          <w:highlight w:val="none"/>
          <w:vertAlign w:val="baseline"/>
        </w:rPr>
        <w:t>本细则自</w:t>
      </w:r>
      <w:r>
        <w:rPr>
          <w:rFonts w:hint="eastAsia" w:ascii="宋体" w:hAnsi="宋体" w:cs="宋体"/>
          <w:color w:val="000000"/>
          <w:kern w:val="0"/>
          <w:sz w:val="28"/>
          <w:szCs w:val="28"/>
          <w:highlight w:val="none"/>
          <w:lang w:val="en-US" w:eastAsia="zh-CN"/>
        </w:rPr>
        <w:t>2026</w:t>
      </w:r>
      <w:r>
        <w:rPr>
          <w:rFonts w:hint="eastAsia" w:ascii="宋体" w:hAnsi="宋体" w:eastAsia="宋体" w:cs="宋体"/>
          <w:color w:val="000000"/>
          <w:kern w:val="0"/>
          <w:sz w:val="28"/>
          <w:szCs w:val="28"/>
          <w:highlight w:val="none"/>
          <w:lang w:val="en-US" w:eastAsia="zh-CN"/>
        </w:rPr>
        <w:t>年</w:t>
      </w:r>
      <w:r>
        <w:rPr>
          <w:rFonts w:hint="default"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月</w:t>
      </w:r>
      <w:r>
        <w:rPr>
          <w:rFonts w:hint="default" w:ascii="宋体" w:hAnsi="宋体" w:cs="宋体"/>
          <w:color w:val="000000"/>
          <w:kern w:val="0"/>
          <w:sz w:val="28"/>
          <w:szCs w:val="28"/>
          <w:highlight w:val="none"/>
          <w:lang w:val="en-US" w:eastAsia="zh-CN"/>
        </w:rPr>
        <w:t>7</w:t>
      </w:r>
      <w:r>
        <w:rPr>
          <w:rFonts w:hint="eastAsia" w:ascii="宋体" w:hAnsi="宋体" w:eastAsia="宋体" w:cs="宋体"/>
          <w:color w:val="000000"/>
          <w:kern w:val="0"/>
          <w:sz w:val="28"/>
          <w:szCs w:val="28"/>
          <w:highlight w:val="none"/>
          <w:lang w:val="en-US" w:eastAsia="zh-CN"/>
        </w:rPr>
        <w:t>日</w:t>
      </w:r>
      <w:r>
        <w:rPr>
          <w:rFonts w:hint="eastAsia" w:ascii="宋体" w:hAnsi="宋体" w:cs="宋体"/>
          <w:color w:val="000000"/>
          <w:kern w:val="0"/>
          <w:sz w:val="28"/>
          <w:szCs w:val="28"/>
          <w:highlight w:val="none"/>
          <w:vertAlign w:val="baseline"/>
        </w:rPr>
        <w:t>起施行。</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br w:type="page"/>
      </w:r>
      <w:r>
        <w:rPr>
          <w:rFonts w:hint="eastAsia" w:ascii="黑体" w:hAnsi="黑体" w:eastAsia="黑体" w:cs="黑体"/>
          <w:sz w:val="32"/>
          <w:szCs w:val="32"/>
          <w:highlight w:val="none"/>
          <w:lang w:val="en-US" w:eastAsia="zh-CN"/>
        </w:rPr>
        <w:t>附件19</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郑州商品交易所花生仁期货业务细则</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对《郑州商品交易所花生仁期货业务细则》作如下修订：</w:t>
      </w:r>
    </w:p>
    <w:p>
      <w:pPr>
        <w:keepNext w:val="0"/>
        <w:keepLines w:val="0"/>
        <w:pageBreakBefore w:val="0"/>
        <w:widowControl w:val="0"/>
        <w:numPr>
          <w:ilvl w:val="0"/>
          <w:numId w:val="29"/>
        </w:numPr>
        <w:kinsoku/>
        <w:wordWrap/>
        <w:overflowPunct/>
        <w:topLinePunct w:val="0"/>
        <w:autoSpaceDE/>
        <w:autoSpaceDN/>
        <w:bidi w:val="0"/>
        <w:adjustRightInd w:val="0"/>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二条修订为：“交易所、会员、境外特殊参与者、境外中介机构、客户、交割厂库（以下简称厂库）、车（船）板交割服务机构（以下简称交割服务机构）、指定质检机构及期货市场其他参与者应当遵守本细则。”</w:t>
      </w:r>
    </w:p>
    <w:p>
      <w:pPr>
        <w:keepNext w:val="0"/>
        <w:keepLines w:val="0"/>
        <w:pageBreakBefore w:val="0"/>
        <w:widowControl w:val="0"/>
        <w:numPr>
          <w:ilvl w:val="0"/>
          <w:numId w:val="29"/>
        </w:numPr>
        <w:kinsoku/>
        <w:wordWrap/>
        <w:overflowPunct/>
        <w:topLinePunct w:val="0"/>
        <w:autoSpaceDE/>
        <w:autoSpaceDN/>
        <w:bidi w:val="0"/>
        <w:adjustRightInd w:val="0"/>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将第四章第五十四条第一款表格第二列表头修订为：“非期货公司会员、境外特殊非经纪参与者和客户的最大单边持仓量（手）”。</w:t>
      </w:r>
    </w:p>
    <w:p>
      <w:pPr>
        <w:keepNext w:val="0"/>
        <w:keepLines w:val="0"/>
        <w:pageBreakBefore w:val="0"/>
        <w:widowControl w:val="0"/>
        <w:numPr>
          <w:ilvl w:val="0"/>
          <w:numId w:val="29"/>
        </w:numPr>
        <w:kinsoku/>
        <w:wordWrap/>
        <w:overflowPunct/>
        <w:topLinePunct w:val="0"/>
        <w:autoSpaceDE/>
        <w:autoSpaceDN/>
        <w:bidi w:val="0"/>
        <w:adjustRightInd w:val="0"/>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将第四章第五十四条第二款修订为：“本条所称限仓是指交易所规定会员、境外特殊参与者或者客户按单边计算的、可以持有某一期货合约投机持仓的最大数量。”</w:t>
      </w:r>
    </w:p>
    <w:p>
      <w:pPr>
        <w:widowControl/>
        <w:jc w:val="center"/>
        <w:rPr>
          <w:rFonts w:hint="eastAsia" w:ascii="方正小标宋简体" w:hAnsi="方正小标宋简体" w:eastAsia="方正小标宋简体" w:cs="方正小标宋简体"/>
          <w:b w:val="0"/>
          <w:bCs/>
          <w:sz w:val="40"/>
          <w:szCs w:val="40"/>
          <w:highlight w:val="none"/>
          <w:lang w:val="en-US" w:eastAsia="zh-CN"/>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《郑州商品交易所花生仁期货业务细则》修订对照表</w:t>
      </w:r>
    </w:p>
    <w:p>
      <w:pPr>
        <w:widowControl/>
        <w:spacing w:line="360" w:lineRule="auto"/>
        <w:jc w:val="center"/>
        <w:rPr>
          <w:rFonts w:ascii="仿宋" w:hAnsi="仿宋" w:eastAsia="仿宋"/>
          <w:sz w:val="32"/>
          <w:szCs w:val="32"/>
          <w:highlight w:val="none"/>
        </w:rPr>
      </w:pPr>
      <w:r>
        <w:rPr>
          <w:rFonts w:hint="eastAsia" w:ascii="仿宋" w:hAnsi="仿宋" w:eastAsia="仿宋" w:cs="Calibri"/>
          <w:sz w:val="32"/>
          <w:szCs w:val="32"/>
          <w:highlight w:val="none"/>
        </w:rPr>
        <w:t>（删除线部分为删除，下划线加粗部分为修改增加）</w:t>
      </w:r>
    </w:p>
    <w:tbl>
      <w:tblPr>
        <w:tblStyle w:val="8"/>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rPr>
          <w:trHeight w:val="397" w:hRule="atLeast"/>
        </w:trPr>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现行条文</w:t>
            </w:r>
          </w:p>
        </w:tc>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修订草案条文</w:t>
            </w:r>
          </w:p>
        </w:tc>
      </w:tr>
      <w:tr>
        <w:tblPrEx>
          <w:tblCellMar>
            <w:top w:w="0" w:type="dxa"/>
            <w:left w:w="108" w:type="dxa"/>
            <w:bottom w:w="0" w:type="dxa"/>
            <w:right w:w="108" w:type="dxa"/>
          </w:tblCellMar>
        </w:tblPrEx>
        <w:trPr>
          <w:trHeight w:val="397"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30"/>
              </w:numPr>
              <w:ind w:firstLineChars="0"/>
              <w:jc w:val="center"/>
              <w:rPr>
                <w:rFonts w:hint="eastAsia" w:ascii="仿宋" w:hAnsi="仿宋" w:eastAsia="仿宋" w:cs="仿宋"/>
                <w:b/>
                <w:sz w:val="24"/>
                <w:szCs w:val="24"/>
                <w:highlight w:val="none"/>
              </w:rPr>
            </w:pPr>
            <w:r>
              <w:rPr>
                <w:rFonts w:hint="eastAsia" w:ascii="仿宋" w:hAnsi="仿宋" w:eastAsia="仿宋" w:cs="仿宋"/>
                <w:b/>
                <w:bCs w:val="0"/>
                <w:sz w:val="24"/>
                <w:szCs w:val="24"/>
                <w:highlight w:val="none"/>
              </w:rPr>
              <w:t>总则</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rPr>
            </w:pPr>
            <w:r>
              <w:rPr>
                <w:rFonts w:hint="eastAsia" w:ascii="仿宋" w:hAnsi="仿宋" w:eastAsia="仿宋" w:cs="仿宋"/>
                <w:b/>
                <w:sz w:val="24"/>
                <w:szCs w:val="24"/>
                <w:highlight w:val="none"/>
              </w:rPr>
              <w:t>第二条</w:t>
            </w:r>
            <w:r>
              <w:rPr>
                <w:rFonts w:hint="eastAsia" w:ascii="仿宋" w:hAnsi="仿宋" w:eastAsia="仿宋" w:cs="仿宋"/>
                <w:sz w:val="24"/>
                <w:szCs w:val="24"/>
                <w:highlight w:val="none"/>
              </w:rPr>
              <w:t xml:space="preserve"> 交易所、会员、境外经纪机构、客户、交割厂库（以下简称厂库）、车（船）板交割服务机构（以下简称交割服务机构）、指定质检机构及期货市场其他参与者应当遵守本细则。</w:t>
            </w:r>
          </w:p>
        </w:tc>
        <w:tc>
          <w:tcPr>
            <w:tcW w:w="4148" w:type="dxa"/>
            <w:tcBorders>
              <w:top w:val="single" w:color="auto" w:sz="4" w:space="0"/>
              <w:left w:val="single" w:color="auto" w:sz="4" w:space="0"/>
              <w:bottom w:val="single" w:color="auto" w:sz="4" w:space="0"/>
              <w:right w:val="single" w:color="auto" w:sz="4" w:space="0"/>
            </w:tcBorders>
            <w:noWrap w:val="0"/>
            <w:vAlign w:val="top"/>
          </w:tcPr>
          <w:p>
            <w:pPr>
              <w:ind w:firstLine="480"/>
              <w:rPr>
                <w:rFonts w:hint="eastAsia" w:ascii="仿宋" w:hAnsi="仿宋" w:eastAsia="仿宋" w:cs="仿宋"/>
                <w:sz w:val="24"/>
                <w:szCs w:val="24"/>
                <w:highlight w:val="none"/>
              </w:rPr>
            </w:pPr>
            <w:r>
              <w:rPr>
                <w:rFonts w:hint="eastAsia" w:ascii="仿宋" w:hAnsi="仿宋" w:eastAsia="仿宋" w:cs="仿宋"/>
                <w:b/>
                <w:sz w:val="24"/>
                <w:szCs w:val="24"/>
                <w:highlight w:val="none"/>
              </w:rPr>
              <w:t>第二条</w:t>
            </w:r>
            <w:r>
              <w:rPr>
                <w:rFonts w:hint="eastAsia" w:ascii="仿宋" w:hAnsi="仿宋" w:eastAsia="仿宋" w:cs="仿宋"/>
                <w:sz w:val="24"/>
                <w:szCs w:val="24"/>
                <w:highlight w:val="none"/>
              </w:rPr>
              <w:t xml:space="preserve"> 交易所、会员、</w:t>
            </w:r>
            <w:r>
              <w:rPr>
                <w:rFonts w:hint="eastAsia" w:ascii="仿宋" w:hAnsi="仿宋" w:eastAsia="仿宋" w:cs="仿宋"/>
                <w:b/>
                <w:sz w:val="24"/>
                <w:szCs w:val="24"/>
                <w:highlight w:val="none"/>
                <w:u w:val="single"/>
              </w:rPr>
              <w:t>境外特殊参与者、</w:t>
            </w:r>
            <w:r>
              <w:rPr>
                <w:rFonts w:hint="eastAsia" w:ascii="仿宋" w:hAnsi="仿宋" w:eastAsia="仿宋" w:cs="仿宋"/>
                <w:sz w:val="24"/>
                <w:szCs w:val="24"/>
                <w:highlight w:val="none"/>
              </w:rPr>
              <w:t>境外</w:t>
            </w:r>
            <w:r>
              <w:rPr>
                <w:rFonts w:hint="eastAsia" w:ascii="仿宋" w:hAnsi="仿宋" w:eastAsia="仿宋" w:cs="仿宋"/>
                <w:dstrike/>
                <w:sz w:val="24"/>
                <w:szCs w:val="24"/>
                <w:highlight w:val="none"/>
              </w:rPr>
              <w:t>经纪</w:t>
            </w:r>
            <w:r>
              <w:rPr>
                <w:rFonts w:hint="eastAsia" w:ascii="仿宋" w:hAnsi="仿宋" w:eastAsia="仿宋" w:cs="仿宋"/>
                <w:b/>
                <w:sz w:val="24"/>
                <w:szCs w:val="24"/>
                <w:highlight w:val="none"/>
                <w:u w:val="single"/>
              </w:rPr>
              <w:t>中介</w:t>
            </w:r>
            <w:r>
              <w:rPr>
                <w:rFonts w:hint="eastAsia" w:ascii="仿宋" w:hAnsi="仿宋" w:eastAsia="仿宋" w:cs="仿宋"/>
                <w:sz w:val="24"/>
                <w:szCs w:val="24"/>
                <w:highlight w:val="none"/>
              </w:rPr>
              <w:t>机构、客户、交割厂库（以下简称厂库）、车（船）板交割服务机构（以下简称交割服务机构）、指定质检机构及期货市场其他参与者应当遵守本细则。</w:t>
            </w:r>
          </w:p>
        </w:tc>
      </w:tr>
      <w:tr>
        <w:tblPrEx>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sz w:val="24"/>
                <w:szCs w:val="24"/>
                <w:highlight w:val="none"/>
              </w:rPr>
            </w:pPr>
            <w:r>
              <w:rPr>
                <w:rFonts w:hint="eastAsia" w:ascii="仿宋" w:hAnsi="仿宋" w:eastAsia="仿宋"/>
                <w:b/>
                <w:sz w:val="24"/>
                <w:highlight w:val="none"/>
                <w:lang w:eastAsia="zh-CN"/>
              </w:rPr>
              <w:t>第四章</w:t>
            </w:r>
            <w:r>
              <w:rPr>
                <w:rFonts w:hint="eastAsia" w:ascii="仿宋" w:hAnsi="仿宋" w:eastAsia="仿宋"/>
                <w:b/>
                <w:sz w:val="24"/>
                <w:highlight w:val="none"/>
                <w:lang w:val="en-US" w:eastAsia="zh-CN"/>
              </w:rPr>
              <w:t xml:space="preserve"> 风险管理</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第五十四条</w:t>
            </w:r>
            <w:r>
              <w:rPr>
                <w:rFonts w:hint="eastAsia" w:ascii="仿宋" w:hAnsi="仿宋" w:eastAsia="仿宋" w:cs="仿宋"/>
                <w:b/>
                <w:sz w:val="24"/>
                <w:szCs w:val="24"/>
                <w:highlight w:val="none"/>
                <w:lang w:val="en-US" w:eastAsia="zh-CN"/>
              </w:rPr>
              <w:t xml:space="preserve"> </w:t>
            </w:r>
            <w:r>
              <w:rPr>
                <w:rFonts w:hint="default" w:ascii="Times New Roman" w:hAnsi="Times New Roman" w:eastAsia="仿宋" w:cs="Times New Roman"/>
                <w:b/>
                <w:sz w:val="24"/>
                <w:szCs w:val="24"/>
                <w:highlight w:val="none"/>
                <w:lang w:val="en-US" w:eastAsia="zh-CN"/>
              </w:rPr>
              <w:t>第一款表格</w:t>
            </w:r>
            <w:r>
              <w:rPr>
                <w:rFonts w:hint="eastAsia" w:eastAsia="仿宋" w:cs="Times New Roman"/>
                <w:b/>
                <w:sz w:val="24"/>
                <w:szCs w:val="24"/>
                <w:highlight w:val="none"/>
                <w:lang w:val="en-US" w:eastAsia="zh-CN"/>
              </w:rPr>
              <w:t xml:space="preserve">第一行第二列 </w:t>
            </w:r>
            <w:r>
              <w:rPr>
                <w:rFonts w:hint="eastAsia" w:ascii="仿宋" w:hAnsi="仿宋" w:eastAsia="仿宋" w:cs="仿宋"/>
                <w:sz w:val="24"/>
                <w:szCs w:val="24"/>
                <w:highlight w:val="none"/>
                <w:lang w:val="en-US" w:eastAsia="zh-CN"/>
              </w:rPr>
              <w:t>非期货公司会员和客户的最大单边持仓量（手）</w:t>
            </w:r>
          </w:p>
          <w:p>
            <w:pPr>
              <w:widowControl/>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widowControl/>
              <w:ind w:firstLine="480"/>
              <w:rPr>
                <w:rFonts w:hint="eastAsia" w:ascii="仿宋" w:hAnsi="仿宋" w:eastAsia="仿宋" w:cs="仿宋"/>
                <w:b/>
                <w:sz w:val="24"/>
                <w:szCs w:val="24"/>
                <w:highlight w:val="none"/>
              </w:rPr>
            </w:pPr>
            <w:r>
              <w:rPr>
                <w:rFonts w:hint="default" w:ascii="仿宋" w:hAnsi="仿宋" w:eastAsia="仿宋" w:cs="仿宋"/>
                <w:sz w:val="24"/>
                <w:szCs w:val="24"/>
                <w:highlight w:val="none"/>
                <w:lang w:val="en-US" w:eastAsia="zh-CN"/>
              </w:rPr>
              <w:t>本条所称限仓是指交易所规定会员或者客户按单边计算的、可以持有某一期货合约投机持仓的最大数量。</w:t>
            </w:r>
          </w:p>
        </w:tc>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color w:val="000000"/>
                <w:sz w:val="24"/>
                <w:szCs w:val="24"/>
                <w:highlight w:val="none"/>
                <w:lang w:val="en-US" w:eastAsia="zh-CN"/>
              </w:rPr>
            </w:pPr>
            <w:r>
              <w:rPr>
                <w:rFonts w:hint="eastAsia" w:ascii="仿宋" w:hAnsi="仿宋" w:eastAsia="仿宋" w:cs="仿宋"/>
                <w:b/>
                <w:color w:val="000000"/>
                <w:sz w:val="24"/>
                <w:szCs w:val="24"/>
                <w:highlight w:val="none"/>
                <w:lang w:eastAsia="zh-CN"/>
              </w:rPr>
              <w:t>第五十四条</w:t>
            </w:r>
            <w:r>
              <w:rPr>
                <w:rFonts w:hint="eastAsia" w:ascii="仿宋" w:hAnsi="仿宋" w:eastAsia="仿宋" w:cs="仿宋"/>
                <w:b/>
                <w:color w:val="000000"/>
                <w:sz w:val="24"/>
                <w:szCs w:val="24"/>
                <w:highlight w:val="none"/>
                <w:lang w:val="en-US" w:eastAsia="zh-CN"/>
              </w:rPr>
              <w:t xml:space="preserve"> </w:t>
            </w:r>
            <w:r>
              <w:rPr>
                <w:rFonts w:hint="default" w:ascii="Times New Roman" w:hAnsi="Times New Roman" w:eastAsia="仿宋" w:cs="Times New Roman"/>
                <w:b/>
                <w:sz w:val="24"/>
                <w:szCs w:val="24"/>
                <w:highlight w:val="none"/>
                <w:lang w:val="en-US" w:eastAsia="zh-CN"/>
              </w:rPr>
              <w:t>第一款表格</w:t>
            </w:r>
            <w:r>
              <w:rPr>
                <w:rFonts w:hint="eastAsia" w:eastAsia="仿宋" w:cs="Times New Roman"/>
                <w:b/>
                <w:sz w:val="24"/>
                <w:szCs w:val="24"/>
                <w:highlight w:val="none"/>
                <w:lang w:val="en-US" w:eastAsia="zh-CN"/>
              </w:rPr>
              <w:t xml:space="preserve">第一行第二列 </w:t>
            </w:r>
            <w:r>
              <w:rPr>
                <w:rFonts w:hint="eastAsia" w:ascii="仿宋" w:hAnsi="仿宋" w:eastAsia="仿宋" w:cs="仿宋"/>
                <w:color w:val="000000"/>
                <w:sz w:val="24"/>
                <w:szCs w:val="24"/>
                <w:highlight w:val="none"/>
                <w:lang w:val="en-US" w:eastAsia="zh-CN"/>
              </w:rPr>
              <w:t>非期货公司会员</w:t>
            </w:r>
            <w:r>
              <w:rPr>
                <w:rFonts w:hint="eastAsia" w:ascii="仿宋" w:hAnsi="仿宋" w:eastAsia="仿宋" w:cs="仿宋"/>
                <w:b/>
                <w:bCs/>
                <w:color w:val="000000"/>
                <w:sz w:val="24"/>
                <w:szCs w:val="24"/>
                <w:highlight w:val="none"/>
                <w:u w:val="single"/>
                <w:lang w:val="en-US" w:eastAsia="zh-CN"/>
              </w:rPr>
              <w:t>、境外特殊非经纪参与者</w:t>
            </w:r>
            <w:r>
              <w:rPr>
                <w:rFonts w:hint="eastAsia" w:ascii="仿宋" w:hAnsi="仿宋" w:eastAsia="仿宋" w:cs="仿宋"/>
                <w:color w:val="000000"/>
                <w:sz w:val="24"/>
                <w:szCs w:val="24"/>
                <w:highlight w:val="none"/>
                <w:lang w:val="en-US" w:eastAsia="zh-CN"/>
              </w:rPr>
              <w:t>和客户的最大单边持仓量（手）</w:t>
            </w:r>
          </w:p>
          <w:p>
            <w:pPr>
              <w:widowControl/>
              <w:ind w:firstLine="48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p>
            <w:pPr>
              <w:ind w:firstLine="480"/>
              <w:rPr>
                <w:rFonts w:hint="eastAsia" w:ascii="仿宋" w:hAnsi="仿宋" w:eastAsia="仿宋" w:cs="仿宋"/>
                <w:b/>
                <w:sz w:val="24"/>
                <w:szCs w:val="24"/>
                <w:highlight w:val="none"/>
              </w:rPr>
            </w:pPr>
            <w:r>
              <w:rPr>
                <w:rFonts w:hint="default" w:ascii="仿宋" w:hAnsi="仿宋" w:eastAsia="仿宋" w:cs="仿宋"/>
                <w:color w:val="000000"/>
                <w:sz w:val="24"/>
                <w:szCs w:val="24"/>
                <w:highlight w:val="none"/>
                <w:lang w:val="en-US" w:eastAsia="zh-CN"/>
              </w:rPr>
              <w:t>本条所称限仓是指交易所规定会员</w:t>
            </w:r>
            <w:r>
              <w:rPr>
                <w:rFonts w:hint="eastAsia" w:ascii="仿宋" w:hAnsi="仿宋" w:eastAsia="仿宋" w:cs="仿宋"/>
                <w:b/>
                <w:bCs/>
                <w:color w:val="000000"/>
                <w:sz w:val="24"/>
                <w:szCs w:val="24"/>
                <w:highlight w:val="none"/>
                <w:u w:val="single"/>
                <w:lang w:val="en-US" w:eastAsia="zh-CN"/>
              </w:rPr>
              <w:t>、境外特殊参与者</w:t>
            </w:r>
            <w:r>
              <w:rPr>
                <w:rFonts w:hint="default" w:ascii="仿宋" w:hAnsi="仿宋" w:eastAsia="仿宋" w:cs="仿宋"/>
                <w:color w:val="000000"/>
                <w:sz w:val="24"/>
                <w:szCs w:val="24"/>
                <w:highlight w:val="none"/>
                <w:lang w:val="en-US" w:eastAsia="zh-CN"/>
              </w:rPr>
              <w:t>或者客户按单边计算的、可以持有某一期货合约投机持仓的最大数量。</w:t>
            </w:r>
          </w:p>
        </w:tc>
      </w:tr>
    </w:tbl>
    <w:p>
      <w:pPr>
        <w:tabs>
          <w:tab w:val="left" w:pos="1620"/>
        </w:tabs>
        <w:autoSpaceDE w:val="0"/>
        <w:autoSpaceDN w:val="0"/>
        <w:jc w:val="center"/>
        <w:outlineLvl w:val="1"/>
        <w:rPr>
          <w:rFonts w:hint="eastAsia" w:ascii="宋体" w:hAnsi="宋体" w:eastAsia="宋体" w:cs="Times New Roman"/>
          <w:b/>
          <w:sz w:val="44"/>
          <w:szCs w:val="44"/>
          <w:highlight w:val="none"/>
        </w:rPr>
      </w:pPr>
      <w:r>
        <w:rPr>
          <w:rFonts w:hint="eastAsia" w:ascii="宋体" w:hAnsi="宋体" w:eastAsia="宋体" w:cs="Times New Roman"/>
          <w:b/>
          <w:sz w:val="44"/>
          <w:szCs w:val="44"/>
          <w:highlight w:val="none"/>
        </w:rPr>
        <w:br w:type="page"/>
      </w:r>
      <w:r>
        <w:rPr>
          <w:rFonts w:hint="eastAsia" w:ascii="宋体" w:hAnsi="宋体" w:eastAsia="宋体" w:cs="Times New Roman"/>
          <w:b/>
          <w:sz w:val="44"/>
          <w:szCs w:val="44"/>
          <w:highlight w:val="none"/>
        </w:rPr>
        <w:t>郑州商品交易所花</w:t>
      </w:r>
      <w:r>
        <w:rPr>
          <w:rFonts w:hint="eastAsia" w:ascii="宋体" w:hAnsi="宋体" w:cs="Times New Roman"/>
          <w:b/>
          <w:sz w:val="44"/>
          <w:szCs w:val="44"/>
          <w:highlight w:val="none"/>
          <w:lang w:eastAsia="zh-CN"/>
        </w:rPr>
        <w:t>生仁</w:t>
      </w:r>
      <w:r>
        <w:rPr>
          <w:rFonts w:hint="eastAsia" w:ascii="宋体" w:hAnsi="宋体" w:eastAsia="宋体" w:cs="Times New Roman"/>
          <w:b/>
          <w:sz w:val="44"/>
          <w:szCs w:val="44"/>
          <w:highlight w:val="none"/>
        </w:rPr>
        <w:t>期货业务细则</w:t>
      </w:r>
    </w:p>
    <w:p>
      <w:pPr>
        <w:tabs>
          <w:tab w:val="left" w:pos="1620"/>
        </w:tabs>
        <w:autoSpaceDE w:val="0"/>
        <w:autoSpaceDN w:val="0"/>
        <w:jc w:val="center"/>
        <w:outlineLvl w:val="1"/>
        <w:rPr>
          <w:rFonts w:hint="eastAsia" w:ascii="宋体" w:hAnsi="宋体" w:eastAsia="宋体" w:cs="Times New Roman"/>
          <w:b/>
          <w:sz w:val="44"/>
          <w:szCs w:val="44"/>
          <w:highlight w:val="none"/>
        </w:rPr>
      </w:pPr>
    </w:p>
    <w:p>
      <w:pPr>
        <w:snapToGrid w:val="0"/>
        <w:spacing w:before="0" w:after="0" w:line="360" w:lineRule="auto"/>
        <w:ind w:firstLine="480" w:firstLineChars="200"/>
        <w:rPr>
          <w:rFonts w:ascii="楷体" w:hAnsi="楷体" w:eastAsia="楷体" w:cs="Times New Roman"/>
          <w:b/>
          <w:sz w:val="24"/>
          <w:szCs w:val="24"/>
          <w:highlight w:val="none"/>
        </w:rPr>
      </w:pPr>
      <w:r>
        <w:rPr>
          <w:rFonts w:hint="eastAsia" w:ascii="宋体" w:hAnsi="宋体"/>
          <w:sz w:val="24"/>
          <w:highlight w:val="none"/>
        </w:rPr>
        <w:t>（</w:t>
      </w:r>
      <w:r>
        <w:rPr>
          <w:rFonts w:hint="eastAsia" w:ascii="宋体" w:hAnsi="宋体" w:cs="宋体"/>
          <w:b w:val="0"/>
          <w:bCs w:val="0"/>
          <w:color w:val="auto"/>
          <w:kern w:val="0"/>
          <w:sz w:val="24"/>
          <w:highlight w:val="none"/>
          <w:shd w:val="clear" w:color="auto" w:fill="FFFFFF"/>
          <w:lang w:eastAsia="zh-CN"/>
        </w:rPr>
        <w:t>202</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年1</w:t>
      </w:r>
      <w:r>
        <w:rPr>
          <w:rFonts w:hint="eastAsia" w:ascii="宋体" w:hAnsi="宋体" w:cs="宋体"/>
          <w:b w:val="0"/>
          <w:bCs w:val="0"/>
          <w:color w:val="auto"/>
          <w:kern w:val="0"/>
          <w:sz w:val="24"/>
          <w:highlight w:val="none"/>
          <w:shd w:val="clear" w:color="auto" w:fill="FFFFFF"/>
          <w:lang w:val="en-US" w:eastAsia="zh-CN"/>
        </w:rPr>
        <w:t>2</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日</w:t>
      </w:r>
      <w:r>
        <w:rPr>
          <w:rFonts w:hint="eastAsia" w:ascii="宋体" w:hAnsi="宋体" w:cs="宋体"/>
          <w:b w:val="0"/>
          <w:bCs w:val="0"/>
          <w:color w:val="auto"/>
          <w:kern w:val="0"/>
          <w:sz w:val="24"/>
          <w:highlight w:val="none"/>
          <w:shd w:val="clear" w:color="auto" w:fill="FFFFFF"/>
        </w:rPr>
        <w:t>郑州商品交易所第八届理事会</w:t>
      </w:r>
      <w:r>
        <w:rPr>
          <w:rFonts w:hint="eastAsia" w:ascii="宋体" w:hAnsi="宋体" w:cs="宋体"/>
          <w:b w:val="0"/>
          <w:bCs w:val="0"/>
          <w:color w:val="auto"/>
          <w:kern w:val="0"/>
          <w:sz w:val="24"/>
          <w:highlight w:val="none"/>
          <w:shd w:val="clear" w:color="auto" w:fill="FFFFFF"/>
          <w:lang w:val="en-US" w:eastAsia="zh-CN"/>
        </w:rPr>
        <w:t>第三十次会议审议通过，2026年1月</w:t>
      </w:r>
      <w:r>
        <w:rPr>
          <w:rFonts w:hint="default" w:ascii="宋体" w:hAnsi="宋体" w:cs="宋体"/>
          <w:b w:val="0"/>
          <w:bCs w:val="0"/>
          <w:color w:val="auto"/>
          <w:kern w:val="0"/>
          <w:sz w:val="24"/>
          <w:highlight w:val="none"/>
          <w:shd w:val="clear" w:color="auto" w:fill="FFFFFF"/>
          <w:lang w:val="en-US" w:eastAsia="zh-CN"/>
        </w:rPr>
        <w:t>1</w:t>
      </w:r>
      <w:r>
        <w:rPr>
          <w:rFonts w:hint="eastAsia" w:ascii="宋体" w:hAnsi="宋体" w:cs="宋体"/>
          <w:b w:val="0"/>
          <w:bCs w:val="0"/>
          <w:color w:val="auto"/>
          <w:kern w:val="0"/>
          <w:sz w:val="24"/>
          <w:highlight w:val="none"/>
          <w:shd w:val="clear" w:color="auto" w:fill="FFFFFF"/>
          <w:lang w:val="en-US" w:eastAsia="zh-CN"/>
        </w:rPr>
        <w:t>6日〔2026〕12号公告发布，关于车（船）板交割流程优化的修订适用于花生期货2603及后续合约，关于标准仓单调整为“非通用”性质的修订适用于花生期货2610及后续合约，其他修订自发布之日起施行；2026年4月7日郑州商品交易所第八届理事会第三十四次会议审议通过，2026年</w:t>
      </w:r>
      <w:r>
        <w:rPr>
          <w:rFonts w:hint="default"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val="en-US" w:eastAsia="zh-CN"/>
        </w:rPr>
        <w:t>月</w:t>
      </w:r>
      <w:r>
        <w:rPr>
          <w:rFonts w:hint="default" w:ascii="宋体" w:hAnsi="宋体" w:cs="宋体"/>
          <w:b w:val="0"/>
          <w:bCs w:val="0"/>
          <w:color w:val="auto"/>
          <w:kern w:val="0"/>
          <w:sz w:val="24"/>
          <w:highlight w:val="none"/>
          <w:shd w:val="clear" w:color="auto" w:fill="FFFFFF"/>
          <w:lang w:val="en-US" w:eastAsia="zh-CN"/>
        </w:rPr>
        <w:t>7</w:t>
      </w:r>
      <w:r>
        <w:rPr>
          <w:rFonts w:hint="eastAsia" w:ascii="宋体" w:hAnsi="宋体" w:cs="宋体"/>
          <w:b w:val="0"/>
          <w:bCs w:val="0"/>
          <w:color w:val="auto"/>
          <w:kern w:val="0"/>
          <w:sz w:val="24"/>
          <w:highlight w:val="none"/>
          <w:shd w:val="clear" w:color="auto" w:fill="FFFFFF"/>
          <w:lang w:val="en-US" w:eastAsia="zh-CN"/>
        </w:rPr>
        <w:t>日〔2026〕68号公告发布，自发布之日起实施</w:t>
      </w:r>
      <w:r>
        <w:rPr>
          <w:rFonts w:hint="eastAsia" w:ascii="宋体" w:hAnsi="宋体"/>
          <w:sz w:val="24"/>
          <w:highlight w:val="none"/>
        </w:rPr>
        <w:t>）</w:t>
      </w:r>
    </w:p>
    <w:p>
      <w:pPr>
        <w:pStyle w:val="15"/>
        <w:numPr>
          <w:ilvl w:val="0"/>
          <w:numId w:val="0"/>
        </w:numPr>
        <w:tabs>
          <w:tab w:val="left" w:pos="1620"/>
        </w:tabs>
        <w:autoSpaceDE w:val="0"/>
        <w:autoSpaceDN w:val="0"/>
        <w:ind w:left="0" w:firstLine="0" w:firstLineChars="0"/>
        <w:jc w:val="center"/>
        <w:rPr>
          <w:rFonts w:ascii="黑体" w:hAnsi="黑体" w:eastAsia="黑体"/>
          <w:color w:val="000000"/>
          <w:sz w:val="30"/>
          <w:szCs w:val="30"/>
          <w:highlight w:val="none"/>
        </w:rPr>
      </w:pPr>
      <w:r>
        <w:rPr>
          <w:rFonts w:hint="eastAsia" w:ascii="黑体" w:hAnsi="黑体" w:eastAsia="黑体" w:cs="宋体"/>
          <w:color w:val="000000"/>
          <w:kern w:val="0"/>
          <w:sz w:val="30"/>
          <w:szCs w:val="30"/>
          <w:highlight w:val="none"/>
          <w:lang w:eastAsia="zh-CN"/>
        </w:rPr>
        <w:t>第一章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cs="宋体"/>
          <w:color w:val="000000"/>
          <w:kern w:val="0"/>
          <w:sz w:val="28"/>
          <w:szCs w:val="28"/>
          <w:highlight w:val="none"/>
        </w:rPr>
        <w:t>为了规范郑州商品交易所（以下简称交易所）花生仁（以下简称花生）期货相关业务，根据《郑州商品交易所交易规则》及花生期货合约，制定本细则。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cs="宋体"/>
          <w:color w:val="000000"/>
          <w:kern w:val="0"/>
          <w:sz w:val="28"/>
          <w:szCs w:val="28"/>
          <w:highlight w:val="none"/>
        </w:rPr>
        <w:t>交易所、会员、境外特殊参与者、境外中介机构、客户、交割厂库（以下简称厂库）、车（船）板交割服务机构（以下简称交割服务机构）、指定质检机构及期货市场其他参与者应当遵守本细则。</w:t>
      </w:r>
    </w:p>
    <w:p>
      <w:pPr>
        <w:pStyle w:val="15"/>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第二章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交易业务</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cs="宋体"/>
          <w:color w:val="000000"/>
          <w:kern w:val="0"/>
          <w:sz w:val="28"/>
          <w:szCs w:val="28"/>
          <w:highlight w:val="none"/>
        </w:rPr>
        <w:t>花生期货合约交易单位为5吨/手。</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cs="宋体"/>
          <w:color w:val="000000"/>
          <w:kern w:val="0"/>
          <w:sz w:val="28"/>
          <w:szCs w:val="28"/>
          <w:highlight w:val="none"/>
        </w:rPr>
        <w:t>花生期货合约报价单位为元（人民币）/吨。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cs="宋体"/>
          <w:color w:val="000000"/>
          <w:kern w:val="0"/>
          <w:sz w:val="28"/>
          <w:szCs w:val="28"/>
          <w:highlight w:val="none"/>
        </w:rPr>
        <w:t>花生期货合约最小变动价位为2元/吨。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cs="宋体"/>
          <w:color w:val="000000"/>
          <w:kern w:val="0"/>
          <w:sz w:val="28"/>
          <w:szCs w:val="28"/>
          <w:highlight w:val="none"/>
        </w:rPr>
        <w:t>花生期货合约交割月份为1、3、4、</w:t>
      </w:r>
      <w:r>
        <w:rPr>
          <w:rFonts w:hint="eastAsia" w:ascii="宋体" w:hAnsi="宋体" w:cs="宋体"/>
          <w:color w:val="000000"/>
          <w:kern w:val="0"/>
          <w:sz w:val="28"/>
          <w:szCs w:val="28"/>
          <w:highlight w:val="none"/>
          <w:lang w:val="en-US" w:eastAsia="zh-CN"/>
        </w:rPr>
        <w:t>5、</w:t>
      </w:r>
      <w:r>
        <w:rPr>
          <w:rFonts w:hint="eastAsia" w:ascii="宋体" w:hAnsi="宋体" w:cs="宋体"/>
          <w:color w:val="000000"/>
          <w:kern w:val="0"/>
          <w:sz w:val="28"/>
          <w:szCs w:val="28"/>
          <w:highlight w:val="none"/>
        </w:rPr>
        <w:t>10、11、12月。</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cs="宋体"/>
          <w:color w:val="000000"/>
          <w:kern w:val="0"/>
          <w:sz w:val="28"/>
          <w:szCs w:val="28"/>
          <w:highlight w:val="none"/>
        </w:rPr>
        <w:t>花生</w:t>
      </w:r>
      <w:r>
        <w:rPr>
          <w:rFonts w:ascii="宋体" w:hAnsi="宋体" w:cs="宋体"/>
          <w:color w:val="000000"/>
          <w:kern w:val="0"/>
          <w:sz w:val="28"/>
          <w:szCs w:val="28"/>
          <w:highlight w:val="none"/>
        </w:rPr>
        <w:t>期货</w:t>
      </w:r>
      <w:r>
        <w:rPr>
          <w:rFonts w:hint="eastAsia" w:ascii="宋体" w:hAnsi="宋体" w:cs="宋体"/>
          <w:color w:val="000000"/>
          <w:kern w:val="0"/>
          <w:sz w:val="28"/>
          <w:szCs w:val="28"/>
          <w:highlight w:val="none"/>
        </w:rPr>
        <w:t>合约交易指令</w:t>
      </w:r>
      <w:r>
        <w:rPr>
          <w:rFonts w:hint="eastAsia" w:ascii="宋体" w:hAnsi="宋体"/>
          <w:sz w:val="28"/>
          <w:szCs w:val="28"/>
          <w:highlight w:val="none"/>
        </w:rPr>
        <w:t>每次最小下单量为1手，</w:t>
      </w:r>
      <w:r>
        <w:rPr>
          <w:rFonts w:hint="eastAsia" w:ascii="宋体" w:hAnsi="宋体" w:cs="宋体"/>
          <w:color w:val="000000"/>
          <w:kern w:val="0"/>
          <w:sz w:val="28"/>
          <w:szCs w:val="28"/>
          <w:highlight w:val="none"/>
        </w:rPr>
        <w:t>限价指令每次最大下单量为1000手，市价指令每次最大下单量为200手。</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sz w:val="28"/>
          <w:szCs w:val="28"/>
          <w:highlight w:val="none"/>
        </w:rPr>
        <w:t>交易所可以根据市场情况，对花生期货合约交易指令每次最小下单量、每次最大下单量进行调整，具体标准由交易所另行公布。</w:t>
      </w:r>
    </w:p>
    <w:p>
      <w:pPr>
        <w:tabs>
          <w:tab w:val="left" w:pos="1620"/>
        </w:tabs>
        <w:autoSpaceDE w:val="0"/>
        <w:autoSpaceDN w:val="0"/>
        <w:ind w:firstLine="560" w:firstLineChars="200"/>
        <w:rPr>
          <w:rFonts w:hint="eastAsia" w:ascii="宋体" w:hAnsi="宋体"/>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花生期货合约交易时间为上午9:00—11:30，下午13:30—15:00；其中，上午10:15—10:30为休息时间。</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交易所另行公告花生期货合约开展夜盘交易的，以交易所公告为准。交易所可以根据市场情况，暂停、取消花生期货合约夜盘交易或者对夜盘交易时间进行调整，具体由交易所另行公告。</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cs="宋体"/>
          <w:color w:val="000000"/>
          <w:kern w:val="0"/>
          <w:sz w:val="28"/>
          <w:szCs w:val="28"/>
          <w:highlight w:val="none"/>
        </w:rPr>
        <w:t>花生期货合约最后交易日为合约交割月份的第10个交易日。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cs="宋体"/>
          <w:color w:val="000000"/>
          <w:kern w:val="0"/>
          <w:sz w:val="28"/>
          <w:szCs w:val="28"/>
          <w:highlight w:val="none"/>
        </w:rPr>
        <w:t>花生期货合约交易代码为PK</w:t>
      </w:r>
      <w:r>
        <w:rPr>
          <w:rFonts w:ascii="宋体" w:hAnsi="宋体" w:cs="宋体"/>
          <w:color w:val="000000"/>
          <w:kern w:val="0"/>
          <w:sz w:val="28"/>
          <w:szCs w:val="28"/>
          <w:highlight w:val="none"/>
        </w:rPr>
        <w:t>。</w:t>
      </w:r>
    </w:p>
    <w:p>
      <w:pPr>
        <w:pStyle w:val="15"/>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第三章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交割业务</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宋体" w:hAnsi="宋体" w:cs="宋体"/>
          <w:b/>
          <w:color w:val="000000"/>
          <w:kern w:val="0"/>
          <w:sz w:val="28"/>
          <w:szCs w:val="28"/>
          <w:highlight w:val="none"/>
        </w:rPr>
        <w:t>第一节 一般规定</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cs="宋体"/>
          <w:color w:val="000000"/>
          <w:kern w:val="0"/>
          <w:sz w:val="28"/>
          <w:szCs w:val="28"/>
          <w:highlight w:val="none"/>
        </w:rPr>
        <w:t>花生期货适用期货转现货、</w:t>
      </w:r>
      <w:r>
        <w:rPr>
          <w:rFonts w:hint="eastAsia"/>
          <w:sz w:val="28"/>
          <w:szCs w:val="28"/>
          <w:highlight w:val="none"/>
        </w:rPr>
        <w:t>厂库标准仓单交割和车（船）板交割。</w:t>
      </w:r>
    </w:p>
    <w:p>
      <w:pPr>
        <w:tabs>
          <w:tab w:val="left" w:pos="1620"/>
        </w:tabs>
        <w:autoSpaceDE w:val="0"/>
        <w:autoSpaceDN w:val="0"/>
        <w:ind w:firstLine="560" w:firstLineChars="200"/>
        <w:rPr>
          <w:sz w:val="28"/>
          <w:szCs w:val="28"/>
          <w:highlight w:val="none"/>
        </w:rPr>
      </w:pPr>
      <w:r>
        <w:rPr>
          <w:rFonts w:hint="eastAsia"/>
          <w:sz w:val="28"/>
          <w:szCs w:val="28"/>
          <w:highlight w:val="none"/>
        </w:rPr>
        <w:t>花生期货滚动交割的配对方式为响应配对和组织配对。</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cs="宋体"/>
          <w:color w:val="000000"/>
          <w:kern w:val="0"/>
          <w:sz w:val="28"/>
          <w:szCs w:val="28"/>
          <w:highlight w:val="none"/>
        </w:rPr>
        <w:t>花生期货的交割单位为5吨</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cs="宋体"/>
          <w:color w:val="000000"/>
          <w:kern w:val="0"/>
          <w:sz w:val="28"/>
          <w:szCs w:val="28"/>
          <w:highlight w:val="none"/>
        </w:rPr>
        <w:t>花生期货标准仓单交割的最后交割日为合约交割月份的第13个交易日；车（船）板交割的最后交割日为合约交割月份的次月10日。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cs="宋体"/>
          <w:color w:val="000000"/>
          <w:kern w:val="0"/>
          <w:sz w:val="28"/>
          <w:szCs w:val="28"/>
          <w:highlight w:val="none"/>
        </w:rPr>
        <w:t>花生期货标准仓单为厂库标准仓单。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花生期货标准仓单为</w:t>
      </w:r>
      <w:r>
        <w:rPr>
          <w:rFonts w:hint="eastAsia" w:ascii="宋体" w:hAnsi="宋体" w:cs="宋体"/>
          <w:color w:val="000000"/>
          <w:kern w:val="0"/>
          <w:sz w:val="28"/>
          <w:szCs w:val="28"/>
          <w:highlight w:val="none"/>
          <w:lang w:eastAsia="zh-CN"/>
        </w:rPr>
        <w:t>非</w:t>
      </w:r>
      <w:r>
        <w:rPr>
          <w:rFonts w:hint="eastAsia" w:ascii="宋体" w:hAnsi="宋体" w:cs="宋体"/>
          <w:color w:val="000000"/>
          <w:kern w:val="0"/>
          <w:sz w:val="28"/>
          <w:szCs w:val="28"/>
          <w:highlight w:val="none"/>
        </w:rPr>
        <w:t>通用标准仓单。</w:t>
      </w:r>
    </w:p>
    <w:p>
      <w:pPr>
        <w:numPr>
          <w:ilvl w:val="0"/>
          <w:numId w:val="31"/>
        </w:numPr>
        <w:ind w:firstLine="560" w:firstLineChars="200"/>
        <w:rPr>
          <w:rFonts w:hint="eastAsia" w:ascii="宋体" w:hAnsi="宋体" w:cs="宋体"/>
          <w:kern w:val="0"/>
          <w:sz w:val="28"/>
          <w:szCs w:val="28"/>
          <w:highlight w:val="none"/>
        </w:rPr>
      </w:pPr>
      <w:r>
        <w:rPr>
          <w:rFonts w:hint="eastAsia" w:ascii="宋体" w:hAnsi="宋体" w:cs="宋体"/>
          <w:color w:val="000000"/>
          <w:kern w:val="0"/>
          <w:sz w:val="28"/>
          <w:szCs w:val="28"/>
          <w:highlight w:val="none"/>
        </w:rPr>
        <w:t>每年1月、5月第15个交易日之前（含该日）注册的花生期货标准仓单，应当在当年1月、5月第15个交易日之前（含该日）全部注销。</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每年5月第16个交易日（含该日）至8月最后一个交易日（含该日）不受理花生期货标准仓单注册申请。</w:t>
      </w:r>
    </w:p>
    <w:p>
      <w:pPr>
        <w:ind w:firstLine="565" w:firstLineChars="202"/>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cs="宋体"/>
          <w:color w:val="000000"/>
          <w:kern w:val="0"/>
          <w:sz w:val="28"/>
          <w:szCs w:val="28"/>
          <w:highlight w:val="none"/>
        </w:rPr>
        <w:t>花生期货交割开具增值税专用发票或者农产品销售发票。</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ascii="宋体" w:hAnsi="宋体" w:cs="宋体"/>
          <w:kern w:val="0"/>
          <w:sz w:val="28"/>
          <w:szCs w:val="28"/>
          <w:highlight w:val="none"/>
        </w:rPr>
        <w:t>花生期货</w:t>
      </w:r>
      <w:r>
        <w:rPr>
          <w:rFonts w:hint="eastAsia" w:ascii="宋体" w:hAnsi="宋体" w:cs="宋体"/>
          <w:kern w:val="0"/>
          <w:sz w:val="28"/>
          <w:szCs w:val="28"/>
          <w:highlight w:val="none"/>
        </w:rPr>
        <w:t>厂库、交割服务机构</w:t>
      </w:r>
      <w:r>
        <w:rPr>
          <w:rFonts w:ascii="宋体" w:hAnsi="宋体" w:cs="宋体"/>
          <w:kern w:val="0"/>
          <w:sz w:val="28"/>
          <w:szCs w:val="28"/>
          <w:highlight w:val="none"/>
        </w:rPr>
        <w:t>及相关升贴水由交易所确定并公布</w:t>
      </w:r>
      <w:r>
        <w:rPr>
          <w:rFonts w:hint="eastAsia" w:ascii="宋体" w:hAnsi="宋体" w:cs="宋体"/>
          <w:kern w:val="0"/>
          <w:sz w:val="28"/>
          <w:szCs w:val="28"/>
          <w:highlight w:val="none"/>
        </w:rPr>
        <w:t>，交易所可以视情况对</w:t>
      </w:r>
      <w:r>
        <w:rPr>
          <w:rFonts w:ascii="宋体" w:hAnsi="宋体" w:cs="宋体"/>
          <w:kern w:val="0"/>
          <w:sz w:val="28"/>
          <w:szCs w:val="28"/>
          <w:highlight w:val="none"/>
        </w:rPr>
        <w:t>花生期货</w:t>
      </w:r>
      <w:r>
        <w:rPr>
          <w:rFonts w:hint="eastAsia" w:ascii="宋体" w:hAnsi="宋体" w:cs="宋体"/>
          <w:kern w:val="0"/>
          <w:sz w:val="28"/>
          <w:szCs w:val="28"/>
          <w:highlight w:val="none"/>
        </w:rPr>
        <w:t>厂库、交割服务机构及相关升贴水进行调整。</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第十</w:t>
      </w:r>
      <w:r>
        <w:rPr>
          <w:rFonts w:hint="eastAsia" w:ascii="黑体" w:hAnsi="黑体" w:eastAsia="黑体" w:cs="宋体"/>
          <w:color w:val="000000"/>
          <w:kern w:val="0"/>
          <w:sz w:val="28"/>
          <w:szCs w:val="28"/>
          <w:highlight w:val="none"/>
          <w:lang w:eastAsia="zh-CN"/>
        </w:rPr>
        <w:t>八</w:t>
      </w:r>
      <w:r>
        <w:rPr>
          <w:rFonts w:hint="eastAsia" w:ascii="黑体" w:hAnsi="黑体" w:eastAsia="黑体" w:cs="宋体"/>
          <w:color w:val="000000"/>
          <w:kern w:val="0"/>
          <w:sz w:val="28"/>
          <w:szCs w:val="28"/>
          <w:highlight w:val="none"/>
        </w:rPr>
        <w:t xml:space="preserve">条 </w:t>
      </w:r>
      <w:r>
        <w:rPr>
          <w:rFonts w:hint="eastAsia" w:ascii="宋体" w:hAnsi="宋体" w:cs="宋体"/>
          <w:sz w:val="28"/>
          <w:szCs w:val="28"/>
          <w:highlight w:val="none"/>
        </w:rPr>
        <w:t>花生</w:t>
      </w:r>
      <w:r>
        <w:rPr>
          <w:rFonts w:ascii="宋体" w:hAnsi="宋体" w:cs="宋体"/>
          <w:sz w:val="28"/>
          <w:szCs w:val="28"/>
          <w:highlight w:val="none"/>
        </w:rPr>
        <w:t>期货的交割基准价为基准交割品在</w:t>
      </w:r>
      <w:r>
        <w:rPr>
          <w:rFonts w:hint="eastAsia" w:ascii="宋体" w:hAnsi="宋体" w:cs="宋体"/>
          <w:kern w:val="0"/>
          <w:sz w:val="28"/>
          <w:szCs w:val="28"/>
          <w:highlight w:val="none"/>
        </w:rPr>
        <w:t>基准交割地汽车板交货的含税价格（含包装）。</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花生期货标准仓单对应货物装到汽车板前的一切费用由厂库承担，装到汽车板后的一切费用由提货人承担。</w:t>
      </w:r>
    </w:p>
    <w:p>
      <w:pPr>
        <w:ind w:firstLine="565" w:firstLineChars="202"/>
        <w:rPr>
          <w:rFonts w:ascii="宋体" w:hAnsi="宋体" w:cs="宋体"/>
          <w:color w:val="000000"/>
          <w:kern w:val="0"/>
          <w:sz w:val="28"/>
          <w:szCs w:val="28"/>
          <w:highlight w:val="none"/>
        </w:rPr>
      </w:pPr>
      <w:r>
        <w:rPr>
          <w:rFonts w:hint="eastAsia" w:ascii="宋体" w:hAnsi="宋体" w:cs="宋体"/>
          <w:kern w:val="0"/>
          <w:sz w:val="28"/>
          <w:szCs w:val="28"/>
          <w:highlight w:val="none"/>
        </w:rPr>
        <w:t>花生期货车（船）板交割中，货物自交割服务机构或者双方协商的其他交割地点装至车（船）板之前的一切费用（不含包装）由卖方客户承担，之后的一切费用由买方客户承担。</w:t>
      </w:r>
      <w:r>
        <w:rPr>
          <w:rFonts w:hint="eastAsia" w:ascii="宋体" w:hAnsi="宋体" w:cs="宋体"/>
          <w:color w:val="000000"/>
          <w:kern w:val="0"/>
          <w:sz w:val="28"/>
          <w:szCs w:val="28"/>
          <w:highlight w:val="none"/>
        </w:rPr>
        <w:t>双方协商买方自行提货或卖方送货的，可根据距离交割服务机构的远近协商各自承担的运费。</w:t>
      </w:r>
    </w:p>
    <w:p>
      <w:pPr>
        <w:ind w:firstLine="565" w:firstLineChars="202"/>
        <w:rPr>
          <w:rFonts w:ascii="宋体" w:hAnsi="宋体" w:cs="宋体"/>
          <w:kern w:val="0"/>
          <w:sz w:val="28"/>
          <w:szCs w:val="28"/>
          <w:highlight w:val="none"/>
        </w:rPr>
      </w:pPr>
      <w:r>
        <w:rPr>
          <w:rFonts w:hint="eastAsia" w:ascii="宋体" w:hAnsi="宋体"/>
          <w:sz w:val="28"/>
          <w:szCs w:val="28"/>
          <w:highlight w:val="none"/>
        </w:rPr>
        <w:t>花生期货交割手续费、仓储费、出入库费、检验费等交割相关费用标准由交易所另行公布。</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sz w:val="28"/>
          <w:szCs w:val="28"/>
          <w:highlight w:val="none"/>
        </w:rPr>
        <w:t>花生包装物价格包含在相应期货合约价格中，不另行计价。</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第二十</w:t>
      </w:r>
      <w:r>
        <w:rPr>
          <w:rFonts w:hint="eastAsia" w:ascii="黑体" w:hAnsi="黑体" w:eastAsia="黑体" w:cs="宋体"/>
          <w:color w:val="000000"/>
          <w:kern w:val="0"/>
          <w:sz w:val="28"/>
          <w:szCs w:val="28"/>
          <w:highlight w:val="none"/>
          <w:lang w:eastAsia="zh-CN"/>
        </w:rPr>
        <w:t>一</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花生期货标准仓单生成、流通、注销等相关业务，本细则未规定的，适用《郑州商品交易所标准仓单管理办法》相关规定。</w:t>
      </w:r>
    </w:p>
    <w:p>
      <w:pPr>
        <w:tabs>
          <w:tab w:val="left" w:pos="1620"/>
        </w:tabs>
        <w:autoSpaceDE w:val="0"/>
        <w:autoSpaceDN w:val="0"/>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第二节 交割标准</w:t>
      </w:r>
    </w:p>
    <w:p>
      <w:pPr>
        <w:pStyle w:val="17"/>
        <w:ind w:firstLine="560" w:firstLineChars="200"/>
        <w:rPr>
          <w:sz w:val="28"/>
          <w:szCs w:val="28"/>
          <w:highlight w:val="none"/>
        </w:rPr>
      </w:pPr>
      <w:r>
        <w:rPr>
          <w:rFonts w:hint="eastAsia" w:ascii="黑体" w:hAnsi="黑体" w:eastAsia="黑体" w:cs="宋体"/>
          <w:sz w:val="28"/>
          <w:szCs w:val="28"/>
          <w:highlight w:val="none"/>
        </w:rPr>
        <w:t>第二十</w:t>
      </w:r>
      <w:r>
        <w:rPr>
          <w:rFonts w:hint="eastAsia" w:ascii="黑体" w:hAnsi="黑体" w:eastAsia="黑体" w:cs="宋体"/>
          <w:sz w:val="28"/>
          <w:szCs w:val="28"/>
          <w:highlight w:val="none"/>
          <w:lang w:eastAsia="zh-CN"/>
        </w:rPr>
        <w:t>二</w:t>
      </w:r>
      <w:r>
        <w:rPr>
          <w:rFonts w:hint="eastAsia" w:ascii="黑体" w:hAnsi="黑体" w:eastAsia="黑体" w:cs="宋体"/>
          <w:sz w:val="28"/>
          <w:szCs w:val="28"/>
          <w:highlight w:val="none"/>
        </w:rPr>
        <w:t xml:space="preserve">条 </w:t>
      </w:r>
      <w:r>
        <w:rPr>
          <w:rFonts w:hint="eastAsia" w:ascii="宋体" w:hAnsi="宋体" w:eastAsia="宋体" w:cs="宋体"/>
          <w:color w:val="auto"/>
          <w:sz w:val="28"/>
          <w:szCs w:val="28"/>
          <w:highlight w:val="none"/>
        </w:rPr>
        <w:t>花生期货交割适用国家标准、国家相关规定及本细则规定。</w:t>
      </w:r>
    </w:p>
    <w:p>
      <w:pPr>
        <w:ind w:firstLine="560" w:firstLineChars="200"/>
        <w:rPr>
          <w:rFonts w:hint="eastAsia" w:ascii="宋体" w:hAnsi="宋体" w:cs="宋体"/>
          <w:kern w:val="0"/>
          <w:sz w:val="28"/>
          <w:szCs w:val="28"/>
          <w:highlight w:val="none"/>
        </w:rPr>
      </w:pPr>
      <w:r>
        <w:rPr>
          <w:rFonts w:hint="eastAsia" w:ascii="黑体" w:hAnsi="黑体" w:eastAsia="黑体" w:cs="宋体"/>
          <w:color w:val="000000"/>
          <w:kern w:val="0"/>
          <w:sz w:val="28"/>
          <w:szCs w:val="28"/>
          <w:highlight w:val="none"/>
        </w:rPr>
        <w:t>第二十</w:t>
      </w:r>
      <w:r>
        <w:rPr>
          <w:rFonts w:hint="eastAsia" w:ascii="黑体" w:hAnsi="黑体" w:eastAsia="黑体" w:cs="宋体"/>
          <w:color w:val="000000"/>
          <w:kern w:val="0"/>
          <w:sz w:val="28"/>
          <w:szCs w:val="28"/>
          <w:highlight w:val="none"/>
          <w:lang w:eastAsia="zh-CN"/>
        </w:rPr>
        <w:t>三</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cs="宋体"/>
          <w:kern w:val="0"/>
          <w:sz w:val="28"/>
          <w:szCs w:val="28"/>
          <w:highlight w:val="none"/>
        </w:rPr>
        <w:t>基准交割品：45.0%≤含油率</w:t>
      </w:r>
      <w:r>
        <w:rPr>
          <w:rFonts w:ascii="宋体" w:hAnsi="宋体" w:cs="宋体"/>
          <w:kern w:val="0"/>
          <w:sz w:val="28"/>
          <w:szCs w:val="28"/>
          <w:highlight w:val="none"/>
        </w:rPr>
        <w:t>（</w:t>
      </w:r>
      <w:r>
        <w:rPr>
          <w:rFonts w:hint="eastAsia" w:ascii="宋体" w:hAnsi="宋体" w:cs="宋体"/>
          <w:kern w:val="0"/>
          <w:sz w:val="28"/>
          <w:szCs w:val="28"/>
          <w:highlight w:val="none"/>
        </w:rPr>
        <w:t>以湿基计，下同</w:t>
      </w:r>
      <w:r>
        <w:rPr>
          <w:rFonts w:ascii="宋体" w:hAnsi="宋体" w:cs="宋体"/>
          <w:kern w:val="0"/>
          <w:sz w:val="28"/>
          <w:szCs w:val="28"/>
          <w:highlight w:val="none"/>
        </w:rPr>
        <w:t>）</w:t>
      </w:r>
      <w:r>
        <w:rPr>
          <w:rFonts w:hint="eastAsia" w:ascii="宋体" w:hAnsi="宋体" w:cs="宋体"/>
          <w:kern w:val="0"/>
          <w:sz w:val="28"/>
          <w:szCs w:val="28"/>
          <w:highlight w:val="none"/>
        </w:rPr>
        <w:t>＜</w:t>
      </w:r>
      <w:r>
        <w:rPr>
          <w:rFonts w:ascii="宋体" w:hAnsi="宋体" w:cs="宋体"/>
          <w:kern w:val="0"/>
          <w:sz w:val="28"/>
          <w:szCs w:val="28"/>
          <w:highlight w:val="none"/>
        </w:rPr>
        <w:t>46.0%</w:t>
      </w:r>
      <w:r>
        <w:rPr>
          <w:rFonts w:hint="eastAsia" w:ascii="宋体" w:hAnsi="宋体" w:cs="宋体"/>
          <w:kern w:val="0"/>
          <w:sz w:val="28"/>
          <w:szCs w:val="28"/>
          <w:highlight w:val="none"/>
        </w:rPr>
        <w:t>，酸价（以脂肪计，下同）≤</w:t>
      </w:r>
      <w:r>
        <w:rPr>
          <w:rFonts w:ascii="宋体" w:hAnsi="宋体" w:cs="宋体"/>
          <w:kern w:val="0"/>
          <w:sz w:val="28"/>
          <w:szCs w:val="28"/>
          <w:highlight w:val="none"/>
        </w:rPr>
        <w:t>1.5mgKOH/g</w:t>
      </w:r>
      <w:r>
        <w:rPr>
          <w:rFonts w:hint="eastAsia" w:ascii="宋体" w:hAnsi="宋体" w:cs="宋体"/>
          <w:kern w:val="0"/>
          <w:sz w:val="28"/>
          <w:szCs w:val="28"/>
          <w:highlight w:val="none"/>
        </w:rPr>
        <w:t>，杂质≤</w:t>
      </w:r>
      <w:r>
        <w:rPr>
          <w:rFonts w:ascii="宋体" w:hAnsi="宋体" w:cs="宋体"/>
          <w:kern w:val="0"/>
          <w:sz w:val="28"/>
          <w:szCs w:val="28"/>
          <w:highlight w:val="none"/>
        </w:rPr>
        <w:t>1.0%</w:t>
      </w:r>
      <w:r>
        <w:rPr>
          <w:rFonts w:hint="eastAsia" w:ascii="宋体" w:hAnsi="宋体" w:cs="宋体"/>
          <w:kern w:val="0"/>
          <w:sz w:val="28"/>
          <w:szCs w:val="28"/>
          <w:highlight w:val="none"/>
        </w:rPr>
        <w:t>，</w:t>
      </w:r>
      <w:r>
        <w:rPr>
          <w:rFonts w:ascii="宋体" w:hAnsi="宋体" w:cs="宋体"/>
          <w:kern w:val="0"/>
          <w:sz w:val="28"/>
          <w:szCs w:val="28"/>
          <w:highlight w:val="none"/>
        </w:rPr>
        <w:t>水分≤9.0%</w:t>
      </w:r>
      <w:r>
        <w:rPr>
          <w:rFonts w:hint="eastAsia" w:ascii="宋体" w:hAnsi="宋体" w:cs="宋体"/>
          <w:kern w:val="0"/>
          <w:sz w:val="28"/>
          <w:szCs w:val="28"/>
          <w:highlight w:val="none"/>
        </w:rPr>
        <w:t>，霉变粒≤</w:t>
      </w:r>
      <w:r>
        <w:rPr>
          <w:rFonts w:ascii="宋体" w:hAnsi="宋体" w:cs="宋体"/>
          <w:kern w:val="0"/>
          <w:sz w:val="28"/>
          <w:szCs w:val="28"/>
          <w:highlight w:val="none"/>
        </w:rPr>
        <w:t>1.0%</w:t>
      </w:r>
      <w:r>
        <w:rPr>
          <w:rFonts w:hint="eastAsia" w:ascii="宋体" w:hAnsi="宋体" w:cs="宋体"/>
          <w:kern w:val="0"/>
          <w:sz w:val="28"/>
          <w:szCs w:val="28"/>
          <w:highlight w:val="none"/>
        </w:rPr>
        <w:t>，</w:t>
      </w:r>
      <w:r>
        <w:rPr>
          <w:rFonts w:ascii="宋体" w:hAnsi="宋体" w:cs="宋体"/>
          <w:kern w:val="0"/>
          <w:sz w:val="28"/>
          <w:szCs w:val="28"/>
          <w:highlight w:val="none"/>
        </w:rPr>
        <w:t>7mm</w:t>
      </w:r>
      <w:r>
        <w:rPr>
          <w:rFonts w:hint="eastAsia" w:ascii="宋体" w:hAnsi="宋体" w:cs="宋体"/>
          <w:kern w:val="0"/>
          <w:sz w:val="28"/>
          <w:szCs w:val="28"/>
          <w:highlight w:val="none"/>
        </w:rPr>
        <w:t>上层筛</w:t>
      </w:r>
      <w:r>
        <w:rPr>
          <w:rFonts w:ascii="宋体" w:hAnsi="宋体" w:cs="宋体"/>
          <w:kern w:val="0"/>
          <w:sz w:val="28"/>
          <w:szCs w:val="28"/>
          <w:highlight w:val="none"/>
        </w:rPr>
        <w:t>（长</w:t>
      </w:r>
      <w:r>
        <w:rPr>
          <w:rFonts w:hint="eastAsia" w:ascii="宋体" w:hAnsi="宋体" w:cs="宋体"/>
          <w:kern w:val="0"/>
          <w:sz w:val="28"/>
          <w:szCs w:val="28"/>
          <w:highlight w:val="none"/>
        </w:rPr>
        <w:t>圆孔筛板）筛上比例≥</w:t>
      </w:r>
      <w:r>
        <w:rPr>
          <w:rFonts w:ascii="宋体" w:hAnsi="宋体" w:cs="宋体"/>
          <w:kern w:val="0"/>
          <w:sz w:val="28"/>
          <w:szCs w:val="28"/>
          <w:highlight w:val="none"/>
        </w:rPr>
        <w:t>60.0%，5.5mm下层筛（长</w:t>
      </w:r>
      <w:r>
        <w:rPr>
          <w:rFonts w:hint="eastAsia" w:ascii="宋体" w:hAnsi="宋体" w:cs="宋体"/>
          <w:kern w:val="0"/>
          <w:sz w:val="28"/>
          <w:szCs w:val="28"/>
          <w:highlight w:val="none"/>
        </w:rPr>
        <w:t>圆孔筛板）筛下比例≤20</w:t>
      </w:r>
      <w:r>
        <w:rPr>
          <w:rFonts w:ascii="宋体" w:hAnsi="宋体" w:cs="宋体"/>
          <w:kern w:val="0"/>
          <w:sz w:val="28"/>
          <w:szCs w:val="28"/>
          <w:highlight w:val="none"/>
        </w:rPr>
        <w:t>.0%</w:t>
      </w:r>
      <w:r>
        <w:rPr>
          <w:rFonts w:hint="eastAsia" w:ascii="宋体" w:hAnsi="宋体" w:cs="宋体"/>
          <w:kern w:val="0"/>
          <w:sz w:val="28"/>
          <w:szCs w:val="28"/>
          <w:highlight w:val="none"/>
        </w:rPr>
        <w:t>，</w:t>
      </w:r>
      <w:r>
        <w:rPr>
          <w:rFonts w:ascii="宋体" w:hAnsi="宋体" w:cs="宋体"/>
          <w:kern w:val="0"/>
          <w:sz w:val="28"/>
          <w:szCs w:val="28"/>
          <w:highlight w:val="none"/>
        </w:rPr>
        <w:t>色泽气味正常的花生仁</w:t>
      </w:r>
      <w:r>
        <w:rPr>
          <w:rFonts w:hint="eastAsia" w:ascii="宋体" w:hAnsi="宋体" w:cs="宋体"/>
          <w:kern w:val="0"/>
          <w:sz w:val="28"/>
          <w:szCs w:val="28"/>
          <w:highlight w:val="none"/>
        </w:rPr>
        <w:t>。</w:t>
      </w:r>
    </w:p>
    <w:p>
      <w:pPr>
        <w:ind w:firstLine="560" w:firstLineChars="200"/>
        <w:rPr>
          <w:rFonts w:ascii="宋体" w:hAnsi="宋体" w:cs="宋体"/>
          <w:sz w:val="28"/>
          <w:szCs w:val="28"/>
          <w:highlight w:val="none"/>
        </w:rPr>
      </w:pPr>
      <w:r>
        <w:rPr>
          <w:rFonts w:hint="eastAsia" w:ascii="黑体" w:hAnsi="黑体" w:eastAsia="黑体" w:cs="宋体"/>
          <w:color w:val="000000"/>
          <w:kern w:val="0"/>
          <w:sz w:val="28"/>
          <w:szCs w:val="28"/>
          <w:highlight w:val="none"/>
        </w:rPr>
        <w:t>第二十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条 </w:t>
      </w:r>
      <w:r>
        <w:rPr>
          <w:rFonts w:hint="eastAsia" w:ascii="宋体" w:hAnsi="宋体" w:cs="宋体"/>
          <w:kern w:val="52"/>
          <w:sz w:val="28"/>
          <w:szCs w:val="28"/>
          <w:highlight w:val="none"/>
        </w:rPr>
        <w:t>替代交割品及升贴水：</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（一）43.0%≤</w:t>
      </w:r>
      <w:r>
        <w:rPr>
          <w:rFonts w:ascii="宋体" w:hAnsi="宋体" w:cs="宋体"/>
          <w:kern w:val="0"/>
          <w:sz w:val="28"/>
          <w:szCs w:val="28"/>
          <w:highlight w:val="none"/>
        </w:rPr>
        <w:t>含油率＜44.0</w:t>
      </w:r>
      <w:r>
        <w:rPr>
          <w:rFonts w:hint="eastAsia" w:ascii="宋体" w:hAnsi="宋体" w:cs="宋体"/>
          <w:kern w:val="0"/>
          <w:sz w:val="28"/>
          <w:szCs w:val="28"/>
          <w:highlight w:val="none"/>
        </w:rPr>
        <w:t>%</w:t>
      </w:r>
      <w:r>
        <w:rPr>
          <w:rFonts w:ascii="宋体" w:hAnsi="宋体" w:cs="宋体"/>
          <w:kern w:val="0"/>
          <w:sz w:val="28"/>
          <w:szCs w:val="28"/>
          <w:highlight w:val="none"/>
        </w:rPr>
        <w:t>的</w:t>
      </w:r>
      <w:r>
        <w:rPr>
          <w:rFonts w:hint="eastAsia" w:ascii="宋体" w:hAnsi="宋体" w:cs="宋体"/>
          <w:kern w:val="0"/>
          <w:sz w:val="28"/>
          <w:szCs w:val="28"/>
          <w:highlight w:val="none"/>
        </w:rPr>
        <w:t>，</w:t>
      </w:r>
      <w:r>
        <w:rPr>
          <w:rFonts w:ascii="宋体" w:hAnsi="宋体" w:cs="宋体"/>
          <w:kern w:val="0"/>
          <w:sz w:val="28"/>
          <w:szCs w:val="28"/>
          <w:highlight w:val="none"/>
        </w:rPr>
        <w:t>贴水</w:t>
      </w:r>
      <w:r>
        <w:rPr>
          <w:rFonts w:hint="eastAsia" w:ascii="宋体" w:hAnsi="宋体" w:cs="宋体"/>
          <w:kern w:val="0"/>
          <w:sz w:val="28"/>
          <w:szCs w:val="28"/>
          <w:highlight w:val="none"/>
        </w:rPr>
        <w:t>200元/吨；44.0%≤含油率＜45.0%的，贴水100元/吨；4</w:t>
      </w:r>
      <w:r>
        <w:rPr>
          <w:rFonts w:ascii="宋体" w:hAnsi="宋体" w:cs="宋体"/>
          <w:kern w:val="0"/>
          <w:sz w:val="28"/>
          <w:szCs w:val="28"/>
          <w:highlight w:val="none"/>
        </w:rPr>
        <w:t>6</w:t>
      </w:r>
      <w:r>
        <w:rPr>
          <w:rFonts w:hint="eastAsia" w:ascii="宋体" w:hAnsi="宋体" w:cs="宋体"/>
          <w:kern w:val="0"/>
          <w:sz w:val="28"/>
          <w:szCs w:val="28"/>
          <w:highlight w:val="none"/>
        </w:rPr>
        <w:t>.0%≤</w:t>
      </w:r>
      <w:r>
        <w:rPr>
          <w:rFonts w:ascii="宋体" w:hAnsi="宋体" w:cs="宋体"/>
          <w:kern w:val="0"/>
          <w:sz w:val="28"/>
          <w:szCs w:val="28"/>
          <w:highlight w:val="none"/>
        </w:rPr>
        <w:t>含油率＜47.0</w:t>
      </w:r>
      <w:r>
        <w:rPr>
          <w:rFonts w:hint="eastAsia" w:ascii="宋体" w:hAnsi="宋体" w:cs="宋体"/>
          <w:kern w:val="0"/>
          <w:sz w:val="28"/>
          <w:szCs w:val="28"/>
          <w:highlight w:val="none"/>
        </w:rPr>
        <w:t>%</w:t>
      </w:r>
      <w:r>
        <w:rPr>
          <w:rFonts w:ascii="宋体" w:hAnsi="宋体" w:cs="宋体"/>
          <w:kern w:val="0"/>
          <w:sz w:val="28"/>
          <w:szCs w:val="28"/>
          <w:highlight w:val="none"/>
        </w:rPr>
        <w:t>的</w:t>
      </w:r>
      <w:r>
        <w:rPr>
          <w:rFonts w:hint="eastAsia" w:ascii="宋体" w:hAnsi="宋体" w:cs="宋体"/>
          <w:kern w:val="0"/>
          <w:sz w:val="28"/>
          <w:szCs w:val="28"/>
          <w:highlight w:val="none"/>
        </w:rPr>
        <w:t>，升</w:t>
      </w:r>
      <w:r>
        <w:rPr>
          <w:rFonts w:ascii="宋体" w:hAnsi="宋体" w:cs="宋体"/>
          <w:kern w:val="0"/>
          <w:sz w:val="28"/>
          <w:szCs w:val="28"/>
          <w:highlight w:val="none"/>
        </w:rPr>
        <w:t>水</w:t>
      </w:r>
      <w:r>
        <w:rPr>
          <w:rFonts w:hint="eastAsia" w:ascii="宋体" w:hAnsi="宋体" w:cs="宋体"/>
          <w:kern w:val="0"/>
          <w:sz w:val="28"/>
          <w:szCs w:val="28"/>
          <w:highlight w:val="none"/>
        </w:rPr>
        <w:t>100元/吨；含油率≥47.0%的，升水200元/吨。</w:t>
      </w:r>
    </w:p>
    <w:p>
      <w:pPr>
        <w:pStyle w:val="18"/>
        <w:widowControl w:val="0"/>
        <w:spacing w:afterLines="0" w:line="240" w:lineRule="auto"/>
        <w:ind w:firstLine="560" w:firstLineChars="200"/>
        <w:contextualSpacing/>
        <w:jc w:val="both"/>
        <w:rPr>
          <w:rFonts w:ascii="宋体" w:hAnsi="宋体" w:eastAsia="宋体" w:cs="宋体"/>
          <w:color w:val="auto"/>
          <w:sz w:val="28"/>
          <w:szCs w:val="28"/>
          <w:highlight w:val="none"/>
          <w:lang w:bidi="ar-SA"/>
        </w:rPr>
      </w:pPr>
      <w:r>
        <w:rPr>
          <w:rFonts w:hint="eastAsia" w:ascii="宋体" w:hAnsi="宋体" w:eastAsia="宋体" w:cs="宋体"/>
          <w:color w:val="auto"/>
          <w:sz w:val="28"/>
          <w:szCs w:val="28"/>
          <w:highlight w:val="none"/>
          <w:lang w:bidi="ar-SA"/>
        </w:rPr>
        <w:t>（二）</w:t>
      </w:r>
      <w:r>
        <w:rPr>
          <w:rFonts w:ascii="宋体" w:hAnsi="宋体" w:eastAsia="宋体" w:cs="宋体"/>
          <w:color w:val="auto"/>
          <w:sz w:val="28"/>
          <w:szCs w:val="28"/>
          <w:highlight w:val="none"/>
          <w:lang w:bidi="ar-SA"/>
        </w:rPr>
        <w:t>1.5mgKOH/g＜酸价≤2.0mgKOH/g的</w:t>
      </w:r>
      <w:r>
        <w:rPr>
          <w:rFonts w:hint="eastAsia" w:ascii="宋体" w:hAnsi="宋体" w:eastAsia="宋体" w:cs="宋体"/>
          <w:color w:val="auto"/>
          <w:sz w:val="28"/>
          <w:szCs w:val="28"/>
          <w:highlight w:val="none"/>
          <w:lang w:bidi="ar-SA"/>
        </w:rPr>
        <w:t>，</w:t>
      </w:r>
      <w:r>
        <w:rPr>
          <w:rFonts w:ascii="宋体" w:hAnsi="宋体" w:eastAsia="宋体" w:cs="宋体"/>
          <w:color w:val="auto"/>
          <w:sz w:val="28"/>
          <w:szCs w:val="28"/>
          <w:highlight w:val="none"/>
          <w:lang w:bidi="ar-SA"/>
        </w:rPr>
        <w:t>贴水200</w:t>
      </w:r>
      <w:r>
        <w:rPr>
          <w:rFonts w:hint="eastAsia" w:ascii="宋体" w:hAnsi="宋体" w:eastAsia="宋体" w:cs="宋体"/>
          <w:color w:val="auto"/>
          <w:sz w:val="28"/>
          <w:szCs w:val="28"/>
          <w:highlight w:val="none"/>
          <w:lang w:bidi="ar-SA"/>
        </w:rPr>
        <w:t>元</w:t>
      </w:r>
      <w:r>
        <w:rPr>
          <w:rFonts w:ascii="宋体" w:hAnsi="宋体" w:eastAsia="宋体" w:cs="宋体"/>
          <w:color w:val="auto"/>
          <w:sz w:val="28"/>
          <w:szCs w:val="28"/>
          <w:highlight w:val="none"/>
          <w:lang w:bidi="ar-SA"/>
        </w:rPr>
        <w:t>/</w:t>
      </w:r>
      <w:r>
        <w:rPr>
          <w:rFonts w:hint="eastAsia" w:ascii="宋体" w:hAnsi="宋体" w:eastAsia="宋体" w:cs="宋体"/>
          <w:color w:val="auto"/>
          <w:sz w:val="28"/>
          <w:szCs w:val="28"/>
          <w:highlight w:val="none"/>
          <w:lang w:bidi="ar-SA"/>
        </w:rPr>
        <w:t>吨；</w:t>
      </w:r>
      <w:r>
        <w:rPr>
          <w:rFonts w:ascii="宋体" w:hAnsi="宋体" w:eastAsia="宋体" w:cs="宋体"/>
          <w:color w:val="auto"/>
          <w:sz w:val="28"/>
          <w:szCs w:val="28"/>
          <w:highlight w:val="none"/>
          <w:lang w:bidi="ar-SA"/>
        </w:rPr>
        <w:t>2.0mgKOH/g</w:t>
      </w:r>
      <w:r>
        <w:rPr>
          <w:rFonts w:hint="eastAsia" w:ascii="宋体" w:hAnsi="宋体" w:eastAsia="宋体" w:cs="宋体"/>
          <w:color w:val="auto"/>
          <w:sz w:val="28"/>
          <w:szCs w:val="28"/>
          <w:highlight w:val="none"/>
          <w:lang w:bidi="ar-SA"/>
        </w:rPr>
        <w:t>＜酸价≤</w:t>
      </w:r>
      <w:r>
        <w:rPr>
          <w:rFonts w:ascii="宋体" w:hAnsi="宋体" w:eastAsia="宋体" w:cs="宋体"/>
          <w:color w:val="auto"/>
          <w:sz w:val="28"/>
          <w:szCs w:val="28"/>
          <w:highlight w:val="none"/>
          <w:lang w:bidi="ar-SA"/>
        </w:rPr>
        <w:t>2.5mgKOH/g的</w:t>
      </w:r>
      <w:r>
        <w:rPr>
          <w:rFonts w:hint="eastAsia" w:ascii="宋体" w:hAnsi="宋体" w:eastAsia="宋体" w:cs="宋体"/>
          <w:color w:val="auto"/>
          <w:sz w:val="28"/>
          <w:szCs w:val="28"/>
          <w:highlight w:val="none"/>
          <w:lang w:bidi="ar-SA"/>
        </w:rPr>
        <w:t>，贴水</w:t>
      </w:r>
      <w:r>
        <w:rPr>
          <w:rFonts w:ascii="宋体" w:hAnsi="宋体" w:eastAsia="宋体" w:cs="宋体"/>
          <w:color w:val="auto"/>
          <w:sz w:val="28"/>
          <w:szCs w:val="28"/>
          <w:highlight w:val="none"/>
          <w:lang w:bidi="ar-SA"/>
        </w:rPr>
        <w:t>500</w:t>
      </w:r>
      <w:r>
        <w:rPr>
          <w:rFonts w:hint="eastAsia" w:ascii="宋体" w:hAnsi="宋体" w:eastAsia="宋体" w:cs="宋体"/>
          <w:color w:val="auto"/>
          <w:sz w:val="28"/>
          <w:szCs w:val="28"/>
          <w:highlight w:val="none"/>
          <w:lang w:bidi="ar-SA"/>
        </w:rPr>
        <w:t>元</w:t>
      </w:r>
      <w:r>
        <w:rPr>
          <w:rFonts w:ascii="宋体" w:hAnsi="宋体" w:eastAsia="宋体" w:cs="宋体"/>
          <w:color w:val="auto"/>
          <w:sz w:val="28"/>
          <w:szCs w:val="28"/>
          <w:highlight w:val="none"/>
          <w:lang w:bidi="ar-SA"/>
        </w:rPr>
        <w:t>/</w:t>
      </w:r>
      <w:r>
        <w:rPr>
          <w:rFonts w:hint="eastAsia" w:ascii="宋体" w:hAnsi="宋体" w:eastAsia="宋体" w:cs="宋体"/>
          <w:color w:val="auto"/>
          <w:sz w:val="28"/>
          <w:szCs w:val="28"/>
          <w:highlight w:val="none"/>
          <w:lang w:bidi="ar-SA"/>
        </w:rPr>
        <w:t>吨。</w:t>
      </w:r>
    </w:p>
    <w:p>
      <w:pPr>
        <w:pStyle w:val="18"/>
        <w:widowControl w:val="0"/>
        <w:spacing w:afterLines="0" w:line="240" w:lineRule="auto"/>
        <w:ind w:firstLine="560" w:firstLineChars="200"/>
        <w:contextualSpacing/>
        <w:jc w:val="both"/>
        <w:rPr>
          <w:rFonts w:hint="eastAsia" w:ascii="宋体" w:hAnsi="宋体" w:eastAsia="宋体" w:cs="宋体"/>
          <w:color w:val="auto"/>
          <w:sz w:val="28"/>
          <w:szCs w:val="28"/>
          <w:highlight w:val="none"/>
          <w:lang w:bidi="ar-SA"/>
        </w:rPr>
      </w:pPr>
      <w:r>
        <w:rPr>
          <w:rFonts w:hint="eastAsia" w:ascii="宋体" w:hAnsi="宋体" w:eastAsia="宋体" w:cs="宋体"/>
          <w:color w:val="auto"/>
          <w:sz w:val="28"/>
          <w:szCs w:val="28"/>
          <w:highlight w:val="none"/>
          <w:lang w:bidi="ar-SA"/>
        </w:rPr>
        <w:t>（三）</w:t>
      </w:r>
      <w:r>
        <w:rPr>
          <w:rFonts w:ascii="宋体" w:hAnsi="宋体" w:eastAsia="宋体" w:cs="宋体"/>
          <w:color w:val="auto"/>
          <w:sz w:val="28"/>
          <w:szCs w:val="28"/>
          <w:highlight w:val="none"/>
          <w:lang w:bidi="ar-SA"/>
        </w:rPr>
        <w:t>1.0%</w:t>
      </w:r>
      <w:r>
        <w:rPr>
          <w:rFonts w:hint="eastAsia" w:ascii="宋体" w:hAnsi="宋体" w:eastAsia="宋体" w:cs="宋体"/>
          <w:color w:val="auto"/>
          <w:sz w:val="28"/>
          <w:szCs w:val="28"/>
          <w:highlight w:val="none"/>
          <w:lang w:bidi="ar-SA"/>
        </w:rPr>
        <w:t>＜霉变粒≤</w:t>
      </w:r>
      <w:r>
        <w:rPr>
          <w:rFonts w:ascii="宋体" w:hAnsi="宋体" w:eastAsia="宋体" w:cs="宋体"/>
          <w:color w:val="auto"/>
          <w:sz w:val="28"/>
          <w:szCs w:val="28"/>
          <w:highlight w:val="none"/>
          <w:lang w:bidi="ar-SA"/>
        </w:rPr>
        <w:t>1.5%的</w:t>
      </w:r>
      <w:r>
        <w:rPr>
          <w:rFonts w:hint="eastAsia" w:ascii="宋体" w:hAnsi="宋体" w:eastAsia="宋体" w:cs="宋体"/>
          <w:color w:val="auto"/>
          <w:sz w:val="28"/>
          <w:szCs w:val="28"/>
          <w:highlight w:val="none"/>
          <w:lang w:bidi="ar-SA"/>
        </w:rPr>
        <w:t>，扣量</w:t>
      </w:r>
      <w:r>
        <w:rPr>
          <w:rFonts w:ascii="宋体" w:hAnsi="宋体" w:eastAsia="宋体" w:cs="宋体"/>
          <w:color w:val="auto"/>
          <w:sz w:val="28"/>
          <w:szCs w:val="28"/>
          <w:highlight w:val="none"/>
          <w:lang w:bidi="ar-SA"/>
        </w:rPr>
        <w:t>0.5%</w:t>
      </w:r>
      <w:r>
        <w:rPr>
          <w:rFonts w:hint="eastAsia" w:ascii="宋体" w:hAnsi="宋体" w:eastAsia="宋体" w:cs="宋体"/>
          <w:color w:val="auto"/>
          <w:sz w:val="28"/>
          <w:szCs w:val="28"/>
          <w:highlight w:val="none"/>
          <w:lang w:bidi="ar-SA"/>
        </w:rPr>
        <w:t>；</w:t>
      </w:r>
      <w:r>
        <w:rPr>
          <w:rFonts w:ascii="宋体" w:hAnsi="宋体" w:eastAsia="宋体" w:cs="宋体"/>
          <w:color w:val="auto"/>
          <w:sz w:val="28"/>
          <w:szCs w:val="28"/>
          <w:highlight w:val="none"/>
          <w:lang w:bidi="ar-SA"/>
        </w:rPr>
        <w:t>1.5%</w:t>
      </w:r>
      <w:r>
        <w:rPr>
          <w:rFonts w:hint="eastAsia" w:ascii="宋体" w:hAnsi="宋体" w:eastAsia="宋体" w:cs="宋体"/>
          <w:color w:val="auto"/>
          <w:sz w:val="28"/>
          <w:szCs w:val="28"/>
          <w:highlight w:val="none"/>
          <w:lang w:bidi="ar-SA"/>
        </w:rPr>
        <w:t>＜霉变粒≤</w:t>
      </w:r>
      <w:r>
        <w:rPr>
          <w:rFonts w:ascii="宋体" w:hAnsi="宋体" w:eastAsia="宋体" w:cs="宋体"/>
          <w:color w:val="auto"/>
          <w:sz w:val="28"/>
          <w:szCs w:val="28"/>
          <w:highlight w:val="none"/>
          <w:lang w:bidi="ar-SA"/>
        </w:rPr>
        <w:t>2.0%的</w:t>
      </w:r>
      <w:r>
        <w:rPr>
          <w:rFonts w:hint="eastAsia" w:ascii="宋体" w:hAnsi="宋体" w:eastAsia="宋体" w:cs="宋体"/>
          <w:color w:val="auto"/>
          <w:sz w:val="28"/>
          <w:szCs w:val="28"/>
          <w:highlight w:val="none"/>
          <w:lang w:bidi="ar-SA"/>
        </w:rPr>
        <w:t>，扣量</w:t>
      </w:r>
      <w:r>
        <w:rPr>
          <w:rFonts w:ascii="宋体" w:hAnsi="宋体" w:eastAsia="宋体" w:cs="宋体"/>
          <w:color w:val="auto"/>
          <w:sz w:val="28"/>
          <w:szCs w:val="28"/>
          <w:highlight w:val="none"/>
          <w:lang w:bidi="ar-SA"/>
        </w:rPr>
        <w:t>1.5%</w:t>
      </w:r>
      <w:r>
        <w:rPr>
          <w:rFonts w:hint="eastAsia" w:ascii="宋体" w:hAnsi="宋体" w:eastAsia="宋体" w:cs="宋体"/>
          <w:color w:val="auto"/>
          <w:sz w:val="28"/>
          <w:szCs w:val="28"/>
          <w:highlight w:val="none"/>
          <w:lang w:bidi="ar-SA"/>
        </w:rPr>
        <w:t>。</w:t>
      </w:r>
    </w:p>
    <w:p>
      <w:pPr>
        <w:ind w:firstLine="560" w:firstLineChars="200"/>
        <w:rPr>
          <w:rFonts w:hint="default" w:ascii="宋体" w:hAnsi="宋体" w:eastAsia="宋体" w:cs="宋体"/>
          <w:kern w:val="0"/>
          <w:sz w:val="28"/>
          <w:szCs w:val="28"/>
          <w:highlight w:val="none"/>
          <w:lang w:val="en-US" w:eastAsia="zh-CN"/>
        </w:rPr>
      </w:pPr>
      <w:r>
        <w:rPr>
          <w:rFonts w:hint="eastAsia" w:ascii="黑体" w:hAnsi="黑体" w:eastAsia="黑体" w:cs="宋体"/>
          <w:color w:val="000000"/>
          <w:kern w:val="0"/>
          <w:sz w:val="28"/>
          <w:szCs w:val="28"/>
          <w:highlight w:val="none"/>
          <w:lang w:eastAsia="zh-CN"/>
        </w:rPr>
        <w:t>第二十五条</w:t>
      </w:r>
      <w:r>
        <w:rPr>
          <w:rFonts w:hint="eastAsia" w:ascii="宋体" w:hAnsi="宋体" w:cs="宋体"/>
          <w:kern w:val="0"/>
          <w:sz w:val="28"/>
          <w:szCs w:val="28"/>
          <w:highlight w:val="none"/>
          <w:lang w:val="en-US" w:eastAsia="zh-CN"/>
        </w:rPr>
        <w:t xml:space="preserve"> 水湿花生不得参与交割。</w:t>
      </w:r>
    </w:p>
    <w:p>
      <w:pPr>
        <w:ind w:firstLine="560" w:firstLineChars="200"/>
        <w:rPr>
          <w:rFonts w:hint="eastAsia" w:ascii="宋体" w:hAnsi="宋体" w:eastAsia="宋体" w:cs="宋体"/>
          <w:sz w:val="28"/>
          <w:szCs w:val="28"/>
          <w:highlight w:val="none"/>
          <w:lang w:eastAsia="zh-CN"/>
        </w:rPr>
      </w:pPr>
      <w:r>
        <w:rPr>
          <w:rFonts w:hint="eastAsia" w:ascii="黑体" w:hAnsi="黑体" w:eastAsia="黑体" w:cs="宋体"/>
          <w:color w:val="000000"/>
          <w:kern w:val="0"/>
          <w:sz w:val="28"/>
          <w:szCs w:val="28"/>
          <w:highlight w:val="none"/>
        </w:rPr>
        <w:t xml:space="preserve">第二十六条 </w:t>
      </w:r>
      <w:r>
        <w:rPr>
          <w:rFonts w:hint="eastAsia" w:ascii="宋体" w:hAnsi="宋体" w:cs="宋体"/>
          <w:kern w:val="0"/>
          <w:sz w:val="28"/>
          <w:szCs w:val="28"/>
          <w:highlight w:val="none"/>
        </w:rPr>
        <w:t>花生术语和定义、卫生要求及检验方法等按照《中华人民共和国国家标准 花生》（</w:t>
      </w:r>
      <w:r>
        <w:rPr>
          <w:rFonts w:ascii="宋体" w:hAnsi="宋体" w:cs="宋体"/>
          <w:kern w:val="0"/>
          <w:sz w:val="28"/>
          <w:szCs w:val="28"/>
          <w:highlight w:val="none"/>
        </w:rPr>
        <w:t>GB/T 1532-2008</w:t>
      </w:r>
      <w:r>
        <w:rPr>
          <w:rFonts w:hint="eastAsia" w:ascii="宋体" w:hAnsi="宋体" w:cs="宋体"/>
          <w:kern w:val="0"/>
          <w:sz w:val="28"/>
          <w:szCs w:val="28"/>
          <w:highlight w:val="none"/>
        </w:rPr>
        <w:t>）、《中华人民共和国农业行业标准 油用花生》（</w:t>
      </w:r>
      <w:r>
        <w:rPr>
          <w:rFonts w:ascii="宋体" w:hAnsi="宋体" w:cs="宋体"/>
          <w:kern w:val="0"/>
          <w:sz w:val="28"/>
          <w:szCs w:val="28"/>
          <w:highlight w:val="none"/>
        </w:rPr>
        <w:t>NY/T 1068-2006</w:t>
      </w:r>
      <w:r>
        <w:rPr>
          <w:rFonts w:hint="eastAsia" w:ascii="宋体" w:hAnsi="宋体" w:cs="宋体"/>
          <w:kern w:val="0"/>
          <w:sz w:val="28"/>
          <w:szCs w:val="28"/>
          <w:highlight w:val="none"/>
        </w:rPr>
        <w:t>）、《中华人民共和国国家标准 长圆孔、长方孔和圆孔筛板》（</w:t>
      </w:r>
      <w:r>
        <w:rPr>
          <w:rFonts w:ascii="宋体" w:hAnsi="宋体" w:cs="宋体"/>
          <w:kern w:val="0"/>
          <w:sz w:val="28"/>
          <w:szCs w:val="28"/>
          <w:highlight w:val="none"/>
        </w:rPr>
        <w:t>GB/T 12620-2008</w:t>
      </w:r>
      <w:r>
        <w:rPr>
          <w:rFonts w:hint="eastAsia" w:ascii="宋体" w:hAnsi="宋体" w:cs="宋体"/>
          <w:kern w:val="0"/>
          <w:sz w:val="28"/>
          <w:szCs w:val="28"/>
          <w:highlight w:val="none"/>
        </w:rPr>
        <w:t>）及相关规范性引用文件执行。</w:t>
      </w:r>
      <w:r>
        <w:rPr>
          <w:rFonts w:hint="eastAsia" w:ascii="宋体" w:hAnsi="宋体" w:cs="宋体"/>
          <w:kern w:val="0"/>
          <w:sz w:val="28"/>
          <w:szCs w:val="28"/>
          <w:highlight w:val="none"/>
          <w:lang w:eastAsia="zh-CN"/>
        </w:rPr>
        <w:t>其中，水湿花生检验方法按照《水湿花生仁感官性状检验方法》（</w:t>
      </w:r>
      <w:r>
        <w:rPr>
          <w:rFonts w:hint="eastAsia" w:ascii="宋体" w:hAnsi="宋体" w:cs="宋体"/>
          <w:kern w:val="0"/>
          <w:sz w:val="28"/>
          <w:szCs w:val="28"/>
          <w:highlight w:val="none"/>
          <w:lang w:val="en-US" w:eastAsia="zh-CN"/>
        </w:rPr>
        <w:t>T/CGTA 10-2025</w:t>
      </w:r>
      <w:r>
        <w:rPr>
          <w:rFonts w:hint="eastAsia" w:ascii="宋体" w:hAnsi="宋体" w:cs="宋体"/>
          <w:kern w:val="0"/>
          <w:sz w:val="28"/>
          <w:szCs w:val="28"/>
          <w:highlight w:val="none"/>
          <w:lang w:eastAsia="zh-CN"/>
        </w:rPr>
        <w:t>）执行。</w:t>
      </w:r>
    </w:p>
    <w:p>
      <w:pPr>
        <w:ind w:firstLine="640"/>
        <w:jc w:val="left"/>
        <w:rPr>
          <w:rFonts w:ascii="宋体" w:hAnsi="宋体" w:cs="宋体"/>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cs="宋体"/>
          <w:sz w:val="28"/>
          <w:szCs w:val="28"/>
          <w:highlight w:val="none"/>
        </w:rPr>
        <w:t>花生包装采用塑料编织袋。编</w:t>
      </w:r>
      <w:r>
        <w:rPr>
          <w:rFonts w:ascii="宋体" w:hAnsi="宋体" w:cs="宋体"/>
          <w:sz w:val="28"/>
          <w:szCs w:val="28"/>
          <w:highlight w:val="none"/>
        </w:rPr>
        <w:t>织</w:t>
      </w:r>
      <w:r>
        <w:rPr>
          <w:rFonts w:hint="eastAsia" w:ascii="宋体" w:hAnsi="宋体" w:cs="宋体"/>
          <w:sz w:val="28"/>
          <w:szCs w:val="28"/>
          <w:highlight w:val="none"/>
        </w:rPr>
        <w:t>袋应当坚固、清洁、干燥，使用</w:t>
      </w:r>
      <w:r>
        <w:rPr>
          <w:rFonts w:ascii="宋体" w:hAnsi="宋体" w:cs="宋体"/>
          <w:sz w:val="28"/>
          <w:szCs w:val="28"/>
          <w:highlight w:val="none"/>
        </w:rPr>
        <w:t>缝包机封口</w:t>
      </w:r>
      <w:r>
        <w:rPr>
          <w:rFonts w:hint="eastAsia" w:ascii="宋体" w:hAnsi="宋体" w:cs="宋体"/>
          <w:sz w:val="28"/>
          <w:szCs w:val="28"/>
          <w:highlight w:val="none"/>
        </w:rPr>
        <w:t>，不得产生撒漏，不得对花生造成污染。</w:t>
      </w:r>
      <w:r>
        <w:rPr>
          <w:rFonts w:ascii="宋体" w:hAnsi="宋体" w:cs="宋体"/>
          <w:sz w:val="28"/>
          <w:szCs w:val="28"/>
          <w:highlight w:val="none"/>
        </w:rPr>
        <w:t>单包装载花生重量50</w:t>
      </w:r>
      <w:r>
        <w:rPr>
          <w:rFonts w:hint="eastAsia" w:ascii="宋体" w:hAnsi="宋体" w:cs="宋体"/>
          <w:sz w:val="28"/>
          <w:szCs w:val="28"/>
          <w:highlight w:val="none"/>
        </w:rPr>
        <w:t>kg±</w:t>
      </w:r>
      <w:r>
        <w:rPr>
          <w:rFonts w:ascii="宋体" w:hAnsi="宋体" w:cs="宋体"/>
          <w:sz w:val="28"/>
          <w:szCs w:val="28"/>
          <w:highlight w:val="none"/>
        </w:rPr>
        <w:t>2</w:t>
      </w:r>
      <w:r>
        <w:rPr>
          <w:rFonts w:hint="eastAsia" w:ascii="宋体" w:hAnsi="宋体" w:cs="宋体"/>
          <w:sz w:val="28"/>
          <w:szCs w:val="28"/>
          <w:highlight w:val="none"/>
        </w:rPr>
        <w:t>kg，且单个包装物重量不得超过125g。</w:t>
      </w:r>
    </w:p>
    <w:p>
      <w:pPr>
        <w:ind w:firstLine="640"/>
        <w:jc w:val="left"/>
        <w:rPr>
          <w:rFonts w:ascii="宋体" w:hAnsi="宋体" w:cs="宋体"/>
          <w:kern w:val="0"/>
          <w:sz w:val="28"/>
          <w:szCs w:val="28"/>
          <w:highlight w:val="none"/>
        </w:rPr>
      </w:pPr>
      <w:r>
        <w:rPr>
          <w:rFonts w:hint="eastAsia" w:ascii="宋体" w:hAnsi="宋体" w:cs="宋体"/>
          <w:sz w:val="28"/>
          <w:szCs w:val="28"/>
          <w:highlight w:val="none"/>
        </w:rPr>
        <w:t>同一客户同一批次交割的花生包装要求规格统一。</w:t>
      </w:r>
    </w:p>
    <w:p>
      <w:pPr>
        <w:tabs>
          <w:tab w:val="left" w:pos="1620"/>
        </w:tabs>
        <w:autoSpaceDE w:val="0"/>
        <w:autoSpaceDN w:val="0"/>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第三节 厂库标准仓单交割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hAnsi="宋体" w:cs="宋体"/>
          <w:kern w:val="0"/>
          <w:sz w:val="28"/>
          <w:szCs w:val="28"/>
          <w:highlight w:val="none"/>
        </w:rPr>
        <w:t>花生厂库允许注册标准仓单的最大数量由交易所确定，交易所可以根据情况予以调整。</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花生厂库申请注册标准仓单前，应当按照交易所规定提供标准仓单注册担保。</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二十九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花生厂库标准仓单注销后，提货人应当在交易所开具《提货通知单》之日起10个工作日内，凭</w:t>
      </w:r>
      <w:r>
        <w:rPr>
          <w:rFonts w:ascii="宋体" w:hAnsi="宋体" w:cs="宋体"/>
          <w:kern w:val="0"/>
          <w:sz w:val="28"/>
          <w:szCs w:val="28"/>
          <w:highlight w:val="none"/>
        </w:rPr>
        <w:t>提货人身份证、提货人所在单位证明及</w:t>
      </w:r>
      <w:r>
        <w:rPr>
          <w:rFonts w:hint="eastAsia" w:ascii="宋体" w:hAnsi="宋体" w:cs="宋体"/>
          <w:kern w:val="0"/>
          <w:sz w:val="28"/>
          <w:szCs w:val="28"/>
          <w:highlight w:val="none"/>
        </w:rPr>
        <w:t>《提货通知单》</w:t>
      </w:r>
      <w:r>
        <w:rPr>
          <w:rFonts w:ascii="宋体" w:hAnsi="宋体" w:cs="宋体"/>
          <w:kern w:val="0"/>
          <w:sz w:val="28"/>
          <w:szCs w:val="28"/>
          <w:highlight w:val="none"/>
        </w:rPr>
        <w:t>验证密码到厂库办理提货手续</w:t>
      </w:r>
      <w:r>
        <w:rPr>
          <w:rFonts w:hint="eastAsia" w:ascii="宋体" w:hAnsi="宋体" w:cs="宋体"/>
          <w:kern w:val="0"/>
          <w:sz w:val="28"/>
          <w:szCs w:val="28"/>
          <w:highlight w:val="none"/>
        </w:rPr>
        <w:t>，</w:t>
      </w:r>
      <w:r>
        <w:rPr>
          <w:rFonts w:ascii="宋体" w:hAnsi="宋体" w:cs="宋体"/>
          <w:kern w:val="0"/>
          <w:sz w:val="28"/>
          <w:szCs w:val="28"/>
          <w:highlight w:val="none"/>
        </w:rPr>
        <w:t>确认商品质量、运输方式</w:t>
      </w:r>
      <w:r>
        <w:rPr>
          <w:rFonts w:hint="eastAsia" w:ascii="宋体" w:hAnsi="宋体" w:cs="宋体"/>
          <w:kern w:val="0"/>
          <w:sz w:val="28"/>
          <w:szCs w:val="28"/>
          <w:highlight w:val="none"/>
        </w:rPr>
        <w:t>，并</w:t>
      </w:r>
      <w:r>
        <w:rPr>
          <w:rFonts w:ascii="宋体" w:hAnsi="宋体" w:cs="宋体"/>
          <w:kern w:val="0"/>
          <w:sz w:val="28"/>
          <w:szCs w:val="28"/>
          <w:highlight w:val="none"/>
        </w:rPr>
        <w:t>预交各项费用。</w:t>
      </w:r>
    </w:p>
    <w:p>
      <w:pPr>
        <w:tabs>
          <w:tab w:val="left" w:pos="7797"/>
        </w:tabs>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eastAsia="黑体" w:cs="宋体"/>
          <w:kern w:val="0"/>
          <w:sz w:val="28"/>
          <w:szCs w:val="28"/>
          <w:highlight w:val="none"/>
        </w:rPr>
      </w:pPr>
      <w:r>
        <w:rPr>
          <w:rFonts w:hint="eastAsia" w:ascii="宋体" w:hAnsi="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kern w:val="0"/>
          <w:sz w:val="28"/>
          <w:highlight w:val="none"/>
          <w:u w:val="singl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一</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厂库花生出库时重量验收由提货人与厂库共同实施，以厂库检重为准，足量出库</w:t>
      </w:r>
      <w:r>
        <w:rPr>
          <w:rFonts w:hint="eastAsia" w:ascii="宋体" w:hAnsi="宋体" w:cs="宋体"/>
          <w:kern w:val="0"/>
          <w:sz w:val="28"/>
          <w:highlight w:val="none"/>
        </w:rPr>
        <w:t>。</w:t>
      </w:r>
    </w:p>
    <w:p>
      <w:pPr>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花生出库重量发生短少的，厂库应当及时补足。不能补足的，厂库应当按照《提货通知单》开具日之前（含当日）花生期货最近交割月最高交割结算价核算短少商品价款，赔偿提货人。</w:t>
      </w:r>
    </w:p>
    <w:p>
      <w:pPr>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提货人在货物交收时应当到交收地点监发，未到场监发的，视为对货物重量没有异议。</w:t>
      </w:r>
    </w:p>
    <w:p>
      <w:pPr>
        <w:pStyle w:val="19"/>
        <w:ind w:firstLine="560"/>
        <w:rPr>
          <w:rFonts w:ascii="宋体" w:hAnsi="宋体" w:eastAsia="宋体" w:cs="宋体"/>
          <w:sz w:val="28"/>
          <w:szCs w:val="28"/>
          <w:highlight w:val="none"/>
        </w:rPr>
      </w:pPr>
      <w:r>
        <w:rPr>
          <w:rFonts w:hint="eastAsia" w:ascii="黑体" w:hAnsi="黑体" w:eastAsia="黑体" w:cs="宋体"/>
          <w:color w:val="000000"/>
          <w:sz w:val="28"/>
          <w:szCs w:val="28"/>
          <w:highlight w:val="none"/>
        </w:rPr>
        <w:t>第三十</w:t>
      </w:r>
      <w:r>
        <w:rPr>
          <w:rFonts w:hint="eastAsia" w:ascii="黑体" w:hAnsi="黑体" w:eastAsia="黑体" w:cs="宋体"/>
          <w:color w:val="000000"/>
          <w:sz w:val="28"/>
          <w:szCs w:val="28"/>
          <w:highlight w:val="none"/>
          <w:lang w:eastAsia="zh-CN"/>
        </w:rPr>
        <w:t>二</w:t>
      </w:r>
      <w:r>
        <w:rPr>
          <w:rFonts w:hint="eastAsia" w:ascii="黑体" w:hAnsi="黑体" w:eastAsia="黑体" w:cs="宋体"/>
          <w:color w:val="000000"/>
          <w:sz w:val="28"/>
          <w:szCs w:val="28"/>
          <w:highlight w:val="none"/>
        </w:rPr>
        <w:t xml:space="preserve">条 </w:t>
      </w:r>
      <w:r>
        <w:rPr>
          <w:rFonts w:hint="eastAsia" w:ascii="宋体" w:hAnsi="宋体" w:eastAsia="宋体" w:cs="宋体"/>
          <w:sz w:val="28"/>
          <w:szCs w:val="28"/>
          <w:highlight w:val="none"/>
        </w:rPr>
        <w:t>厂库应当保证交割商品的质量符合交易所规定的交割标准，双方协商一致的除外。</w:t>
      </w:r>
    </w:p>
    <w:p>
      <w:pPr>
        <w:pStyle w:val="19"/>
        <w:ind w:firstLine="560"/>
        <w:rPr>
          <w:rFonts w:ascii="宋体" w:hAnsi="宋体" w:eastAsia="宋体" w:cs="宋体"/>
          <w:sz w:val="28"/>
          <w:szCs w:val="28"/>
          <w:highlight w:val="none"/>
        </w:rPr>
      </w:pPr>
      <w:r>
        <w:rPr>
          <w:rFonts w:hint="eastAsia" w:ascii="宋体" w:hAnsi="宋体" w:eastAsia="宋体" w:cs="宋体"/>
          <w:sz w:val="28"/>
          <w:szCs w:val="28"/>
          <w:highlight w:val="none"/>
        </w:rPr>
        <w:t>花生出库时，厂库向提货人提供符合交割标准的《产品质量证明书》，提货人可以到场查验货物质量，厂库应当予以配合。用于质量验收的样品应当由</w:t>
      </w:r>
      <w:r>
        <w:rPr>
          <w:rFonts w:hint="eastAsia" w:ascii="宋体" w:hAnsi="宋体" w:eastAsia="宋体" w:cs="宋体"/>
          <w:sz w:val="28"/>
          <w:szCs w:val="28"/>
          <w:highlight w:val="none"/>
          <w:lang w:eastAsia="zh-CN"/>
        </w:rPr>
        <w:t>厂库和提货人</w:t>
      </w:r>
      <w:r>
        <w:rPr>
          <w:rFonts w:hint="eastAsia" w:ascii="宋体" w:hAnsi="宋体" w:eastAsia="宋体" w:cs="宋体"/>
          <w:sz w:val="28"/>
          <w:szCs w:val="28"/>
          <w:highlight w:val="none"/>
        </w:rPr>
        <w:t>双方按照国家相关标准及交易所有关规定共同扦取，就地分为二份，任选一份供买方使用；另一份由双方共同签字封样，由厂库保管，作为发生质量争议时的复检样品。</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提货人或者厂库</w:t>
      </w:r>
      <w:r>
        <w:rPr>
          <w:rFonts w:hint="eastAsia" w:ascii="宋体" w:hAnsi="宋体" w:cs="宋体"/>
          <w:color w:val="000000"/>
          <w:kern w:val="0"/>
          <w:sz w:val="28"/>
          <w:szCs w:val="28"/>
          <w:highlight w:val="none"/>
        </w:rPr>
        <w:t>对花生重量、质量有异议的，由</w:t>
      </w:r>
      <w:r>
        <w:rPr>
          <w:rFonts w:hint="eastAsia" w:ascii="宋体" w:hAnsi="宋体" w:cs="宋体"/>
          <w:kern w:val="0"/>
          <w:sz w:val="28"/>
          <w:szCs w:val="28"/>
          <w:highlight w:val="none"/>
        </w:rPr>
        <w:t>提货人</w:t>
      </w:r>
      <w:r>
        <w:rPr>
          <w:rFonts w:hint="eastAsia" w:ascii="宋体" w:hAnsi="宋体" w:cs="宋体"/>
          <w:color w:val="000000"/>
          <w:kern w:val="0"/>
          <w:sz w:val="28"/>
          <w:szCs w:val="28"/>
          <w:highlight w:val="none"/>
        </w:rPr>
        <w:t>和厂库协商解决；协商不成的，可以向交易所申请一次复检，并由申请方预交复检及相关费用。复检申请应当在花生出库前提出。</w:t>
      </w:r>
      <w:r>
        <w:rPr>
          <w:rFonts w:hint="eastAsia" w:ascii="宋体" w:hAnsi="宋体" w:cs="宋体"/>
          <w:kern w:val="0"/>
          <w:sz w:val="28"/>
          <w:szCs w:val="28"/>
          <w:highlight w:val="none"/>
        </w:rPr>
        <w:t>花生复检样品仅限于保留样品，复检对象为申请方提出质量异议的对应货物。</w:t>
      </w:r>
    </w:p>
    <w:p>
      <w:pPr>
        <w:ind w:firstLine="560" w:firstLineChars="200"/>
        <w:rPr>
          <w:rFonts w:ascii="宋体" w:hAnsi="宋体" w:cs="宋体"/>
          <w:kern w:val="0"/>
          <w:sz w:val="28"/>
          <w:szCs w:val="28"/>
          <w:highlight w:val="none"/>
          <w:u w:val="singl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w:t>
      </w:r>
      <w:r>
        <w:rPr>
          <w:rFonts w:ascii="宋体" w:hAnsi="宋体" w:cs="宋体"/>
          <w:kern w:val="0"/>
          <w:sz w:val="28"/>
          <w:szCs w:val="28"/>
          <w:highlight w:val="none"/>
        </w:rPr>
        <w:t>复检结果</w:t>
      </w:r>
      <w:r>
        <w:rPr>
          <w:rFonts w:hint="eastAsia" w:ascii="宋体" w:hAnsi="宋体" w:cs="宋体"/>
          <w:kern w:val="0"/>
          <w:sz w:val="28"/>
          <w:szCs w:val="28"/>
          <w:highlight w:val="none"/>
        </w:rPr>
        <w:t>中，</w:t>
      </w:r>
      <w:r>
        <w:rPr>
          <w:rFonts w:ascii="宋体" w:hAnsi="宋体" w:cs="宋体"/>
          <w:kern w:val="0"/>
          <w:sz w:val="28"/>
          <w:szCs w:val="28"/>
          <w:highlight w:val="none"/>
        </w:rPr>
        <w:t>酸价或</w:t>
      </w:r>
      <w:r>
        <w:rPr>
          <w:rFonts w:hint="eastAsia" w:ascii="宋体" w:hAnsi="宋体" w:cs="宋体"/>
          <w:kern w:val="0"/>
          <w:sz w:val="28"/>
          <w:szCs w:val="28"/>
          <w:highlight w:val="none"/>
        </w:rPr>
        <w:t>者</w:t>
      </w:r>
      <w:r>
        <w:rPr>
          <w:rFonts w:ascii="宋体" w:hAnsi="宋体" w:cs="宋体"/>
          <w:kern w:val="0"/>
          <w:sz w:val="28"/>
          <w:szCs w:val="28"/>
          <w:highlight w:val="none"/>
        </w:rPr>
        <w:t>霉变粒指标所在升贴水区间低于或者等于</w:t>
      </w:r>
      <w:r>
        <w:rPr>
          <w:rFonts w:hint="eastAsia" w:ascii="宋体" w:hAnsi="宋体" w:cs="宋体"/>
          <w:kern w:val="0"/>
          <w:sz w:val="28"/>
          <w:szCs w:val="28"/>
          <w:highlight w:val="none"/>
        </w:rPr>
        <w:t>《产品质量证明书》中的</w:t>
      </w:r>
      <w:r>
        <w:rPr>
          <w:rFonts w:ascii="宋体" w:hAnsi="宋体" w:cs="宋体"/>
          <w:kern w:val="0"/>
          <w:sz w:val="28"/>
          <w:szCs w:val="28"/>
          <w:highlight w:val="none"/>
        </w:rPr>
        <w:t>升贴水区间的</w:t>
      </w:r>
      <w:r>
        <w:rPr>
          <w:rFonts w:hint="eastAsia" w:ascii="宋体" w:hAnsi="宋体" w:cs="宋体"/>
          <w:kern w:val="0"/>
          <w:sz w:val="28"/>
          <w:szCs w:val="28"/>
          <w:highlight w:val="none"/>
        </w:rPr>
        <w:t>，或者</w:t>
      </w:r>
      <w:r>
        <w:rPr>
          <w:rFonts w:ascii="宋体" w:hAnsi="宋体" w:cs="宋体"/>
          <w:kern w:val="0"/>
          <w:sz w:val="28"/>
          <w:szCs w:val="28"/>
          <w:highlight w:val="none"/>
        </w:rPr>
        <w:t>含油率指标所在升贴水区间高于或者等于</w:t>
      </w:r>
      <w:r>
        <w:rPr>
          <w:rFonts w:hint="eastAsia" w:ascii="宋体" w:hAnsi="宋体" w:cs="宋体"/>
          <w:kern w:val="0"/>
          <w:sz w:val="28"/>
          <w:szCs w:val="28"/>
          <w:highlight w:val="none"/>
        </w:rPr>
        <w:t>《产品质量证明书》中的</w:t>
      </w:r>
      <w:r>
        <w:rPr>
          <w:rFonts w:ascii="宋体" w:hAnsi="宋体" w:cs="宋体"/>
          <w:kern w:val="0"/>
          <w:sz w:val="28"/>
          <w:szCs w:val="28"/>
          <w:highlight w:val="none"/>
        </w:rPr>
        <w:t>升贴水区间的</w:t>
      </w:r>
      <w:r>
        <w:rPr>
          <w:rFonts w:hint="eastAsia" w:ascii="宋体" w:hAnsi="宋体" w:cs="宋体"/>
          <w:kern w:val="0"/>
          <w:sz w:val="28"/>
          <w:szCs w:val="28"/>
          <w:highlight w:val="none"/>
        </w:rPr>
        <w:t>，</w:t>
      </w:r>
      <w:r>
        <w:rPr>
          <w:rFonts w:ascii="宋体" w:hAnsi="宋体" w:cs="宋体"/>
          <w:kern w:val="0"/>
          <w:sz w:val="28"/>
          <w:szCs w:val="28"/>
          <w:highlight w:val="none"/>
        </w:rPr>
        <w:t>以</w:t>
      </w:r>
      <w:r>
        <w:rPr>
          <w:rFonts w:hint="eastAsia" w:ascii="宋体" w:hAnsi="宋体" w:cs="宋体"/>
          <w:kern w:val="0"/>
          <w:sz w:val="28"/>
          <w:szCs w:val="28"/>
          <w:highlight w:val="none"/>
        </w:rPr>
        <w:t>《产品质量证明书》中</w:t>
      </w:r>
      <w:r>
        <w:rPr>
          <w:rFonts w:ascii="宋体" w:hAnsi="宋体" w:cs="宋体"/>
          <w:kern w:val="0"/>
          <w:sz w:val="28"/>
          <w:szCs w:val="28"/>
          <w:highlight w:val="none"/>
        </w:rPr>
        <w:t>的酸价</w:t>
      </w:r>
      <w:r>
        <w:rPr>
          <w:rFonts w:hint="eastAsia" w:ascii="宋体" w:hAnsi="宋体" w:cs="宋体"/>
          <w:kern w:val="0"/>
          <w:sz w:val="28"/>
          <w:szCs w:val="28"/>
          <w:highlight w:val="none"/>
        </w:rPr>
        <w:t>、</w:t>
      </w:r>
      <w:r>
        <w:rPr>
          <w:rFonts w:ascii="宋体" w:hAnsi="宋体" w:cs="宋体"/>
          <w:kern w:val="0"/>
          <w:sz w:val="28"/>
          <w:szCs w:val="28"/>
          <w:highlight w:val="none"/>
        </w:rPr>
        <w:t>霉变粒</w:t>
      </w:r>
      <w:r>
        <w:rPr>
          <w:rFonts w:hint="eastAsia" w:ascii="宋体" w:hAnsi="宋体" w:cs="宋体"/>
          <w:kern w:val="0"/>
          <w:sz w:val="28"/>
          <w:szCs w:val="28"/>
          <w:highlight w:val="none"/>
        </w:rPr>
        <w:t>、</w:t>
      </w:r>
      <w:r>
        <w:rPr>
          <w:rFonts w:ascii="宋体" w:hAnsi="宋体" w:cs="宋体"/>
          <w:kern w:val="0"/>
          <w:sz w:val="28"/>
          <w:szCs w:val="28"/>
          <w:highlight w:val="none"/>
        </w:rPr>
        <w:t>含油率为准，由此产生的复检及相关费用由</w:t>
      </w:r>
      <w:r>
        <w:rPr>
          <w:rFonts w:hint="eastAsia" w:ascii="宋体" w:hAnsi="宋体" w:cs="宋体"/>
          <w:kern w:val="0"/>
          <w:sz w:val="28"/>
          <w:szCs w:val="28"/>
          <w:highlight w:val="none"/>
        </w:rPr>
        <w:t>提货人</w:t>
      </w:r>
      <w:r>
        <w:rPr>
          <w:rFonts w:ascii="宋体" w:hAnsi="宋体" w:cs="宋体"/>
          <w:kern w:val="0"/>
          <w:sz w:val="28"/>
          <w:szCs w:val="28"/>
          <w:highlight w:val="none"/>
        </w:rPr>
        <w:t>承担</w:t>
      </w:r>
      <w:r>
        <w:rPr>
          <w:rFonts w:hint="eastAsia" w:ascii="宋体" w:hAnsi="宋体" w:cs="宋体"/>
          <w:kern w:val="0"/>
          <w:sz w:val="28"/>
          <w:szCs w:val="28"/>
          <w:highlight w:val="none"/>
        </w:rPr>
        <w:t>。</w:t>
      </w:r>
    </w:p>
    <w:p>
      <w:pPr>
        <w:ind w:firstLine="560" w:firstLineChars="200"/>
        <w:rPr>
          <w:rFonts w:ascii="宋体" w:hAnsi="宋体" w:cs="宋体"/>
          <w:kern w:val="0"/>
          <w:sz w:val="28"/>
          <w:szCs w:val="28"/>
          <w:highlight w:val="none"/>
        </w:rPr>
      </w:pPr>
      <w:r>
        <w:rPr>
          <w:rFonts w:ascii="宋体" w:hAnsi="宋体" w:cs="宋体"/>
          <w:kern w:val="0"/>
          <w:sz w:val="28"/>
          <w:szCs w:val="28"/>
          <w:highlight w:val="none"/>
        </w:rPr>
        <w:t>复检结果</w:t>
      </w:r>
      <w:r>
        <w:rPr>
          <w:rFonts w:hint="eastAsia" w:ascii="宋体" w:hAnsi="宋体" w:cs="宋体"/>
          <w:kern w:val="0"/>
          <w:sz w:val="28"/>
          <w:szCs w:val="28"/>
          <w:highlight w:val="none"/>
        </w:rPr>
        <w:t>中，</w:t>
      </w:r>
      <w:r>
        <w:rPr>
          <w:rFonts w:ascii="宋体" w:hAnsi="宋体" w:cs="宋体"/>
          <w:kern w:val="0"/>
          <w:sz w:val="28"/>
          <w:szCs w:val="28"/>
          <w:highlight w:val="none"/>
        </w:rPr>
        <w:t>酸价或</w:t>
      </w:r>
      <w:r>
        <w:rPr>
          <w:rFonts w:hint="eastAsia" w:ascii="宋体" w:hAnsi="宋体" w:cs="宋体"/>
          <w:kern w:val="0"/>
          <w:sz w:val="28"/>
          <w:szCs w:val="28"/>
          <w:highlight w:val="none"/>
        </w:rPr>
        <w:t>者</w:t>
      </w:r>
      <w:r>
        <w:rPr>
          <w:rFonts w:ascii="宋体" w:hAnsi="宋体" w:cs="宋体"/>
          <w:kern w:val="0"/>
          <w:sz w:val="28"/>
          <w:szCs w:val="28"/>
          <w:highlight w:val="none"/>
        </w:rPr>
        <w:t>霉变粒指标所在升贴水区间高于</w:t>
      </w:r>
      <w:r>
        <w:rPr>
          <w:rFonts w:hint="eastAsia" w:ascii="宋体" w:hAnsi="宋体" w:cs="宋体"/>
          <w:kern w:val="0"/>
          <w:sz w:val="28"/>
          <w:szCs w:val="28"/>
          <w:highlight w:val="none"/>
        </w:rPr>
        <w:t>《产品质量证明书》中</w:t>
      </w:r>
      <w:r>
        <w:rPr>
          <w:rFonts w:ascii="宋体" w:hAnsi="宋体" w:cs="宋体"/>
          <w:kern w:val="0"/>
          <w:sz w:val="28"/>
          <w:szCs w:val="28"/>
          <w:highlight w:val="none"/>
        </w:rPr>
        <w:t>的</w:t>
      </w:r>
      <w:r>
        <w:rPr>
          <w:rFonts w:hint="eastAsia" w:ascii="宋体" w:hAnsi="宋体" w:cs="宋体"/>
          <w:kern w:val="0"/>
          <w:sz w:val="28"/>
          <w:szCs w:val="28"/>
          <w:highlight w:val="none"/>
        </w:rPr>
        <w:t>升贴水区间的</w:t>
      </w:r>
      <w:r>
        <w:rPr>
          <w:rFonts w:ascii="宋体" w:hAnsi="宋体" w:cs="宋体"/>
          <w:kern w:val="0"/>
          <w:sz w:val="28"/>
          <w:szCs w:val="28"/>
          <w:highlight w:val="none"/>
        </w:rPr>
        <w:t>，或</w:t>
      </w:r>
      <w:r>
        <w:rPr>
          <w:rFonts w:hint="eastAsia" w:ascii="宋体" w:hAnsi="宋体" w:cs="宋体"/>
          <w:kern w:val="0"/>
          <w:sz w:val="28"/>
          <w:szCs w:val="28"/>
          <w:highlight w:val="none"/>
        </w:rPr>
        <w:t>者含油率</w:t>
      </w:r>
      <w:r>
        <w:rPr>
          <w:rFonts w:ascii="宋体" w:hAnsi="宋体" w:cs="宋体"/>
          <w:kern w:val="0"/>
          <w:sz w:val="28"/>
          <w:szCs w:val="28"/>
          <w:highlight w:val="none"/>
        </w:rPr>
        <w:t>指标所在升贴水区间低于</w:t>
      </w:r>
      <w:r>
        <w:rPr>
          <w:rFonts w:hint="eastAsia" w:ascii="宋体" w:hAnsi="宋体" w:cs="宋体"/>
          <w:kern w:val="0"/>
          <w:sz w:val="28"/>
          <w:szCs w:val="28"/>
          <w:highlight w:val="none"/>
        </w:rPr>
        <w:t>《产品质量证明书》中的</w:t>
      </w:r>
      <w:r>
        <w:rPr>
          <w:rFonts w:ascii="宋体" w:hAnsi="宋体" w:cs="宋体"/>
          <w:kern w:val="0"/>
          <w:sz w:val="28"/>
          <w:szCs w:val="28"/>
          <w:highlight w:val="none"/>
        </w:rPr>
        <w:t>升贴水区间的</w:t>
      </w:r>
      <w:r>
        <w:rPr>
          <w:rFonts w:hint="eastAsia" w:ascii="宋体" w:hAnsi="宋体" w:cs="宋体"/>
          <w:kern w:val="0"/>
          <w:sz w:val="28"/>
          <w:szCs w:val="28"/>
          <w:highlight w:val="none"/>
        </w:rPr>
        <w:t>，分别</w:t>
      </w:r>
      <w:r>
        <w:rPr>
          <w:rFonts w:ascii="宋体" w:hAnsi="宋体" w:cs="宋体"/>
          <w:kern w:val="0"/>
          <w:sz w:val="28"/>
          <w:szCs w:val="28"/>
          <w:highlight w:val="none"/>
        </w:rPr>
        <w:t>以复检结果确定的</w:t>
      </w:r>
      <w:r>
        <w:rPr>
          <w:rFonts w:hint="eastAsia" w:ascii="宋体" w:hAnsi="宋体" w:cs="宋体"/>
          <w:kern w:val="0"/>
          <w:sz w:val="28"/>
          <w:szCs w:val="28"/>
          <w:highlight w:val="none"/>
        </w:rPr>
        <w:t>升贴水区间</w:t>
      </w:r>
      <w:r>
        <w:rPr>
          <w:rFonts w:ascii="宋体" w:hAnsi="宋体" w:cs="宋体"/>
          <w:kern w:val="0"/>
          <w:sz w:val="28"/>
          <w:szCs w:val="28"/>
          <w:highlight w:val="none"/>
        </w:rPr>
        <w:t>为准</w:t>
      </w:r>
      <w:r>
        <w:rPr>
          <w:rFonts w:hint="eastAsia" w:ascii="宋体" w:hAnsi="宋体" w:cs="宋体"/>
          <w:kern w:val="0"/>
          <w:sz w:val="28"/>
          <w:szCs w:val="28"/>
          <w:highlight w:val="none"/>
        </w:rPr>
        <w:t>。复检结果</w:t>
      </w:r>
      <w:r>
        <w:rPr>
          <w:rFonts w:ascii="宋体" w:hAnsi="宋体" w:cs="宋体"/>
          <w:kern w:val="0"/>
          <w:sz w:val="28"/>
          <w:szCs w:val="28"/>
          <w:highlight w:val="none"/>
        </w:rPr>
        <w:t>在交割标准允许范围内</w:t>
      </w:r>
      <w:r>
        <w:rPr>
          <w:rFonts w:hint="eastAsia" w:ascii="宋体" w:hAnsi="宋体" w:cs="宋体"/>
          <w:kern w:val="0"/>
          <w:sz w:val="28"/>
          <w:szCs w:val="28"/>
          <w:highlight w:val="none"/>
        </w:rPr>
        <w:t>的，提货人应当接受，由此产生的复检及相关费用由厂库承担，厂库对提货人按照交易所规定的升贴水标准进行补偿。</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厂库花生出库复检本细则未规定的，按照《郑州商品交易所标准仓单管理办法》“厂库商品出库复检</w:t>
      </w:r>
      <w:r>
        <w:rPr>
          <w:rFonts w:ascii="宋体" w:hAnsi="宋体" w:cs="宋体"/>
          <w:kern w:val="0"/>
          <w:sz w:val="28"/>
          <w:szCs w:val="28"/>
          <w:highlight w:val="none"/>
        </w:rPr>
        <w:t>”</w:t>
      </w:r>
      <w:r>
        <w:rPr>
          <w:rFonts w:hint="eastAsia" w:ascii="宋体" w:hAnsi="宋体" w:cs="宋体"/>
          <w:kern w:val="0"/>
          <w:sz w:val="28"/>
          <w:szCs w:val="28"/>
          <w:highlight w:val="none"/>
        </w:rPr>
        <w:t>有关规定办理。</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五</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厂库或者提货人因故不能按照约定计划发货或者提货的，双方应当及时协商并妥善调整发货速度或者发货计划，并且过错方应当支付滞纳金。滞纳金额 =∑</w:t>
      </w:r>
      <w:r>
        <w:rPr>
          <w:rFonts w:ascii="宋体" w:hAnsi="宋体" w:cs="宋体"/>
          <w:kern w:val="0"/>
          <w:sz w:val="28"/>
          <w:szCs w:val="28"/>
          <w:highlight w:val="none"/>
        </w:rPr>
        <w:t>[</w:t>
      </w:r>
      <w:r>
        <w:rPr>
          <w:rFonts w:hint="eastAsia" w:ascii="宋体" w:hAnsi="宋体" w:cs="宋体"/>
          <w:kern w:val="0"/>
          <w:sz w:val="28"/>
          <w:szCs w:val="28"/>
          <w:highlight w:val="none"/>
        </w:rPr>
        <w:t>30（元</w:t>
      </w:r>
      <w:r>
        <w:rPr>
          <w:rFonts w:ascii="宋体" w:hAnsi="宋体" w:cs="宋体"/>
          <w:kern w:val="0"/>
          <w:sz w:val="28"/>
          <w:szCs w:val="28"/>
          <w:highlight w:val="none"/>
        </w:rPr>
        <w:t>/吨•天）×延误天数×应发（收）而未发（收）商品数量]。</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因厂库原因在约定的最后发货日起5个日历日内仍不能完成所有商品发货的，提货人可以要求厂库终止发货并支付赔偿金。赔偿金额=花生期货最近交割月最高交割结算价×应发未发的商品数量×120%。</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因天气原因及其他不可抗力因素导致无法按计划发货或者提货的，厂库或者提货人不需要支付滞纳金或者赔偿金。</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六</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七</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八</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厂库发货完毕后，交易所书面确认无质量、数量责任的，经厂库申请，交易所退还厂库提交的担保财产或者担保凭证。</w:t>
      </w:r>
    </w:p>
    <w:p>
      <w:pPr>
        <w:tabs>
          <w:tab w:val="left" w:pos="1620"/>
        </w:tabs>
        <w:autoSpaceDE w:val="0"/>
        <w:autoSpaceDN w:val="0"/>
        <w:jc w:val="center"/>
        <w:rPr>
          <w:rFonts w:ascii="宋体" w:hAnsi="宋体" w:cs="宋体"/>
          <w:b/>
          <w:kern w:val="0"/>
          <w:sz w:val="28"/>
          <w:szCs w:val="28"/>
          <w:highlight w:val="none"/>
        </w:rPr>
      </w:pPr>
      <w:r>
        <w:rPr>
          <w:rFonts w:hint="eastAsia" w:ascii="宋体" w:hAnsi="宋体" w:cs="宋体"/>
          <w:b/>
          <w:kern w:val="0"/>
          <w:sz w:val="28"/>
          <w:szCs w:val="28"/>
          <w:highlight w:val="none"/>
        </w:rPr>
        <w:t>第四节 车（船）板交割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三十九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花生期货车（船）板交割应当进行交割预报。</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花生期货车（船）板交割卖方的交割预报应当委托会员办理。会员填写《花生车（船）板交割预报单》，并通过会员服务系统向交割服务机构提出预报。《花生车（船）板交割预报单》信息包括：交割服务机构、货物数量等。</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交割预报数量较大的，交易所可以要求卖方提供拥有</w:t>
      </w:r>
      <w:r>
        <w:rPr>
          <w:rFonts w:ascii="宋体" w:hAnsi="宋体" w:cs="宋体"/>
          <w:kern w:val="0"/>
          <w:sz w:val="28"/>
          <w:szCs w:val="28"/>
          <w:highlight w:val="none"/>
        </w:rPr>
        <w:t>货物</w:t>
      </w:r>
      <w:r>
        <w:rPr>
          <w:rFonts w:hint="eastAsia" w:ascii="宋体" w:hAnsi="宋体" w:cs="宋体"/>
          <w:kern w:val="0"/>
          <w:sz w:val="28"/>
          <w:szCs w:val="28"/>
          <w:highlight w:val="none"/>
        </w:rPr>
        <w:t>的权属证明。</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交割服务机构自交割月前一月第13个交易日开始接受交割预报。交割服务机构应当在接到会员《花生车（船）板交割预报单》之日起（含该日）2个工作日内，通过会员服务系统回复会员能够接收的货物数量。会员应当在接到交割服务机构同意接收的回复之日起（含该日）2个工作日之内，代客户或</w:t>
      </w:r>
      <w:r>
        <w:rPr>
          <w:rFonts w:hint="eastAsia" w:ascii="宋体" w:hAnsi="宋体" w:cs="宋体"/>
          <w:kern w:val="0"/>
          <w:sz w:val="28"/>
          <w:szCs w:val="28"/>
          <w:highlight w:val="none"/>
          <w:lang w:eastAsia="zh-CN"/>
        </w:rPr>
        <w:t>者</w:t>
      </w:r>
      <w:r>
        <w:rPr>
          <w:rFonts w:hint="eastAsia" w:ascii="宋体" w:hAnsi="宋体" w:cs="宋体"/>
          <w:kern w:val="0"/>
          <w:sz w:val="28"/>
          <w:szCs w:val="28"/>
          <w:highlight w:val="none"/>
        </w:rPr>
        <w:t>由客户直接向交割服务机构交纳30元/吨的交割预报定金。交割服务机构应当在收到交割预报定金之日起（含该日）的第1个工作日，向卖方会员开具《花生车（船）板接收通知单》，视为交割预报完成。会员应当及时将交割预报结果通知客户。</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已存放在交割服务机构的</w:t>
      </w:r>
      <w:r>
        <w:rPr>
          <w:rFonts w:ascii="宋体" w:hAnsi="宋体" w:cs="宋体"/>
          <w:kern w:val="0"/>
          <w:sz w:val="28"/>
          <w:szCs w:val="28"/>
          <w:highlight w:val="none"/>
        </w:rPr>
        <w:t>货物</w:t>
      </w:r>
      <w:r>
        <w:rPr>
          <w:rFonts w:hint="eastAsia" w:ascii="宋体" w:hAnsi="宋体" w:cs="宋体"/>
          <w:kern w:val="0"/>
          <w:sz w:val="28"/>
          <w:szCs w:val="28"/>
          <w:highlight w:val="none"/>
        </w:rPr>
        <w:t>申请车（船）板交割的，应当办理交割预报，无须交纳交割预报定金。</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花生期货车（船）板交割卖方应当按照交易所有关规定向交割服务机构交纳各项费用，</w:t>
      </w:r>
      <w:r>
        <w:rPr>
          <w:rFonts w:ascii="宋体" w:hAnsi="宋体" w:cs="宋体"/>
          <w:kern w:val="0"/>
          <w:sz w:val="28"/>
          <w:szCs w:val="28"/>
          <w:highlight w:val="none"/>
        </w:rPr>
        <w:t>并在</w:t>
      </w:r>
      <w:r>
        <w:rPr>
          <w:rFonts w:hint="eastAsia" w:ascii="宋体" w:hAnsi="宋体" w:cs="宋体"/>
          <w:kern w:val="0"/>
          <w:sz w:val="28"/>
          <w:szCs w:val="28"/>
          <w:highlight w:val="none"/>
        </w:rPr>
        <w:t>发货前将运输方式、车（船）号、货物数量、到货时间等通知交割服务机构。</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cs="宋体"/>
          <w:kern w:val="0"/>
          <w:sz w:val="28"/>
          <w:szCs w:val="28"/>
          <w:highlight w:val="none"/>
        </w:rPr>
        <w:t>花生期货车（船）板交割</w:t>
      </w:r>
      <w:r>
        <w:rPr>
          <w:rFonts w:ascii="宋体" w:hAnsi="宋体" w:cs="宋体"/>
          <w:kern w:val="0"/>
          <w:sz w:val="28"/>
          <w:szCs w:val="28"/>
          <w:highlight w:val="none"/>
        </w:rPr>
        <w:t>卖方提出交割申请时，应当同时提交相应的拟交割货物信息</w:t>
      </w:r>
      <w:r>
        <w:rPr>
          <w:rFonts w:hint="eastAsia" w:ascii="宋体" w:hAnsi="宋体" w:cs="宋体"/>
          <w:kern w:val="0"/>
          <w:sz w:val="28"/>
          <w:szCs w:val="28"/>
          <w:highlight w:val="none"/>
        </w:rPr>
        <w:t>，</w:t>
      </w:r>
      <w:r>
        <w:rPr>
          <w:rFonts w:ascii="宋体" w:hAnsi="宋体" w:cs="宋体"/>
          <w:kern w:val="0"/>
          <w:sz w:val="28"/>
          <w:szCs w:val="28"/>
          <w:highlight w:val="none"/>
        </w:rPr>
        <w:t>包括：</w:t>
      </w:r>
      <w:r>
        <w:rPr>
          <w:rFonts w:hint="eastAsia" w:ascii="宋体" w:hAnsi="宋体" w:cs="宋体"/>
          <w:kern w:val="0"/>
          <w:sz w:val="28"/>
          <w:szCs w:val="28"/>
          <w:highlight w:val="none"/>
        </w:rPr>
        <w:t>含油率、酸价、霉变粒、交割服务机构、货物数量等。</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参与滚动交割的卖方，应当于提出交割申请前在对应的交割服务机构完成交割预报；参与集中交割的卖方，应当于最后交易日之前（含该日）在对应的交割服务机构完成交割预报。</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单一客户在单个交割服务机构的车（船）板交割数量不得超过该客户在该交割服务机构交割预报的数量。</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一</w:t>
      </w:r>
      <w:r>
        <w:rPr>
          <w:rFonts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交割预报自《花生车（船）板接收通知单》开具之日起（含该日）生效，有效期至最近交割月的第</w:t>
      </w:r>
      <w:r>
        <w:rPr>
          <w:rFonts w:ascii="宋体" w:hAnsi="宋体" w:cs="宋体"/>
          <w:kern w:val="0"/>
          <w:sz w:val="28"/>
          <w:szCs w:val="28"/>
          <w:highlight w:val="none"/>
        </w:rPr>
        <w:t>11个交易日</w:t>
      </w:r>
      <w:r>
        <w:rPr>
          <w:rFonts w:hint="eastAsia" w:ascii="宋体" w:hAnsi="宋体" w:cs="宋体"/>
          <w:kern w:val="0"/>
          <w:sz w:val="28"/>
          <w:szCs w:val="28"/>
          <w:highlight w:val="none"/>
        </w:rPr>
        <w:t>。</w:t>
      </w:r>
    </w:p>
    <w:p>
      <w:pPr>
        <w:ind w:firstLine="560" w:firstLineChars="200"/>
        <w:rPr>
          <w:rFonts w:hint="eastAsia" w:ascii="宋体" w:hAnsi="宋体" w:cs="宋体"/>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二</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第三交割日下午</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时前，</w:t>
      </w:r>
      <w:r>
        <w:rPr>
          <w:rFonts w:hint="eastAsia" w:ascii="宋体" w:hAnsi="宋体" w:cs="宋体"/>
          <w:kern w:val="0"/>
          <w:sz w:val="28"/>
          <w:szCs w:val="28"/>
          <w:highlight w:val="none"/>
          <w:lang w:eastAsia="zh-CN"/>
        </w:rPr>
        <w:t>花生买卖双</w:t>
      </w:r>
      <w:r>
        <w:rPr>
          <w:rFonts w:hint="eastAsia" w:ascii="宋体" w:hAnsi="宋体" w:cs="宋体"/>
          <w:kern w:val="0"/>
          <w:sz w:val="28"/>
          <w:szCs w:val="28"/>
          <w:highlight w:val="none"/>
        </w:rPr>
        <w:t>方通过会员在会员服务系统</w:t>
      </w:r>
      <w:r>
        <w:rPr>
          <w:rFonts w:hint="eastAsia" w:ascii="宋体" w:hAnsi="宋体" w:cs="宋体"/>
          <w:kern w:val="0"/>
          <w:sz w:val="28"/>
          <w:szCs w:val="28"/>
          <w:highlight w:val="none"/>
          <w:lang w:eastAsia="zh-CN"/>
        </w:rPr>
        <w:t>确认</w:t>
      </w:r>
      <w:r>
        <w:rPr>
          <w:rFonts w:hint="eastAsia" w:ascii="宋体" w:hAnsi="宋体" w:cs="宋体"/>
          <w:kern w:val="0"/>
          <w:sz w:val="28"/>
          <w:szCs w:val="28"/>
          <w:highlight w:val="none"/>
        </w:rPr>
        <w:t>《车（船）板交货事项确认单》</w:t>
      </w:r>
      <w:r>
        <w:rPr>
          <w:rFonts w:hint="eastAsia" w:ascii="宋体" w:hAnsi="宋体" w:cs="宋体"/>
          <w:kern w:val="0"/>
          <w:sz w:val="28"/>
          <w:szCs w:val="28"/>
          <w:highlight w:val="none"/>
          <w:lang w:eastAsia="zh-CN"/>
        </w:rPr>
        <w:t>，逾期未确认的，</w:t>
      </w:r>
      <w:r>
        <w:rPr>
          <w:rFonts w:hint="eastAsia" w:ascii="宋体" w:hAnsi="宋体" w:cs="宋体"/>
          <w:kern w:val="0"/>
          <w:sz w:val="28"/>
          <w:szCs w:val="28"/>
          <w:highlight w:val="none"/>
        </w:rPr>
        <w:t>视为</w:t>
      </w:r>
      <w:r>
        <w:rPr>
          <w:rFonts w:hint="eastAsia" w:ascii="宋体" w:hAnsi="宋体" w:cs="宋体"/>
          <w:kern w:val="0"/>
          <w:sz w:val="28"/>
          <w:szCs w:val="28"/>
          <w:highlight w:val="none"/>
          <w:lang w:eastAsia="zh-CN"/>
        </w:rPr>
        <w:t>对确认单内容无异议。</w:t>
      </w:r>
    </w:p>
    <w:p>
      <w:pPr>
        <w:ind w:firstLine="560" w:firstLineChars="200"/>
        <w:rPr>
          <w:rFonts w:hint="eastAsia" w:ascii="宋体" w:hAnsi="宋体" w:cs="宋体"/>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lang w:eastAsia="zh-CN"/>
        </w:rPr>
        <w:t>花生</w:t>
      </w:r>
      <w:r>
        <w:rPr>
          <w:rFonts w:hint="eastAsia" w:ascii="宋体" w:hAnsi="宋体" w:cs="宋体"/>
          <w:kern w:val="0"/>
          <w:sz w:val="28"/>
          <w:szCs w:val="28"/>
          <w:highlight w:val="none"/>
        </w:rPr>
        <w:t>在交割服务机构</w:t>
      </w:r>
      <w:r>
        <w:rPr>
          <w:rFonts w:hint="eastAsia" w:ascii="宋体" w:hAnsi="宋体" w:cs="宋体"/>
          <w:kern w:val="0"/>
          <w:sz w:val="28"/>
          <w:szCs w:val="28"/>
          <w:highlight w:val="none"/>
          <w:lang w:eastAsia="zh-CN"/>
        </w:rPr>
        <w:t>进行</w:t>
      </w:r>
      <w:r>
        <w:rPr>
          <w:rFonts w:hint="eastAsia" w:ascii="宋体" w:hAnsi="宋体" w:cs="宋体"/>
          <w:kern w:val="0"/>
          <w:sz w:val="28"/>
          <w:szCs w:val="28"/>
          <w:highlight w:val="none"/>
        </w:rPr>
        <w:t>交割。货物到达接受交割预报的交割服务机构的，自货物全部到达之日起2个工作日内，交割预报定金予以返还；部分到达的，自货物到达之日起</w:t>
      </w:r>
      <w:r>
        <w:rPr>
          <w:rFonts w:hint="eastAsia" w:ascii="宋体" w:hAnsi="宋体" w:cs="宋体"/>
          <w:kern w:val="0"/>
          <w:sz w:val="28"/>
          <w:szCs w:val="28"/>
          <w:highlight w:val="none"/>
          <w:lang w:val="en-US"/>
        </w:rPr>
        <w:t>2个工作日内，</w:t>
      </w:r>
      <w:r>
        <w:rPr>
          <w:rFonts w:hint="eastAsia" w:ascii="宋体" w:hAnsi="宋体" w:cs="宋体"/>
          <w:kern w:val="0"/>
          <w:sz w:val="28"/>
          <w:szCs w:val="28"/>
          <w:highlight w:val="none"/>
        </w:rPr>
        <w:t>按实际到达量返还；未到达的，不予返还。</w:t>
      </w:r>
    </w:p>
    <w:p>
      <w:pPr>
        <w:ind w:firstLine="560" w:firstLineChars="200"/>
        <w:rPr>
          <w:rFonts w:hint="eastAsia" w:ascii="宋体" w:hAnsi="宋体" w:eastAsia="宋体" w:cs="宋体"/>
          <w:kern w:val="0"/>
          <w:sz w:val="28"/>
          <w:szCs w:val="28"/>
          <w:highlight w:val="none"/>
          <w:lang w:eastAsia="zh-CN"/>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lang w:val="en-US" w:eastAsia="zh-CN"/>
        </w:rPr>
        <w:t xml:space="preserve"> </w:t>
      </w:r>
      <w:r>
        <w:rPr>
          <w:rFonts w:hint="eastAsia" w:ascii="宋体" w:hAnsi="宋体" w:cs="宋体"/>
          <w:kern w:val="0"/>
          <w:sz w:val="28"/>
          <w:szCs w:val="28"/>
          <w:highlight w:val="none"/>
          <w:lang w:eastAsia="zh-CN"/>
        </w:rPr>
        <w:t>交割服务机构应当在第三交割日之后（不含该日）第</w:t>
      </w:r>
      <w:r>
        <w:rPr>
          <w:rFonts w:hint="eastAsia" w:ascii="宋体" w:hAnsi="宋体" w:cs="宋体"/>
          <w:kern w:val="0"/>
          <w:sz w:val="28"/>
          <w:szCs w:val="28"/>
          <w:highlight w:val="none"/>
          <w:lang w:val="en-US" w:eastAsia="zh-CN"/>
        </w:rPr>
        <w:t>1个日历日组织货物交收。买卖双方应当按照交割服务机构安排的时间进行货物交收。</w:t>
      </w:r>
      <w:r>
        <w:rPr>
          <w:rFonts w:hint="eastAsia" w:ascii="宋体" w:hAnsi="宋体" w:cs="宋体"/>
          <w:kern w:val="0"/>
          <w:sz w:val="28"/>
          <w:szCs w:val="28"/>
          <w:highlight w:val="none"/>
        </w:rPr>
        <w:t>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r>
        <w:rPr>
          <w:rFonts w:hint="eastAsia" w:ascii="宋体" w:hAnsi="宋体" w:cs="宋体"/>
          <w:kern w:val="0"/>
          <w:sz w:val="28"/>
          <w:szCs w:val="28"/>
          <w:highlight w:val="none"/>
          <w:lang w:eastAsia="zh-CN"/>
        </w:rPr>
        <w:t>交割服务机构的每日最大交割数量、每日最大服务客户数由交易所另行公布。</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五</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32"/>
          <w:highlight w:val="none"/>
        </w:rPr>
        <w:t>花生</w:t>
      </w:r>
      <w:r>
        <w:rPr>
          <w:rFonts w:hint="eastAsia" w:ascii="宋体" w:hAnsi="宋体" w:cs="宋体"/>
          <w:color w:val="000000"/>
          <w:kern w:val="0"/>
          <w:sz w:val="28"/>
          <w:szCs w:val="28"/>
          <w:highlight w:val="none"/>
        </w:rPr>
        <w:t>买方应当在卖方货物到达交割服务机构之日起（不含该日）3个日历日内完成货物质量检验，并在质量验收确认后24小时内装车发运。</w:t>
      </w:r>
      <w:r>
        <w:rPr>
          <w:rFonts w:hint="eastAsia" w:ascii="宋体" w:hAnsi="宋体" w:cs="宋体"/>
          <w:kern w:val="0"/>
          <w:sz w:val="28"/>
          <w:szCs w:val="28"/>
          <w:highlight w:val="none"/>
        </w:rPr>
        <w:t>用于质量验收的样品应当由买卖双方按照国家相关标准及交易所有关规定共同扦取，就地分为二份，任选一份供买方使用；另一份由双方共同签字封样，由交割服务机构保管，作为发生质量争议时的复检样品。</w:t>
      </w:r>
      <w:r>
        <w:rPr>
          <w:rFonts w:hint="eastAsia" w:ascii="宋体" w:hAnsi="宋体" w:cs="宋体"/>
          <w:color w:val="000000"/>
          <w:kern w:val="0"/>
          <w:sz w:val="28"/>
          <w:szCs w:val="28"/>
          <w:highlight w:val="none"/>
        </w:rPr>
        <w:t>买方在规定的时间内因自身原因不能装车发运的，卖方不再承担该批货物的质量责任。</w:t>
      </w:r>
    </w:p>
    <w:p>
      <w:pPr>
        <w:ind w:firstLine="560" w:firstLineChars="200"/>
        <w:rPr>
          <w:rFonts w:ascii="宋体" w:hAnsi="宋体" w:cs="宋体"/>
          <w:color w:val="000000"/>
          <w:kern w:val="0"/>
          <w:sz w:val="28"/>
          <w:szCs w:val="28"/>
          <w:highlight w:val="none"/>
        </w:rPr>
      </w:pPr>
      <w:r>
        <w:rPr>
          <w:rFonts w:hint="eastAsia" w:ascii="宋体" w:hAnsi="宋体" w:cs="宋体"/>
          <w:kern w:val="0"/>
          <w:sz w:val="28"/>
          <w:szCs w:val="28"/>
          <w:highlight w:val="none"/>
        </w:rPr>
        <w:t>花生分批检验的，最终货物质量按每次检验结果单独核定。</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质量</w:t>
      </w:r>
      <w:r>
        <w:rPr>
          <w:rFonts w:hint="eastAsia" w:ascii="宋体" w:hAnsi="宋体" w:cs="宋体"/>
          <w:kern w:val="0"/>
          <w:sz w:val="28"/>
          <w:szCs w:val="28"/>
          <w:highlight w:val="none"/>
        </w:rPr>
        <w:t>验收完成后，买卖双方签署《质量验收确认单》，作为交割货物质量判定及升贴水处理的依据。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六</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32"/>
          <w:highlight w:val="none"/>
        </w:rPr>
        <w:t>花生买卖双方</w:t>
      </w:r>
      <w:r>
        <w:rPr>
          <w:rFonts w:hint="eastAsia" w:ascii="宋体" w:hAnsi="宋体" w:cs="宋体"/>
          <w:color w:val="000000"/>
          <w:kern w:val="0"/>
          <w:sz w:val="28"/>
          <w:szCs w:val="28"/>
          <w:highlight w:val="none"/>
        </w:rPr>
        <w:t>发生质量争议的，应当协商解决。协商不一致的，应当</w:t>
      </w:r>
      <w:r>
        <w:rPr>
          <w:rFonts w:hint="eastAsia" w:ascii="宋体" w:hAnsi="宋体" w:cs="宋体"/>
          <w:kern w:val="0"/>
          <w:sz w:val="28"/>
          <w:szCs w:val="28"/>
          <w:highlight w:val="none"/>
        </w:rPr>
        <w:t>在货物未离开交割服务机构情况下向交易所提出复检申请，并说明需要复检的质量指标。</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复检机构由买卖双方在交易所指定质检机构中协商选取，协商不一致的，由交易所确定。</w:t>
      </w:r>
      <w:r>
        <w:rPr>
          <w:rFonts w:ascii="宋体" w:hAnsi="宋体" w:cs="宋体"/>
          <w:kern w:val="0"/>
          <w:sz w:val="28"/>
          <w:szCs w:val="28"/>
          <w:highlight w:val="none"/>
        </w:rPr>
        <w:t>复检样品仅限于保留样品</w:t>
      </w:r>
      <w:r>
        <w:rPr>
          <w:rFonts w:hint="eastAsia" w:ascii="宋体" w:hAnsi="宋体" w:cs="宋体"/>
          <w:kern w:val="0"/>
          <w:sz w:val="28"/>
          <w:szCs w:val="28"/>
          <w:highlight w:val="none"/>
        </w:rPr>
        <w:t>。</w:t>
      </w:r>
      <w:r>
        <w:rPr>
          <w:rFonts w:ascii="宋体" w:hAnsi="宋体" w:cs="宋体"/>
          <w:kern w:val="0"/>
          <w:sz w:val="28"/>
          <w:szCs w:val="28"/>
          <w:highlight w:val="none"/>
        </w:rPr>
        <w:t>复检机构应当自收到</w:t>
      </w:r>
      <w:r>
        <w:rPr>
          <w:rFonts w:hint="eastAsia" w:ascii="宋体" w:hAnsi="宋体" w:cs="宋体"/>
          <w:kern w:val="0"/>
          <w:sz w:val="28"/>
          <w:szCs w:val="28"/>
          <w:highlight w:val="none"/>
        </w:rPr>
        <w:t>样品</w:t>
      </w:r>
      <w:r>
        <w:rPr>
          <w:rFonts w:ascii="宋体" w:hAnsi="宋体" w:cs="宋体"/>
          <w:kern w:val="0"/>
          <w:sz w:val="28"/>
          <w:szCs w:val="28"/>
          <w:highlight w:val="none"/>
        </w:rPr>
        <w:t>之日起（不含该日）3个工作日内做出复检结果，复检结果</w:t>
      </w:r>
      <w:r>
        <w:rPr>
          <w:rFonts w:hint="eastAsia" w:ascii="宋体" w:hAnsi="宋体" w:cs="宋体"/>
          <w:kern w:val="0"/>
          <w:sz w:val="28"/>
          <w:szCs w:val="28"/>
          <w:highlight w:val="none"/>
        </w:rPr>
        <w:t>作</w:t>
      </w:r>
      <w:r>
        <w:rPr>
          <w:rFonts w:ascii="宋体" w:hAnsi="宋体" w:cs="宋体"/>
          <w:kern w:val="0"/>
          <w:sz w:val="28"/>
          <w:szCs w:val="28"/>
          <w:highlight w:val="none"/>
        </w:rPr>
        <w:t>为解决争议的依据。</w:t>
      </w:r>
    </w:p>
    <w:p>
      <w:pPr>
        <w:ind w:firstLine="560" w:firstLineChars="200"/>
        <w:rPr>
          <w:rFonts w:ascii="宋体" w:hAnsi="宋体" w:cs="宋体"/>
          <w:kern w:val="0"/>
          <w:sz w:val="28"/>
          <w:szCs w:val="28"/>
          <w:highlight w:val="none"/>
        </w:rPr>
      </w:pPr>
      <w:r>
        <w:rPr>
          <w:rFonts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七</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ascii="宋体" w:hAnsi="宋体" w:cs="宋体"/>
          <w:kern w:val="0"/>
          <w:sz w:val="28"/>
          <w:szCs w:val="28"/>
          <w:highlight w:val="none"/>
        </w:rPr>
        <w:t>复检前，花生未发运货物质量达不到交割标准且卖方无异议的，卖方应当及时更换货物。无法更换货物的，买卖双方可以协商处理；协商不一致的，按照《郑州商品交易所期货交割管理办法》有关交割违约的规定处理。</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十</w:t>
      </w:r>
      <w:r>
        <w:rPr>
          <w:rFonts w:hint="eastAsia" w:ascii="黑体" w:hAnsi="黑体" w:eastAsia="黑体" w:cs="宋体"/>
          <w:color w:val="000000"/>
          <w:kern w:val="0"/>
          <w:sz w:val="28"/>
          <w:szCs w:val="28"/>
          <w:highlight w:val="none"/>
          <w:lang w:eastAsia="zh-CN"/>
        </w:rPr>
        <w:t>八</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w:t>
      </w:r>
      <w:r>
        <w:rPr>
          <w:rFonts w:ascii="宋体" w:hAnsi="宋体" w:cs="宋体"/>
          <w:kern w:val="0"/>
          <w:sz w:val="28"/>
          <w:szCs w:val="28"/>
          <w:highlight w:val="none"/>
        </w:rPr>
        <w:t>复检结果</w:t>
      </w:r>
      <w:r>
        <w:rPr>
          <w:rFonts w:hint="eastAsia" w:ascii="宋体" w:hAnsi="宋体" w:cs="宋体"/>
          <w:kern w:val="0"/>
          <w:sz w:val="28"/>
          <w:szCs w:val="28"/>
          <w:highlight w:val="none"/>
        </w:rPr>
        <w:t>中，</w:t>
      </w:r>
      <w:r>
        <w:rPr>
          <w:rFonts w:ascii="宋体" w:hAnsi="宋体" w:cs="宋体"/>
          <w:kern w:val="0"/>
          <w:sz w:val="28"/>
          <w:szCs w:val="28"/>
          <w:highlight w:val="none"/>
        </w:rPr>
        <w:t>酸价或</w:t>
      </w:r>
      <w:r>
        <w:rPr>
          <w:rFonts w:hint="eastAsia" w:ascii="宋体" w:hAnsi="宋体" w:cs="宋体"/>
          <w:kern w:val="0"/>
          <w:sz w:val="28"/>
          <w:szCs w:val="28"/>
          <w:highlight w:val="none"/>
        </w:rPr>
        <w:t>者</w:t>
      </w:r>
      <w:r>
        <w:rPr>
          <w:rFonts w:ascii="宋体" w:hAnsi="宋体" w:cs="宋体"/>
          <w:kern w:val="0"/>
          <w:sz w:val="28"/>
          <w:szCs w:val="28"/>
          <w:highlight w:val="none"/>
        </w:rPr>
        <w:t>霉变粒指标所在升贴水区间低于或者等于</w:t>
      </w:r>
      <w:r>
        <w:rPr>
          <w:rFonts w:hint="eastAsia" w:ascii="宋体" w:hAnsi="宋体" w:cs="宋体"/>
          <w:kern w:val="0"/>
          <w:sz w:val="28"/>
          <w:szCs w:val="28"/>
          <w:highlight w:val="none"/>
        </w:rPr>
        <w:t>车（船）板货物信息标示</w:t>
      </w:r>
      <w:r>
        <w:rPr>
          <w:rFonts w:ascii="宋体" w:hAnsi="宋体" w:cs="宋体"/>
          <w:kern w:val="0"/>
          <w:sz w:val="28"/>
          <w:szCs w:val="28"/>
          <w:highlight w:val="none"/>
        </w:rPr>
        <w:t>的</w:t>
      </w:r>
      <w:r>
        <w:rPr>
          <w:rFonts w:hint="eastAsia" w:ascii="宋体" w:hAnsi="宋体" w:cs="宋体"/>
          <w:kern w:val="0"/>
          <w:sz w:val="28"/>
          <w:szCs w:val="28"/>
          <w:highlight w:val="none"/>
        </w:rPr>
        <w:t>升贴水区间，或者</w:t>
      </w:r>
      <w:r>
        <w:rPr>
          <w:rFonts w:ascii="宋体" w:hAnsi="宋体" w:cs="宋体"/>
          <w:kern w:val="0"/>
          <w:sz w:val="28"/>
          <w:szCs w:val="28"/>
          <w:highlight w:val="none"/>
        </w:rPr>
        <w:t>含油率指标所在升贴水区间高于或者等于</w:t>
      </w:r>
      <w:r>
        <w:rPr>
          <w:rFonts w:hint="eastAsia" w:ascii="宋体" w:hAnsi="宋体" w:cs="宋体"/>
          <w:kern w:val="0"/>
          <w:sz w:val="28"/>
          <w:szCs w:val="28"/>
          <w:highlight w:val="none"/>
        </w:rPr>
        <w:t>车（船）板货物信息标示的升贴水区间的，以车（船）板货物信息标示的酸价、霉变粒、含油率为准，由此产生的复检及相关费用由复检提出方承担。</w:t>
      </w:r>
    </w:p>
    <w:p>
      <w:pPr>
        <w:ind w:firstLine="560" w:firstLineChars="200"/>
        <w:rPr>
          <w:rFonts w:hint="eastAsia" w:ascii="宋体" w:hAnsi="宋体" w:cs="宋体"/>
          <w:kern w:val="0"/>
          <w:sz w:val="28"/>
          <w:szCs w:val="28"/>
          <w:highlight w:val="none"/>
        </w:rPr>
      </w:pPr>
      <w:r>
        <w:rPr>
          <w:rFonts w:ascii="宋体" w:hAnsi="宋体" w:cs="宋体"/>
          <w:kern w:val="0"/>
          <w:sz w:val="28"/>
          <w:szCs w:val="28"/>
          <w:highlight w:val="none"/>
        </w:rPr>
        <w:t>复检结果中</w:t>
      </w:r>
      <w:r>
        <w:rPr>
          <w:rFonts w:hint="eastAsia" w:ascii="宋体" w:hAnsi="宋体" w:cs="宋体"/>
          <w:kern w:val="0"/>
          <w:sz w:val="28"/>
          <w:szCs w:val="28"/>
          <w:highlight w:val="none"/>
        </w:rPr>
        <w:t>，</w:t>
      </w:r>
      <w:r>
        <w:rPr>
          <w:rFonts w:ascii="宋体" w:hAnsi="宋体" w:cs="宋体"/>
          <w:kern w:val="0"/>
          <w:sz w:val="28"/>
          <w:szCs w:val="28"/>
          <w:highlight w:val="none"/>
        </w:rPr>
        <w:t>酸价或者霉变粒指标所在升贴水区间高于</w:t>
      </w:r>
      <w:r>
        <w:rPr>
          <w:rFonts w:hint="eastAsia" w:ascii="宋体" w:hAnsi="宋体" w:cs="宋体"/>
          <w:kern w:val="0"/>
          <w:sz w:val="28"/>
          <w:szCs w:val="28"/>
          <w:highlight w:val="none"/>
        </w:rPr>
        <w:t>车（船）板货物信息标示的升贴水区间</w:t>
      </w:r>
      <w:r>
        <w:rPr>
          <w:rFonts w:ascii="宋体" w:hAnsi="宋体" w:cs="宋体"/>
          <w:kern w:val="0"/>
          <w:sz w:val="28"/>
          <w:szCs w:val="28"/>
          <w:highlight w:val="none"/>
        </w:rPr>
        <w:t>，或者</w:t>
      </w:r>
      <w:r>
        <w:rPr>
          <w:rFonts w:hint="eastAsia" w:ascii="宋体" w:hAnsi="宋体" w:cs="宋体"/>
          <w:kern w:val="0"/>
          <w:sz w:val="28"/>
          <w:szCs w:val="28"/>
          <w:highlight w:val="none"/>
        </w:rPr>
        <w:t>含油率</w:t>
      </w:r>
      <w:r>
        <w:rPr>
          <w:rFonts w:ascii="宋体" w:hAnsi="宋体" w:cs="宋体"/>
          <w:kern w:val="0"/>
          <w:sz w:val="28"/>
          <w:szCs w:val="28"/>
          <w:highlight w:val="none"/>
        </w:rPr>
        <w:t>指标所在升贴水区间低于</w:t>
      </w:r>
      <w:r>
        <w:rPr>
          <w:rFonts w:hint="eastAsia" w:ascii="宋体" w:hAnsi="宋体" w:cs="宋体"/>
          <w:kern w:val="0"/>
          <w:sz w:val="28"/>
          <w:szCs w:val="28"/>
          <w:highlight w:val="none"/>
        </w:rPr>
        <w:t>车（船）板货物信息标示</w:t>
      </w:r>
      <w:r>
        <w:rPr>
          <w:rFonts w:ascii="宋体" w:hAnsi="宋体" w:cs="宋体"/>
          <w:kern w:val="0"/>
          <w:sz w:val="28"/>
          <w:szCs w:val="28"/>
          <w:highlight w:val="none"/>
        </w:rPr>
        <w:t>的升贴水区间的</w:t>
      </w:r>
      <w:r>
        <w:rPr>
          <w:rFonts w:hint="eastAsia" w:ascii="宋体" w:hAnsi="宋体" w:cs="宋体"/>
          <w:kern w:val="0"/>
          <w:sz w:val="28"/>
          <w:szCs w:val="28"/>
          <w:highlight w:val="none"/>
        </w:rPr>
        <w:t>，以复检结果确定的升贴水区间为准。复检结果仍在交割标准允许范围内的，买方应当接受，由此产生的复检及相关费用由卖方承担，卖方对买方按照交易所规定的升贴水标准进行补偿。</w:t>
      </w:r>
    </w:p>
    <w:p>
      <w:pPr>
        <w:ind w:firstLine="560" w:firstLineChars="200"/>
        <w:rPr>
          <w:rFonts w:hint="eastAsia" w:ascii="宋体" w:hAnsi="宋体" w:cs="宋体"/>
          <w:kern w:val="0"/>
          <w:sz w:val="28"/>
          <w:szCs w:val="28"/>
          <w:highlight w:val="none"/>
        </w:rPr>
      </w:pPr>
      <w:r>
        <w:rPr>
          <w:rFonts w:ascii="宋体" w:hAnsi="宋体" w:cs="宋体"/>
          <w:kern w:val="0"/>
          <w:sz w:val="28"/>
          <w:szCs w:val="28"/>
          <w:highlight w:val="none"/>
        </w:rPr>
        <w:t>复检结果不符合交割质量标准的，买卖双方可以协商处理，协商不一致的，按照《郑州商品交易所期货交割管理办法》有关交割违约的规定处理。</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除本条第二款规定的情形之外，复检结果符合交割质量标准的，复检及相关费用由复检申请方承担；复检结果不符合交割质量标准的，复检及相关费用由卖方承担。</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寄送样品及复检费用应当在复检结果出具之日起（不含该日）2个工作日内通过交割服务机构支付。</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32"/>
          <w:highlight w:val="none"/>
        </w:rPr>
        <w:t>花生</w:t>
      </w:r>
      <w:r>
        <w:rPr>
          <w:rFonts w:hint="eastAsia" w:ascii="宋体" w:hAnsi="宋体" w:cs="宋体"/>
          <w:kern w:val="0"/>
          <w:sz w:val="28"/>
          <w:szCs w:val="28"/>
          <w:highlight w:val="none"/>
        </w:rPr>
        <w:t>货物发运时，买方应当到场验收并监装、监运，卖方应当安排足够人力、设备，确保正常发货。花生重量验收采用发货地过地磅称重或者双方认可的其他计量方式。</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货物发运完毕后，根据每天双方签字确认的交接过磅码单，经核准累计后确认货物重量。买卖双方签署《重量验收确认单》，作为交割货物重量的判定依据。卖方客户应足量交割。不能足量交割的，卖方应当按照花生期货最近交割月最高交割结算价核算短少货物价款，赔偿买方；双方协商一致的除外。</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买卖双方有权对计量衡器的准确性进行确认。对计量衡器的准确性有异议的，应当停止交接货物，并书面通知交易所，由交易所组织国家计量技术监督部门现场检测，差旅费、交通费、检测费等相关费用由过错方承担。</w:t>
      </w:r>
    </w:p>
    <w:p>
      <w:pPr>
        <w:ind w:firstLine="560" w:firstLineChars="200"/>
        <w:contextualSpacing/>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第五十条 </w:t>
      </w:r>
      <w:r>
        <w:rPr>
          <w:rFonts w:hint="eastAsia" w:ascii="宋体" w:hAnsi="宋体" w:cs="宋体"/>
          <w:kern w:val="0"/>
          <w:sz w:val="28"/>
          <w:szCs w:val="32"/>
          <w:highlight w:val="none"/>
        </w:rPr>
        <w:t>花生交收时，</w:t>
      </w:r>
      <w:r>
        <w:rPr>
          <w:rFonts w:hint="eastAsia" w:ascii="宋体" w:hAnsi="宋体" w:cs="宋体"/>
          <w:color w:val="000000"/>
          <w:kern w:val="0"/>
          <w:sz w:val="28"/>
          <w:szCs w:val="28"/>
          <w:highlight w:val="none"/>
        </w:rPr>
        <w:t xml:space="preserve">买卖双方未按规定时间交收货物，造成延误的，买卖双方协商解决。协商不成的，守约方可以向交易所提出补偿申请，并提交相应证据。交易所核实后，对过错方扣罚滞纳金补偿给守约方。滞纳金金额 = </w:t>
      </w:r>
      <w:r>
        <w:rPr>
          <w:rFonts w:hint="eastAsia" w:ascii="宋体" w:hAnsi="宋体" w:cs="宋体"/>
          <w:kern w:val="0"/>
          <w:sz w:val="28"/>
          <w:szCs w:val="28"/>
          <w:highlight w:val="none"/>
        </w:rPr>
        <w:t>∑[30（元/吨•天）×延误天数×应发（收）而未发（收）商品数量]</w:t>
      </w:r>
      <w:r>
        <w:rPr>
          <w:rFonts w:ascii="宋体" w:hAnsi="宋体" w:cs="宋体"/>
          <w:kern w:val="0"/>
          <w:sz w:val="28"/>
          <w:szCs w:val="28"/>
          <w:highlight w:val="none"/>
        </w:rPr>
        <w:t>。滞纳金扣罚总额不超过合约价值的20%</w:t>
      </w:r>
      <w:r>
        <w:rPr>
          <w:rFonts w:hint="eastAsia" w:ascii="宋体" w:hAnsi="宋体" w:cs="宋体"/>
          <w:kern w:val="0"/>
          <w:sz w:val="28"/>
          <w:szCs w:val="28"/>
          <w:highlight w:val="none"/>
        </w:rPr>
        <w:t>，合约价值按照该批商品的交割结算价计算</w:t>
      </w:r>
      <w:r>
        <w:rPr>
          <w:rFonts w:ascii="宋体" w:hAnsi="宋体" w:cs="宋体"/>
          <w:kern w:val="0"/>
          <w:sz w:val="28"/>
          <w:szCs w:val="28"/>
          <w:highlight w:val="none"/>
        </w:rPr>
        <w:t>。</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因不可抗力因素导致无法按计划发货或者提货的，发货或者提货时间可以顺延。</w:t>
      </w:r>
    </w:p>
    <w:p>
      <w:pPr>
        <w:ind w:firstLine="560" w:firstLineChars="200"/>
        <w:rPr>
          <w:rFonts w:hint="default" w:ascii="宋体" w:hAnsi="宋体" w:eastAsia="宋体" w:cs="宋体"/>
          <w:kern w:val="0"/>
          <w:sz w:val="28"/>
          <w:szCs w:val="28"/>
          <w:highlight w:val="none"/>
          <w:lang w:val="en-US" w:eastAsia="zh-CN"/>
        </w:rPr>
      </w:pPr>
      <w:r>
        <w:rPr>
          <w:rFonts w:hint="eastAsia" w:ascii="黑体" w:hAnsi="黑体" w:eastAsia="黑体" w:cs="宋体"/>
          <w:color w:val="000000"/>
          <w:kern w:val="0"/>
          <w:sz w:val="28"/>
          <w:szCs w:val="28"/>
          <w:highlight w:val="none"/>
          <w:lang w:eastAsia="zh-CN"/>
        </w:rPr>
        <w:t>第五十一条</w:t>
      </w:r>
      <w:r>
        <w:rPr>
          <w:rFonts w:hint="eastAsia" w:ascii="宋体" w:hAnsi="宋体" w:cs="宋体"/>
          <w:kern w:val="0"/>
          <w:sz w:val="28"/>
          <w:szCs w:val="28"/>
          <w:highlight w:val="none"/>
          <w:lang w:val="en-US" w:eastAsia="zh-CN"/>
        </w:rPr>
        <w:t xml:space="preserve"> 花生买卖双方确认货物质量、重量后，在货款划转时，通过会员服务系统选择货款结算方式。</w:t>
      </w:r>
    </w:p>
    <w:p>
      <w:pPr>
        <w:pStyle w:val="15"/>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第四章</w:t>
      </w:r>
      <w:r>
        <w:rPr>
          <w:rFonts w:hint="eastAsia" w:ascii="黑体" w:hAnsi="黑体" w:eastAsia="黑体" w:cs="宋体"/>
          <w:color w:val="000000"/>
          <w:kern w:val="0"/>
          <w:sz w:val="30"/>
          <w:szCs w:val="30"/>
          <w:highlight w:val="none"/>
          <w:lang w:val="en-US" w:eastAsia="zh-CN"/>
        </w:rPr>
        <w:t xml:space="preserve"> </w:t>
      </w:r>
      <w:r>
        <w:rPr>
          <w:rFonts w:ascii="黑体" w:hAnsi="黑体" w:eastAsia="黑体" w:cs="宋体"/>
          <w:color w:val="000000"/>
          <w:kern w:val="0"/>
          <w:sz w:val="30"/>
          <w:szCs w:val="30"/>
          <w:highlight w:val="none"/>
        </w:rPr>
        <w:t>风险管理</w:t>
      </w:r>
    </w:p>
    <w:p>
      <w:pPr>
        <w:tabs>
          <w:tab w:val="left" w:pos="1620"/>
        </w:tabs>
        <w:autoSpaceDE w:val="0"/>
        <w:autoSpaceDN w:val="0"/>
        <w:ind w:firstLine="585" w:firstLineChars="209"/>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二</w:t>
      </w:r>
      <w:r>
        <w:rPr>
          <w:rFonts w:hint="eastAsia" w:ascii="黑体" w:hAnsi="黑体" w:eastAsia="黑体" w:cs="宋体"/>
          <w:color w:val="000000"/>
          <w:kern w:val="0"/>
          <w:sz w:val="28"/>
          <w:szCs w:val="28"/>
          <w:highlight w:val="none"/>
        </w:rPr>
        <w:t xml:space="preserve">条 </w:t>
      </w:r>
      <w:r>
        <w:rPr>
          <w:rFonts w:hint="eastAsia" w:ascii="宋体" w:hAnsi="宋体" w:cs="宋体"/>
          <w:color w:val="000000"/>
          <w:kern w:val="0"/>
          <w:sz w:val="28"/>
          <w:szCs w:val="28"/>
          <w:highlight w:val="none"/>
        </w:rPr>
        <w:t>花生期货合约最低交易保证金标准为合约价值的5%。</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花生期货合约交易保证金标准见下表：</w:t>
      </w:r>
    </w:p>
    <w:tbl>
      <w:tblPr>
        <w:tblStyle w:val="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8"/>
        <w:gridCol w:w="3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0" w:type="dxa"/>
            <w:noWrap/>
            <w:vAlign w:val="center"/>
          </w:tcPr>
          <w:p>
            <w:pPr>
              <w:tabs>
                <w:tab w:val="left" w:pos="1620"/>
              </w:tabs>
              <w:autoSpaceDE w:val="0"/>
              <w:autoSpaceDN w:val="0"/>
              <w:ind w:left="142" w:hanging="141" w:hangingChars="59"/>
              <w:jc w:val="center"/>
              <w:rPr>
                <w:rFonts w:ascii="宋体" w:hAnsi="宋体" w:cs="宋体"/>
                <w:kern w:val="0"/>
                <w:sz w:val="24"/>
                <w:highlight w:val="none"/>
              </w:rPr>
            </w:pPr>
            <w:r>
              <w:rPr>
                <w:rFonts w:hint="eastAsia" w:ascii="宋体" w:hAnsi="宋体" w:cs="宋体"/>
                <w:kern w:val="0"/>
                <w:sz w:val="24"/>
                <w:highlight w:val="none"/>
              </w:rPr>
              <w:t>交易时间段</w:t>
            </w:r>
          </w:p>
        </w:tc>
        <w:tc>
          <w:tcPr>
            <w:tcW w:w="3686" w:type="dxa"/>
            <w:noWrap/>
            <w:vAlign w:val="center"/>
          </w:tcPr>
          <w:p>
            <w:pPr>
              <w:tabs>
                <w:tab w:val="left" w:pos="1620"/>
              </w:tabs>
              <w:autoSpaceDE w:val="0"/>
              <w:autoSpaceDN w:val="0"/>
              <w:jc w:val="center"/>
              <w:rPr>
                <w:rFonts w:ascii="宋体" w:hAnsi="宋体" w:cs="宋体"/>
                <w:kern w:val="0"/>
                <w:sz w:val="24"/>
                <w:highlight w:val="none"/>
              </w:rPr>
            </w:pPr>
            <w:r>
              <w:rPr>
                <w:rFonts w:ascii="宋体" w:hAnsi="宋体" w:cs="宋体"/>
                <w:kern w:val="0"/>
                <w:sz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3686"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3686"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3686" w:type="dxa"/>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合约价值的20%</w:t>
            </w:r>
          </w:p>
        </w:tc>
      </w:tr>
    </w:tbl>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花生期货合约每日涨跌停板幅度为前一交易日结算价的±4</w:t>
      </w:r>
      <w:r>
        <w:rPr>
          <w:rFonts w:ascii="宋体" w:hAnsi="宋体" w:cs="宋体"/>
          <w:kern w:val="0"/>
          <w:sz w:val="28"/>
          <w:szCs w:val="28"/>
          <w:highlight w:val="none"/>
        </w:rPr>
        <w:t>%</w:t>
      </w:r>
      <w:r>
        <w:rPr>
          <w:rFonts w:hint="eastAsia" w:ascii="宋体" w:hAnsi="宋体" w:cs="宋体"/>
          <w:kern w:val="0"/>
          <w:sz w:val="28"/>
          <w:szCs w:val="28"/>
          <w:highlight w:val="none"/>
        </w:rPr>
        <w:t>。</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w:t>
      </w:r>
      <w:r>
        <w:rPr>
          <w:rFonts w:hint="eastAsia" w:ascii="宋体" w:hAnsi="宋体" w:cs="宋体"/>
          <w:color w:val="000000"/>
          <w:kern w:val="0"/>
          <w:sz w:val="28"/>
          <w:szCs w:val="28"/>
          <w:highlight w:val="none"/>
        </w:rPr>
        <w:t>期货合约限仓标准见下表：</w:t>
      </w:r>
    </w:p>
    <w:tbl>
      <w:tblPr>
        <w:tblStyle w:val="8"/>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0"/>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670" w:type="dxa"/>
            <w:noWrap/>
            <w:vAlign w:val="center"/>
          </w:tcPr>
          <w:p>
            <w:pPr>
              <w:tabs>
                <w:tab w:val="left" w:pos="1620"/>
              </w:tabs>
              <w:autoSpaceDE w:val="0"/>
              <w:autoSpaceDN w:val="0"/>
              <w:ind w:left="142" w:hanging="141" w:hangingChars="59"/>
              <w:jc w:val="center"/>
              <w:rPr>
                <w:rFonts w:ascii="宋体" w:hAnsi="宋体" w:cs="宋体"/>
                <w:kern w:val="0"/>
                <w:sz w:val="24"/>
                <w:highlight w:val="none"/>
              </w:rPr>
            </w:pPr>
            <w:r>
              <w:rPr>
                <w:rFonts w:ascii="宋体" w:hAnsi="宋体" w:cs="宋体"/>
                <w:kern w:val="0"/>
                <w:sz w:val="24"/>
                <w:highlight w:val="none"/>
              </w:rPr>
              <w:t>交易时间段</w:t>
            </w:r>
          </w:p>
        </w:tc>
        <w:tc>
          <w:tcPr>
            <w:tcW w:w="2835" w:type="dxa"/>
            <w:noWrap/>
            <w:vAlign w:val="center"/>
          </w:tcPr>
          <w:p>
            <w:pPr>
              <w:tabs>
                <w:tab w:val="left" w:pos="1620"/>
              </w:tabs>
              <w:autoSpaceDE w:val="0"/>
              <w:autoSpaceDN w:val="0"/>
              <w:rPr>
                <w:rFonts w:ascii="宋体" w:hAnsi="宋体" w:cs="宋体"/>
                <w:kern w:val="0"/>
                <w:sz w:val="24"/>
                <w:highlight w:val="none"/>
              </w:rPr>
            </w:pPr>
            <w:r>
              <w:rPr>
                <w:rFonts w:hint="eastAsia" w:ascii="宋体" w:hAnsi="宋体" w:cs="宋体"/>
                <w:kern w:val="0"/>
                <w:sz w:val="24"/>
                <w:highlight w:val="none"/>
              </w:rPr>
              <w:t>非期货公司会员、境外特殊非经纪参与者和客户的最大单边持仓量（手）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2835"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2835"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2835" w:type="dxa"/>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200</w:t>
            </w:r>
          </w:p>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（自然人客户最大单边持仓量为0）</w:t>
            </w:r>
          </w:p>
        </w:tc>
      </w:tr>
    </w:tbl>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本条所称限仓是指交易所规定会员、境外特殊参与者或者客户按单边计算的、可以持有某一期货合约投机持仓的最大数量。</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五</w:t>
      </w:r>
      <w:r>
        <w:rPr>
          <w:rFonts w:hint="eastAsia" w:ascii="黑体" w:hAnsi="黑体" w:eastAsia="黑体" w:cs="宋体"/>
          <w:color w:val="000000"/>
          <w:kern w:val="0"/>
          <w:sz w:val="28"/>
          <w:szCs w:val="28"/>
          <w:highlight w:val="none"/>
        </w:rPr>
        <w:t xml:space="preserve">条 </w:t>
      </w:r>
      <w:r>
        <w:rPr>
          <w:rFonts w:hint="eastAsia" w:ascii="宋体" w:hAnsi="宋体" w:cs="宋体"/>
          <w:color w:val="000000"/>
          <w:kern w:val="0"/>
          <w:sz w:val="28"/>
          <w:szCs w:val="28"/>
          <w:highlight w:val="none"/>
        </w:rPr>
        <w:t>根据《郑州商品交易所期货交易风险控制管理办法》等有关规定，交易所对花生期货合约交易保证金标准、涨跌停板幅度进行调整的，按照相关标准执行。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六</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七</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八</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本细则解释权属于郑州商品交易所。</w:t>
      </w:r>
    </w:p>
    <w:p>
      <w:pPr>
        <w:tabs>
          <w:tab w:val="left" w:pos="1620"/>
        </w:tabs>
        <w:autoSpaceDE w:val="0"/>
        <w:autoSpaceDN w:val="0"/>
        <w:ind w:firstLine="560" w:firstLineChars="200"/>
        <w:rPr>
          <w:rFonts w:hint="eastAsia" w:eastAsia="方正小标宋简体"/>
          <w:sz w:val="44"/>
          <w:szCs w:val="32"/>
          <w:highlight w:val="none"/>
          <w:lang w:val="en-US" w:eastAsia="zh-CN"/>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九</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年</w:t>
      </w:r>
      <w:r>
        <w:rPr>
          <w:rFonts w:hint="default"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月</w:t>
      </w:r>
      <w:r>
        <w:rPr>
          <w:rFonts w:hint="default" w:ascii="宋体" w:hAnsi="宋体" w:cs="宋体"/>
          <w:color w:val="000000"/>
          <w:kern w:val="0"/>
          <w:sz w:val="28"/>
          <w:szCs w:val="28"/>
          <w:highlight w:val="none"/>
          <w:lang w:val="en-US" w:eastAsia="zh-CN"/>
        </w:rPr>
        <w:t>7</w:t>
      </w:r>
      <w:r>
        <w:rPr>
          <w:rFonts w:hint="eastAsia" w:ascii="宋体" w:hAnsi="宋体" w:eastAsia="宋体" w:cs="宋体"/>
          <w:color w:val="000000"/>
          <w:kern w:val="0"/>
          <w:sz w:val="28"/>
          <w:szCs w:val="28"/>
          <w:highlight w:val="none"/>
          <w:lang w:val="en-US" w:eastAsia="zh-CN"/>
        </w:rPr>
        <w:t>日</w:t>
      </w:r>
      <w:r>
        <w:rPr>
          <w:rFonts w:hint="eastAsia" w:ascii="宋体" w:hAnsi="宋体" w:cs="宋体"/>
          <w:color w:val="000000"/>
          <w:kern w:val="0"/>
          <w:sz w:val="28"/>
          <w:szCs w:val="28"/>
          <w:highlight w:val="none"/>
        </w:rPr>
        <w:t>起施行。</w:t>
      </w:r>
    </w:p>
    <w:p>
      <w:pPr>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br w:type="page"/>
      </w:r>
      <w:r>
        <w:rPr>
          <w:rFonts w:hint="eastAsia" w:ascii="黑体" w:hAnsi="黑体" w:eastAsia="黑体" w:cs="黑体"/>
          <w:sz w:val="32"/>
          <w:szCs w:val="32"/>
          <w:highlight w:val="none"/>
          <w:lang w:val="en-US" w:eastAsia="zh-CN"/>
        </w:rPr>
        <w:t>附件20</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val="en-US" w:eastAsia="zh-CN"/>
        </w:rPr>
        <w:t>郑州商品交易所精对苯二甲酸（PTA）期货业务细则</w:t>
      </w:r>
      <w:r>
        <w:rPr>
          <w:rFonts w:hint="eastAsia" w:ascii="黑体" w:hAnsi="黑体" w:eastAsia="黑体" w:cs="黑体"/>
          <w:sz w:val="40"/>
          <w:szCs w:val="40"/>
          <w:highlight w:val="none"/>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对《郑州商品交易所精对苯二甲酸（PTA）期货业务细则》作如下修订：</w:t>
      </w:r>
    </w:p>
    <w:p>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一章第二条修订为：“交易所、会员、境外特殊参与者、境外中介机构、客户、交割仓库（以下简称仓库）、交割厂库（以下简称厂库）、车（船）板交割服务机构（以下简称交割服务机构）、指定质检机构及期货市场其他参与者应当遵守本细则。”</w:t>
      </w:r>
    </w:p>
    <w:p>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五十五条第二款修订为：“交易所完成标准仓单过户和货款划转后，为买卖双方开具《保税交割结算单》。《保税交割结算单》中应当包括价格信息、买卖双方名称、会员单位名称、实际数量、交割方式等内容，交割方式中应当标注‘转让’。”</w:t>
      </w:r>
    </w:p>
    <w:p>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五十九条修订为：“交易所于第三交割日将卖方会员提交的保税标准仓单交付买方会员，将保税标准仓单货款付给卖方会员，并给买卖双方开具《保税交割结算单》。《保税交割结算单》中应当包括价格信息、买卖双方名称、会员单位名称、实际数量、交割方式等内容，交割方式中应当标注‘交割’。”</w:t>
      </w:r>
    </w:p>
    <w:p>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六十条修订为：“参与PTA保税标准仓单交割的，境内卖方客户应当向卖方会员开具增值税普通发票，境外卖方客户（不包括合格境外机构投资者和人民币合格境外机构投资者）、境外特殊参与者或者境外中介机构应当向卖方会员开具相应的收款凭证；卖方会员应当向交易所开具增值税普通发票；交易所应当向买方会员开具增值税普通发票；买方会员应当向买方客户、境外特殊参与者、境外中介机构开具增值税普通发票。”</w:t>
      </w:r>
    </w:p>
    <w:p>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四章第六十五条修订为：“PTA保税期转现批准日的下一个交易日，交易所将卖方会员提交的保税标准仓单交付买方会员，为买卖双方开具《保税交割结算单》。《保税交割结算单》中应当包括价格信息、买卖双方名称、会员单位名称、实际数量、交割方式等内容，交割方式中应当标注‘期转现’。”</w:t>
      </w:r>
    </w:p>
    <w:p>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八十三条修订为：“交易所完成资金划转后，为买卖双方开具《保税交割结算单》。《保税交割结算单》中应当包括价格信息、买卖双方名称、会员单位名称、实际数量、交割方式等内容，交割方式中应当标注‘出口型车（船）板交割’。”</w:t>
      </w:r>
    </w:p>
    <w:p>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五章第八十四条修订为：“参与PTA出口型车（船）板交割的，境内卖方客户应当向卖方会员开具增值税普通发票；卖方会员应当向交易所开具增值税普通发票；交易所应当向买方会员开具增值税普通发票；买方会员应当向买方客户、境外特殊参与者、境外中介机构开具增值税普通发票。”</w:t>
      </w:r>
    </w:p>
    <w:p>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将第六章第八十八条第一款表格第二列表头修订为：“非期货公司会员、境外特殊非经纪参与者和客户的最大单边持仓量（手）”。</w:t>
      </w:r>
    </w:p>
    <w:p>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将第六章第八十八条第二款修订为：“本条所称限仓是指交易所规定会员、境外特殊参与者或者客户按单边计算的、可以持有某一期货合约投机持仓的最大数量。”</w:t>
      </w:r>
    </w:p>
    <w:p>
      <w:pPr>
        <w:widowControl/>
        <w:jc w:val="center"/>
        <w:rPr>
          <w:rFonts w:hint="eastAsia" w:ascii="宋体" w:hAnsi="宋体" w:eastAsia="方正小标宋简体"/>
          <w:b/>
          <w:sz w:val="40"/>
          <w:szCs w:val="40"/>
          <w:highlight w:val="none"/>
          <w:lang w:eastAsia="zh-CN"/>
        </w:rPr>
      </w:pPr>
      <w:r>
        <w:rPr>
          <w:rFonts w:hint="eastAsia" w:ascii="仿宋" w:hAnsi="仿宋" w:eastAsia="仿宋" w:cs="仿宋"/>
          <w:sz w:val="32"/>
          <w:szCs w:val="32"/>
          <w:highlight w:val="none"/>
          <w:lang w:val="en-US" w:eastAsia="zh-CN"/>
        </w:rPr>
        <w:br w:type="page"/>
      </w:r>
      <w:r>
        <w:rPr>
          <w:rFonts w:hint="eastAsia" w:ascii="方正小标宋简体" w:hAnsi="方正小标宋简体" w:eastAsia="方正小标宋简体" w:cs="方正小标宋简体"/>
          <w:b w:val="0"/>
          <w:bCs/>
          <w:sz w:val="40"/>
          <w:szCs w:val="40"/>
          <w:highlight w:val="none"/>
        </w:rPr>
        <w:t>《郑州商品交易所精对苯二甲酸（PTA）期货业务细则》</w:t>
      </w:r>
      <w:r>
        <w:rPr>
          <w:rFonts w:hint="eastAsia" w:ascii="方正小标宋简体" w:hAnsi="方正小标宋简体" w:eastAsia="方正小标宋简体" w:cs="方正小标宋简体"/>
          <w:b w:val="0"/>
          <w:bCs/>
          <w:sz w:val="40"/>
          <w:szCs w:val="40"/>
          <w:highlight w:val="none"/>
          <w:lang w:eastAsia="zh-CN"/>
        </w:rPr>
        <w:t>修订</w:t>
      </w:r>
      <w:r>
        <w:rPr>
          <w:rFonts w:hint="eastAsia" w:ascii="方正小标宋简体" w:hAnsi="方正小标宋简体" w:eastAsia="方正小标宋简体" w:cs="方正小标宋简体"/>
          <w:b w:val="0"/>
          <w:bCs/>
          <w:sz w:val="40"/>
          <w:szCs w:val="40"/>
          <w:highlight w:val="none"/>
        </w:rPr>
        <w:t>对照表</w:t>
      </w:r>
    </w:p>
    <w:p>
      <w:pPr>
        <w:widowControl/>
        <w:spacing w:line="360" w:lineRule="auto"/>
        <w:jc w:val="center"/>
        <w:rPr>
          <w:rFonts w:ascii="仿宋" w:hAnsi="仿宋" w:eastAsia="仿宋"/>
          <w:sz w:val="32"/>
          <w:szCs w:val="32"/>
          <w:highlight w:val="none"/>
        </w:rPr>
      </w:pPr>
      <w:r>
        <w:rPr>
          <w:rFonts w:hint="eastAsia" w:ascii="仿宋" w:hAnsi="仿宋" w:eastAsia="仿宋" w:cs="Calibri"/>
          <w:sz w:val="32"/>
          <w:szCs w:val="32"/>
          <w:highlight w:val="none"/>
        </w:rPr>
        <w:t>（删除线部分为删除，下划线加粗部分为修改增加）</w:t>
      </w:r>
    </w:p>
    <w:tbl>
      <w:tblPr>
        <w:tblStyle w:val="8"/>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rPr>
          <w:trHeight w:val="397" w:hRule="atLeast"/>
        </w:trPr>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ascii="仿宋" w:hAnsi="仿宋" w:eastAsia="仿宋" w:cs="Calibri"/>
                <w:b/>
                <w:bCs/>
                <w:sz w:val="24"/>
                <w:szCs w:val="24"/>
                <w:highlight w:val="none"/>
              </w:rPr>
            </w:pPr>
            <w:r>
              <w:rPr>
                <w:rFonts w:hint="eastAsia" w:ascii="仿宋" w:hAnsi="仿宋" w:eastAsia="仿宋"/>
                <w:b/>
                <w:bCs/>
                <w:sz w:val="24"/>
                <w:highlight w:val="none"/>
                <w:lang w:eastAsia="zh-CN"/>
              </w:rPr>
              <w:t>修订前</w:t>
            </w:r>
            <w:r>
              <w:rPr>
                <w:rFonts w:hint="eastAsia" w:ascii="仿宋" w:hAnsi="仿宋" w:eastAsia="仿宋"/>
                <w:b/>
                <w:bCs/>
                <w:sz w:val="24"/>
                <w:highlight w:val="none"/>
              </w:rPr>
              <w:t>条文</w:t>
            </w:r>
          </w:p>
        </w:tc>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ascii="仿宋" w:hAnsi="仿宋" w:eastAsia="仿宋" w:cs="Calibri"/>
                <w:b/>
                <w:bCs/>
                <w:sz w:val="24"/>
                <w:szCs w:val="24"/>
                <w:highlight w:val="none"/>
              </w:rPr>
            </w:pPr>
            <w:r>
              <w:rPr>
                <w:rFonts w:hint="eastAsia" w:ascii="仿宋" w:hAnsi="仿宋" w:eastAsia="仿宋"/>
                <w:b/>
                <w:bCs/>
                <w:sz w:val="24"/>
                <w:highlight w:val="none"/>
              </w:rPr>
              <w:t>修订</w:t>
            </w:r>
            <w:r>
              <w:rPr>
                <w:rFonts w:hint="eastAsia" w:ascii="仿宋" w:hAnsi="仿宋" w:eastAsia="仿宋"/>
                <w:b/>
                <w:bCs/>
                <w:sz w:val="24"/>
                <w:highlight w:val="none"/>
                <w:lang w:eastAsia="zh-CN"/>
              </w:rPr>
              <w:t>后</w:t>
            </w:r>
            <w:r>
              <w:rPr>
                <w:rFonts w:hint="eastAsia" w:ascii="仿宋" w:hAnsi="仿宋" w:eastAsia="仿宋"/>
                <w:b/>
                <w:bCs/>
                <w:sz w:val="24"/>
                <w:highlight w:val="none"/>
              </w:rPr>
              <w:t>条文</w:t>
            </w:r>
          </w:p>
        </w:tc>
      </w:tr>
      <w:tr>
        <w:tblPrEx>
          <w:tblCellMar>
            <w:top w:w="0" w:type="dxa"/>
            <w:left w:w="108" w:type="dxa"/>
            <w:bottom w:w="0" w:type="dxa"/>
            <w:right w:w="108" w:type="dxa"/>
          </w:tblCellMar>
        </w:tblPrEx>
        <w:trPr>
          <w:trHeight w:val="397"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highlight w:val="none"/>
                <w:lang w:val="en-US" w:eastAsia="zh-CN"/>
              </w:rPr>
            </w:pPr>
            <w:r>
              <w:rPr>
                <w:rFonts w:hint="eastAsia" w:ascii="仿宋" w:hAnsi="仿宋" w:eastAsia="仿宋" w:cs="仿宋"/>
                <w:b/>
                <w:bCs/>
                <w:sz w:val="24"/>
                <w:szCs w:val="24"/>
                <w:highlight w:val="none"/>
                <w:lang w:val="en-US" w:eastAsia="zh-CN"/>
              </w:rPr>
              <w:t>第一章 总则</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ascii="仿宋" w:hAnsi="仿宋" w:eastAsia="仿宋" w:cs="Times New Roman"/>
                <w:sz w:val="24"/>
                <w:szCs w:val="24"/>
                <w:highlight w:val="none"/>
              </w:rPr>
            </w:pPr>
            <w:r>
              <w:rPr>
                <w:rFonts w:hint="eastAsia" w:ascii="仿宋" w:hAnsi="仿宋" w:eastAsia="仿宋"/>
                <w:b/>
                <w:sz w:val="24"/>
                <w:highlight w:val="none"/>
              </w:rPr>
              <w:t xml:space="preserve">第二条 </w:t>
            </w:r>
            <w:r>
              <w:rPr>
                <w:rFonts w:hint="eastAsia" w:ascii="仿宋" w:hAnsi="仿宋" w:eastAsia="仿宋"/>
                <w:sz w:val="24"/>
                <w:highlight w:val="none"/>
              </w:rPr>
              <w:t>交易所、会员、境外经纪机构、客户、交割仓库（以下简称仓库）、交割厂库（以下简称厂库）、指定质检机构及期货市场其他参与者应当遵守本细则。</w:t>
            </w:r>
          </w:p>
        </w:tc>
        <w:tc>
          <w:tcPr>
            <w:tcW w:w="4148" w:type="dxa"/>
            <w:tcBorders>
              <w:top w:val="single" w:color="auto" w:sz="4" w:space="0"/>
              <w:left w:val="single" w:color="auto" w:sz="4" w:space="0"/>
              <w:bottom w:val="single" w:color="auto" w:sz="4" w:space="0"/>
              <w:right w:val="single" w:color="auto" w:sz="4" w:space="0"/>
            </w:tcBorders>
            <w:noWrap w:val="0"/>
            <w:vAlign w:val="top"/>
          </w:tcPr>
          <w:p>
            <w:pPr>
              <w:ind w:firstLine="480"/>
              <w:rPr>
                <w:rFonts w:ascii="仿宋" w:hAnsi="仿宋" w:eastAsia="仿宋" w:cs="Times New Roman"/>
                <w:sz w:val="24"/>
                <w:szCs w:val="24"/>
                <w:highlight w:val="none"/>
              </w:rPr>
            </w:pPr>
            <w:r>
              <w:rPr>
                <w:rFonts w:hint="eastAsia" w:ascii="仿宋" w:hAnsi="仿宋" w:eastAsia="仿宋"/>
                <w:b/>
                <w:sz w:val="24"/>
                <w:highlight w:val="none"/>
              </w:rPr>
              <w:t>第二条</w:t>
            </w:r>
            <w:r>
              <w:rPr>
                <w:rFonts w:hint="eastAsia" w:ascii="仿宋" w:hAnsi="仿宋" w:eastAsia="仿宋"/>
                <w:sz w:val="24"/>
                <w:highlight w:val="none"/>
              </w:rPr>
              <w:t xml:space="preserve"> 交易所、会员、</w:t>
            </w:r>
            <w:r>
              <w:rPr>
                <w:rFonts w:hint="eastAsia" w:ascii="仿宋" w:hAnsi="仿宋" w:eastAsia="仿宋"/>
                <w:b/>
                <w:sz w:val="24"/>
                <w:highlight w:val="none"/>
                <w:u w:val="single"/>
              </w:rPr>
              <w:t>境外特殊参与者、</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sz w:val="24"/>
                <w:highlight w:val="none"/>
                <w:u w:val="single"/>
              </w:rPr>
              <w:t>中介</w:t>
            </w:r>
            <w:r>
              <w:rPr>
                <w:rFonts w:hint="eastAsia" w:ascii="仿宋" w:hAnsi="仿宋" w:eastAsia="仿宋"/>
                <w:sz w:val="24"/>
                <w:highlight w:val="none"/>
              </w:rPr>
              <w:t>机构、客户、交割仓库（以下简称仓库）、交割厂库（以下简称厂库）、</w:t>
            </w:r>
            <w:r>
              <w:rPr>
                <w:rFonts w:hint="eastAsia" w:ascii="仿宋" w:hAnsi="仿宋" w:eastAsia="仿宋"/>
                <w:b/>
                <w:sz w:val="24"/>
                <w:highlight w:val="none"/>
                <w:u w:val="single"/>
              </w:rPr>
              <w:t>车（船）板交割服务机构（以下简称交割服务机构）、</w:t>
            </w:r>
            <w:r>
              <w:rPr>
                <w:rFonts w:hint="eastAsia" w:ascii="仿宋" w:hAnsi="仿宋" w:eastAsia="仿宋"/>
                <w:sz w:val="24"/>
                <w:highlight w:val="none"/>
              </w:rPr>
              <w:t>指定质检机构及期货市场其他参与者应当遵守本细则。</w:t>
            </w:r>
          </w:p>
        </w:tc>
      </w:tr>
      <w:tr>
        <w:tblPrEx>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b/>
                <w:sz w:val="24"/>
                <w:highlight w:val="none"/>
                <w:lang w:val="en-US" w:eastAsia="zh-CN"/>
              </w:rPr>
            </w:pPr>
            <w:r>
              <w:rPr>
                <w:rFonts w:hint="eastAsia" w:ascii="仿宋" w:hAnsi="仿宋" w:eastAsia="仿宋"/>
                <w:b/>
                <w:sz w:val="24"/>
                <w:highlight w:val="none"/>
                <w:lang w:eastAsia="zh-CN"/>
              </w:rPr>
              <w:t>第四章</w:t>
            </w:r>
            <w:r>
              <w:rPr>
                <w:rFonts w:hint="eastAsia" w:ascii="仿宋" w:hAnsi="仿宋" w:eastAsia="仿宋"/>
                <w:b/>
                <w:sz w:val="24"/>
                <w:highlight w:val="none"/>
                <w:lang w:val="en-US" w:eastAsia="zh-CN"/>
              </w:rPr>
              <w:t xml:space="preserve"> 保税标准仓单</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b w:val="0"/>
                <w:sz w:val="24"/>
                <w:highlight w:val="none"/>
              </w:rPr>
            </w:pPr>
            <w:r>
              <w:rPr>
                <w:rFonts w:hint="eastAsia" w:ascii="仿宋" w:hAnsi="仿宋" w:eastAsia="仿宋"/>
                <w:b/>
                <w:sz w:val="24"/>
                <w:highlight w:val="none"/>
              </w:rPr>
              <w:t xml:space="preserve">第五十五条 </w:t>
            </w:r>
            <w:r>
              <w:rPr>
                <w:rFonts w:hint="eastAsia" w:ascii="仿宋" w:hAnsi="仿宋" w:eastAsia="仿宋"/>
                <w:b w:val="0"/>
                <w:sz w:val="24"/>
                <w:highlight w:val="none"/>
              </w:rPr>
              <w:t>PTA保税标准仓单转让应当在交易所办理过户手续，并委托交易所办理货款划转。买卖双方通过会员向交易所提交转让申请。转让价格应当在提交转让申请当日最近交割月份合约涨跌停板价格扣除税费的范围内。</w:t>
            </w:r>
          </w:p>
          <w:p>
            <w:pPr>
              <w:widowControl/>
              <w:ind w:firstLine="480"/>
              <w:rPr>
                <w:rFonts w:hint="eastAsia" w:ascii="仿宋" w:hAnsi="仿宋" w:eastAsia="仿宋"/>
                <w:b/>
                <w:sz w:val="24"/>
                <w:highlight w:val="none"/>
              </w:rPr>
            </w:pPr>
            <w:r>
              <w:rPr>
                <w:rFonts w:hint="eastAsia" w:ascii="仿宋" w:hAnsi="仿宋" w:eastAsia="仿宋"/>
                <w:b w:val="0"/>
                <w:sz w:val="24"/>
                <w:highlight w:val="none"/>
              </w:rPr>
              <w:t>交易所完成标准仓单过户和货款划转后，为买卖双方开具《保税交割结算单》。《保税交割结算单》中应当包括价格信息、买卖双方客户名称、会员单位名称、实际数量、交割方式等内容，交割方式中应当标注“转让”。</w:t>
            </w:r>
          </w:p>
        </w:tc>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b w:val="0"/>
                <w:sz w:val="24"/>
                <w:highlight w:val="none"/>
              </w:rPr>
            </w:pPr>
            <w:r>
              <w:rPr>
                <w:rFonts w:hint="eastAsia" w:ascii="仿宋" w:hAnsi="仿宋" w:eastAsia="仿宋"/>
                <w:b/>
                <w:sz w:val="24"/>
                <w:highlight w:val="none"/>
              </w:rPr>
              <w:t xml:space="preserve">第五十五条 </w:t>
            </w:r>
            <w:r>
              <w:rPr>
                <w:rFonts w:hint="eastAsia" w:ascii="仿宋" w:hAnsi="仿宋" w:eastAsia="仿宋"/>
                <w:b w:val="0"/>
                <w:sz w:val="24"/>
                <w:highlight w:val="none"/>
              </w:rPr>
              <w:t>PTA保税标准仓单转让应当在交易所办理过户手续，并委托交易所办理货款划转。买卖双方通过会员向交易所提交转让申请。转让价格应当在提交转让申请当日最近交割月份合约涨跌停板价格扣除税费的范围内。</w:t>
            </w:r>
          </w:p>
          <w:p>
            <w:pPr>
              <w:ind w:firstLine="480"/>
              <w:rPr>
                <w:rFonts w:hint="eastAsia" w:ascii="仿宋" w:hAnsi="仿宋" w:eastAsia="仿宋"/>
                <w:b/>
                <w:sz w:val="24"/>
                <w:highlight w:val="none"/>
              </w:rPr>
            </w:pPr>
            <w:r>
              <w:rPr>
                <w:rFonts w:hint="eastAsia" w:ascii="仿宋" w:hAnsi="仿宋" w:eastAsia="仿宋"/>
                <w:b w:val="0"/>
                <w:sz w:val="24"/>
                <w:highlight w:val="none"/>
              </w:rPr>
              <w:t>交易所完成标准仓单过户和货款划转后，为买卖双方开具《保税交割结算单》。《保税交割结算单》中应当包括价格信息、买卖双方</w:t>
            </w:r>
            <w:r>
              <w:rPr>
                <w:rFonts w:hint="eastAsia" w:ascii="仿宋" w:hAnsi="仿宋" w:eastAsia="仿宋"/>
                <w:b w:val="0"/>
                <w:dstrike/>
                <w:sz w:val="24"/>
                <w:highlight w:val="none"/>
              </w:rPr>
              <w:t>客户</w:t>
            </w:r>
            <w:r>
              <w:rPr>
                <w:rFonts w:hint="eastAsia" w:ascii="仿宋" w:hAnsi="仿宋" w:eastAsia="仿宋"/>
                <w:b w:val="0"/>
                <w:sz w:val="24"/>
                <w:highlight w:val="none"/>
              </w:rPr>
              <w:t>名称、会员单位名称、实际数量、交割方式等内容，交割方式中应当标注“转让”。</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b w:val="0"/>
                <w:sz w:val="24"/>
                <w:highlight w:val="none"/>
              </w:rPr>
            </w:pPr>
            <w:r>
              <w:rPr>
                <w:rFonts w:hint="eastAsia" w:ascii="仿宋" w:hAnsi="仿宋" w:eastAsia="仿宋"/>
                <w:b/>
                <w:bCs/>
                <w:sz w:val="24"/>
                <w:highlight w:val="none"/>
              </w:rPr>
              <w:t>第五十九条</w:t>
            </w:r>
            <w:r>
              <w:rPr>
                <w:rFonts w:hint="eastAsia" w:ascii="仿宋" w:hAnsi="仿宋" w:eastAsia="仿宋"/>
                <w:b w:val="0"/>
                <w:sz w:val="24"/>
                <w:highlight w:val="none"/>
              </w:rPr>
              <w:t xml:space="preserve"> 交易所于第三交割日将卖方会员提交的保税标准仓单交付买方会员，将保税标准仓单货款付给卖方会员，并给买卖双方开具《保税交割结算单》。《保税交割结算单》中应当包括价格信息、买卖双方客户名称、会员单位名称、实际数量、交割方式等内容，交割方式中应当标注“交割”。</w:t>
            </w:r>
          </w:p>
        </w:tc>
        <w:tc>
          <w:tcPr>
            <w:tcW w:w="4148" w:type="dxa"/>
            <w:tcBorders>
              <w:top w:val="single" w:color="auto" w:sz="4" w:space="0"/>
              <w:left w:val="single" w:color="auto" w:sz="4" w:space="0"/>
              <w:bottom w:val="single" w:color="auto" w:sz="4" w:space="0"/>
              <w:right w:val="single" w:color="auto" w:sz="4" w:space="0"/>
            </w:tcBorders>
            <w:noWrap w:val="0"/>
            <w:vAlign w:val="top"/>
          </w:tcPr>
          <w:p>
            <w:pPr>
              <w:ind w:firstLine="480"/>
              <w:rPr>
                <w:rFonts w:hint="eastAsia" w:ascii="仿宋" w:hAnsi="仿宋" w:eastAsia="仿宋"/>
                <w:b w:val="0"/>
                <w:sz w:val="24"/>
                <w:highlight w:val="none"/>
              </w:rPr>
            </w:pPr>
            <w:r>
              <w:rPr>
                <w:rFonts w:hint="eastAsia" w:ascii="仿宋" w:hAnsi="仿宋" w:eastAsia="仿宋"/>
                <w:b/>
                <w:bCs/>
                <w:sz w:val="24"/>
                <w:highlight w:val="none"/>
              </w:rPr>
              <w:t>第五十九条</w:t>
            </w:r>
            <w:r>
              <w:rPr>
                <w:rFonts w:hint="eastAsia" w:ascii="仿宋" w:hAnsi="仿宋" w:eastAsia="仿宋"/>
                <w:b w:val="0"/>
                <w:sz w:val="24"/>
                <w:highlight w:val="none"/>
              </w:rPr>
              <w:t xml:space="preserve"> 交易所于第三交割日将卖方会员提交的保税标准仓单交付买方会员，将保税标准仓单货款付给卖方会员，并给买卖双方开具《保税交割结算单》。《保税交割结算单》中应当包括价格信息、买卖双方</w:t>
            </w:r>
            <w:r>
              <w:rPr>
                <w:rFonts w:hint="eastAsia" w:ascii="仿宋" w:hAnsi="仿宋" w:eastAsia="仿宋"/>
                <w:b w:val="0"/>
                <w:dstrike/>
                <w:sz w:val="24"/>
                <w:highlight w:val="none"/>
              </w:rPr>
              <w:t>客户</w:t>
            </w:r>
            <w:r>
              <w:rPr>
                <w:rFonts w:hint="eastAsia" w:ascii="仿宋" w:hAnsi="仿宋" w:eastAsia="仿宋"/>
                <w:b w:val="0"/>
                <w:sz w:val="24"/>
                <w:highlight w:val="none"/>
              </w:rPr>
              <w:t>名称、会员单位名称、实际数量、交割方式等内容，交割方式中应当标注“交割”。</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b/>
                <w:sz w:val="24"/>
                <w:highlight w:val="none"/>
              </w:rPr>
            </w:pPr>
            <w:r>
              <w:rPr>
                <w:rFonts w:hint="eastAsia" w:ascii="仿宋" w:hAnsi="仿宋" w:eastAsia="仿宋"/>
                <w:b/>
                <w:sz w:val="24"/>
                <w:highlight w:val="none"/>
              </w:rPr>
              <w:t xml:space="preserve">第六十条 </w:t>
            </w:r>
            <w:r>
              <w:rPr>
                <w:rFonts w:hint="eastAsia" w:ascii="仿宋" w:hAnsi="仿宋" w:eastAsia="仿宋"/>
                <w:sz w:val="24"/>
                <w:highlight w:val="none"/>
              </w:rPr>
              <w:t>参与PTA保税标准仓单交割的，境内卖方客户应当向卖方会员开具增值税普通发票，境外卖方客户（不包括合格境外机构投资者和人民币合格境外机构投资者）或者境外经纪机构应当向卖方会员开具相应的收款凭证；卖方会员应当向交易所开具增值税普通发票；交易所应当向买方会员开具增值税普通发票；买方会员应当向买方客户、境外经纪机构开具增值税普通发票。</w:t>
            </w:r>
          </w:p>
        </w:tc>
        <w:tc>
          <w:tcPr>
            <w:tcW w:w="4148" w:type="dxa"/>
            <w:tcBorders>
              <w:top w:val="single" w:color="auto" w:sz="4" w:space="0"/>
              <w:left w:val="single" w:color="auto" w:sz="4" w:space="0"/>
              <w:bottom w:val="single" w:color="auto" w:sz="4" w:space="0"/>
              <w:right w:val="single" w:color="auto" w:sz="4" w:space="0"/>
            </w:tcBorders>
            <w:noWrap w:val="0"/>
            <w:vAlign w:val="top"/>
          </w:tcPr>
          <w:p>
            <w:pPr>
              <w:ind w:firstLine="480"/>
              <w:rPr>
                <w:rFonts w:hint="eastAsia" w:ascii="仿宋" w:hAnsi="仿宋" w:eastAsia="仿宋"/>
                <w:b/>
                <w:sz w:val="24"/>
                <w:highlight w:val="none"/>
              </w:rPr>
            </w:pPr>
            <w:r>
              <w:rPr>
                <w:rFonts w:hint="eastAsia" w:ascii="仿宋" w:hAnsi="仿宋" w:eastAsia="仿宋"/>
                <w:b/>
                <w:sz w:val="24"/>
                <w:highlight w:val="none"/>
              </w:rPr>
              <w:t>第六十条</w:t>
            </w:r>
            <w:r>
              <w:rPr>
                <w:rFonts w:hint="eastAsia" w:ascii="仿宋" w:hAnsi="仿宋" w:eastAsia="仿宋"/>
                <w:sz w:val="24"/>
                <w:highlight w:val="none"/>
              </w:rPr>
              <w:t xml:space="preserve"> 参与PTA保税标准仓单交割的，境内卖方客户应当向卖方会员开具增值税普通发票，境外卖方客户（不包括合格境外机构投资者和人民币合格境外机构投资者）</w:t>
            </w:r>
            <w:r>
              <w:rPr>
                <w:rFonts w:hint="eastAsia" w:ascii="仿宋" w:hAnsi="仿宋" w:eastAsia="仿宋"/>
                <w:b/>
                <w:bCs/>
                <w:sz w:val="24"/>
                <w:highlight w:val="none"/>
                <w:u w:val="single"/>
              </w:rPr>
              <w:t>、境外特殊参与者</w:t>
            </w:r>
            <w:r>
              <w:rPr>
                <w:rFonts w:hint="eastAsia" w:ascii="仿宋" w:hAnsi="仿宋" w:eastAsia="仿宋"/>
                <w:sz w:val="24"/>
                <w:highlight w:val="none"/>
              </w:rPr>
              <w:t>或者境外</w:t>
            </w:r>
            <w:r>
              <w:rPr>
                <w:rFonts w:hint="eastAsia" w:ascii="仿宋" w:hAnsi="仿宋" w:eastAsia="仿宋"/>
                <w:dstrike/>
                <w:sz w:val="24"/>
                <w:highlight w:val="none"/>
              </w:rPr>
              <w:t>经纪</w:t>
            </w:r>
            <w:r>
              <w:rPr>
                <w:rFonts w:hint="eastAsia" w:ascii="仿宋" w:hAnsi="仿宋" w:eastAsia="仿宋"/>
                <w:b/>
                <w:bCs/>
                <w:sz w:val="24"/>
                <w:highlight w:val="none"/>
                <w:u w:val="single"/>
              </w:rPr>
              <w:t>中介</w:t>
            </w:r>
            <w:r>
              <w:rPr>
                <w:rFonts w:hint="eastAsia" w:ascii="仿宋" w:hAnsi="仿宋" w:eastAsia="仿宋"/>
                <w:sz w:val="24"/>
                <w:highlight w:val="none"/>
              </w:rPr>
              <w:t>机构应当向卖方会员开具相应的收款凭证；卖方会员应当向交易所开具增值税普通发票；交易所应当向买方会员开具增值税普通发票；买方会员应当向买方客户、</w:t>
            </w:r>
            <w:r>
              <w:rPr>
                <w:rFonts w:hint="eastAsia" w:ascii="仿宋" w:hAnsi="仿宋" w:eastAsia="仿宋"/>
                <w:b/>
                <w:bCs/>
                <w:sz w:val="24"/>
                <w:highlight w:val="none"/>
                <w:u w:val="single"/>
              </w:rPr>
              <w:t>境外特殊参与者</w:t>
            </w:r>
            <w:r>
              <w:rPr>
                <w:rFonts w:hint="eastAsia" w:ascii="仿宋" w:hAnsi="仿宋" w:eastAsia="仿宋"/>
                <w:b/>
                <w:bCs/>
                <w:sz w:val="24"/>
                <w:highlight w:val="none"/>
                <w:u w:val="single"/>
                <w:lang w:eastAsia="zh-CN"/>
              </w:rPr>
              <w:t>、</w:t>
            </w:r>
            <w:r>
              <w:rPr>
                <w:rFonts w:hint="eastAsia" w:ascii="仿宋" w:hAnsi="仿宋" w:eastAsia="仿宋"/>
                <w:sz w:val="24"/>
                <w:highlight w:val="none"/>
              </w:rPr>
              <w:t>境外</w:t>
            </w:r>
            <w:r>
              <w:rPr>
                <w:rFonts w:hint="eastAsia" w:ascii="仿宋" w:hAnsi="仿宋" w:eastAsia="仿宋"/>
                <w:dstrike/>
                <w:sz w:val="24"/>
                <w:highlight w:val="none"/>
              </w:rPr>
              <w:t>经纪</w:t>
            </w:r>
            <w:r>
              <w:rPr>
                <w:rFonts w:hint="eastAsia" w:ascii="仿宋" w:hAnsi="仿宋" w:eastAsia="仿宋"/>
                <w:b/>
                <w:bCs/>
                <w:sz w:val="24"/>
                <w:highlight w:val="none"/>
                <w:u w:val="single"/>
              </w:rPr>
              <w:t>中介</w:t>
            </w:r>
            <w:r>
              <w:rPr>
                <w:rFonts w:hint="eastAsia" w:ascii="仿宋" w:hAnsi="仿宋" w:eastAsia="仿宋"/>
                <w:sz w:val="24"/>
                <w:highlight w:val="none"/>
              </w:rPr>
              <w:t>机构开具增值税普通发票。</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b w:val="0"/>
                <w:sz w:val="24"/>
                <w:szCs w:val="24"/>
                <w:highlight w:val="none"/>
              </w:rPr>
            </w:pPr>
            <w:r>
              <w:rPr>
                <w:rFonts w:hint="eastAsia" w:ascii="仿宋" w:hAnsi="仿宋" w:eastAsia="仿宋"/>
                <w:b/>
                <w:bCs/>
                <w:sz w:val="24"/>
                <w:szCs w:val="24"/>
                <w:highlight w:val="none"/>
              </w:rPr>
              <w:t>第六十五条</w:t>
            </w:r>
            <w:r>
              <w:rPr>
                <w:rFonts w:hint="eastAsia" w:ascii="仿宋" w:hAnsi="仿宋" w:eastAsia="仿宋"/>
                <w:b w:val="0"/>
                <w:sz w:val="24"/>
                <w:szCs w:val="24"/>
                <w:highlight w:val="none"/>
              </w:rPr>
              <w:t xml:space="preserve"> PTA保税期转现批准日的下一个交易日，交易所将卖方会员提交的保税标准仓单交付买方会员，为买卖双方开具《保税交割结算单》。《保税交割结算单》中应当包括价格信息、买卖双方客户名称、会员单位名称、实际数量、交割方式等内容， 交割方式中应当标注“期转现”。</w:t>
            </w:r>
          </w:p>
        </w:tc>
        <w:tc>
          <w:tcPr>
            <w:tcW w:w="4148" w:type="dxa"/>
            <w:tcBorders>
              <w:top w:val="single" w:color="auto" w:sz="4" w:space="0"/>
              <w:left w:val="single" w:color="auto" w:sz="4" w:space="0"/>
              <w:bottom w:val="single" w:color="auto" w:sz="4" w:space="0"/>
              <w:right w:val="single" w:color="auto" w:sz="4" w:space="0"/>
            </w:tcBorders>
            <w:noWrap w:val="0"/>
            <w:vAlign w:val="top"/>
          </w:tcPr>
          <w:p>
            <w:pPr>
              <w:ind w:firstLine="480"/>
              <w:rPr>
                <w:rFonts w:hint="eastAsia" w:ascii="仿宋" w:hAnsi="仿宋" w:eastAsia="仿宋"/>
                <w:b w:val="0"/>
                <w:sz w:val="24"/>
                <w:szCs w:val="24"/>
                <w:highlight w:val="none"/>
              </w:rPr>
            </w:pPr>
            <w:r>
              <w:rPr>
                <w:rFonts w:hint="eastAsia" w:ascii="仿宋" w:hAnsi="仿宋" w:eastAsia="仿宋"/>
                <w:b/>
                <w:bCs/>
                <w:sz w:val="24"/>
                <w:szCs w:val="24"/>
                <w:highlight w:val="none"/>
              </w:rPr>
              <w:t>第六十五条</w:t>
            </w:r>
            <w:r>
              <w:rPr>
                <w:rFonts w:hint="eastAsia" w:ascii="仿宋" w:hAnsi="仿宋" w:eastAsia="仿宋"/>
                <w:b w:val="0"/>
                <w:sz w:val="24"/>
                <w:szCs w:val="24"/>
                <w:highlight w:val="none"/>
              </w:rPr>
              <w:t xml:space="preserve"> PTA保税期转现批准日的下一个交易日，交易所将卖方会员提交的保税标准仓单交付买方会员，为买卖双方开具《保税交割结算单》。《保税交割结算单》中应当包括价格信息、买卖双方</w:t>
            </w:r>
            <w:r>
              <w:rPr>
                <w:rFonts w:hint="eastAsia" w:ascii="仿宋" w:hAnsi="仿宋" w:eastAsia="仿宋" w:cs="宋体"/>
                <w:b w:val="0"/>
                <w:dstrike/>
                <w:kern w:val="0"/>
                <w:sz w:val="24"/>
                <w:szCs w:val="24"/>
                <w:highlight w:val="none"/>
                <w:lang w:bidi="ar"/>
              </w:rPr>
              <w:t>客户</w:t>
            </w:r>
            <w:r>
              <w:rPr>
                <w:rFonts w:hint="eastAsia" w:ascii="仿宋" w:hAnsi="仿宋" w:eastAsia="仿宋"/>
                <w:b w:val="0"/>
                <w:sz w:val="24"/>
                <w:szCs w:val="24"/>
                <w:highlight w:val="none"/>
              </w:rPr>
              <w:t>名称、会员单位名称、实际数量、交割方式等内容， 交割方式中应当标注“期转现”。</w:t>
            </w:r>
          </w:p>
        </w:tc>
      </w:tr>
      <w:tr>
        <w:tblPrEx>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b/>
                <w:bCs/>
                <w:sz w:val="24"/>
                <w:szCs w:val="24"/>
                <w:highlight w:val="none"/>
                <w:lang w:val="en-US" w:eastAsia="zh-CN"/>
              </w:rPr>
            </w:pPr>
            <w:r>
              <w:rPr>
                <w:rFonts w:hint="eastAsia" w:ascii="仿宋" w:hAnsi="仿宋" w:eastAsia="仿宋"/>
                <w:b/>
                <w:bCs/>
                <w:sz w:val="24"/>
                <w:szCs w:val="24"/>
                <w:highlight w:val="none"/>
                <w:lang w:eastAsia="zh-CN"/>
              </w:rPr>
              <w:t>第五章</w:t>
            </w:r>
            <w:r>
              <w:rPr>
                <w:rFonts w:hint="eastAsia" w:ascii="仿宋" w:hAnsi="仿宋" w:eastAsia="仿宋"/>
                <w:b/>
                <w:bCs/>
                <w:sz w:val="24"/>
                <w:szCs w:val="24"/>
                <w:highlight w:val="none"/>
                <w:lang w:val="en-US" w:eastAsia="zh-CN"/>
              </w:rPr>
              <w:t xml:space="preserve"> 出口型车（船）板交割</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b/>
                <w:bCs/>
                <w:sz w:val="24"/>
                <w:szCs w:val="24"/>
                <w:highlight w:val="none"/>
              </w:rPr>
            </w:pPr>
            <w:r>
              <w:rPr>
                <w:rFonts w:hint="eastAsia" w:ascii="仿宋" w:hAnsi="仿宋" w:eastAsia="仿宋"/>
                <w:b/>
                <w:bCs/>
                <w:sz w:val="24"/>
                <w:szCs w:val="24"/>
                <w:highlight w:val="none"/>
              </w:rPr>
              <w:t xml:space="preserve">第八十三条 </w:t>
            </w:r>
            <w:r>
              <w:rPr>
                <w:rFonts w:hint="eastAsia" w:ascii="仿宋" w:hAnsi="仿宋" w:eastAsia="仿宋"/>
                <w:b w:val="0"/>
                <w:bCs w:val="0"/>
                <w:sz w:val="24"/>
                <w:szCs w:val="24"/>
                <w:highlight w:val="none"/>
              </w:rPr>
              <w:t>交易所完成资金划转后，为买卖双方开具《保税交割结算单》。《保税交割结算单》中应当包括价格信息、买卖双方客户名称、会员单位名称、实际数量、交割方式等内容，交割方式中应当标注“出口型车（船）板交割”。</w:t>
            </w:r>
          </w:p>
        </w:tc>
        <w:tc>
          <w:tcPr>
            <w:tcW w:w="4148" w:type="dxa"/>
            <w:tcBorders>
              <w:top w:val="single" w:color="auto" w:sz="4" w:space="0"/>
              <w:left w:val="single" w:color="auto" w:sz="4" w:space="0"/>
              <w:bottom w:val="single" w:color="auto" w:sz="4" w:space="0"/>
              <w:right w:val="single" w:color="auto" w:sz="4" w:space="0"/>
            </w:tcBorders>
            <w:noWrap w:val="0"/>
            <w:vAlign w:val="top"/>
          </w:tcPr>
          <w:p>
            <w:pPr>
              <w:ind w:firstLine="480"/>
              <w:rPr>
                <w:rFonts w:hint="eastAsia" w:ascii="仿宋" w:hAnsi="仿宋" w:eastAsia="仿宋"/>
                <w:b/>
                <w:bCs/>
                <w:sz w:val="24"/>
                <w:szCs w:val="24"/>
                <w:highlight w:val="none"/>
              </w:rPr>
            </w:pPr>
            <w:r>
              <w:rPr>
                <w:rFonts w:hint="eastAsia" w:ascii="仿宋" w:hAnsi="仿宋" w:eastAsia="仿宋"/>
                <w:b/>
                <w:bCs/>
                <w:sz w:val="24"/>
                <w:szCs w:val="24"/>
                <w:highlight w:val="none"/>
              </w:rPr>
              <w:t xml:space="preserve">第八十三条 </w:t>
            </w:r>
            <w:r>
              <w:rPr>
                <w:rFonts w:hint="eastAsia" w:ascii="仿宋" w:hAnsi="仿宋" w:eastAsia="仿宋"/>
                <w:b w:val="0"/>
                <w:bCs w:val="0"/>
                <w:sz w:val="24"/>
                <w:szCs w:val="24"/>
                <w:highlight w:val="none"/>
              </w:rPr>
              <w:t>交易所完成资金划转后，为买卖双方开具《保税交割结算单》。《保税交割结算单》中应当包括价格信息、买卖双方</w:t>
            </w:r>
            <w:r>
              <w:rPr>
                <w:rFonts w:hint="eastAsia" w:ascii="仿宋" w:hAnsi="仿宋" w:eastAsia="仿宋" w:cs="宋体"/>
                <w:b w:val="0"/>
                <w:bCs w:val="0"/>
                <w:dstrike/>
                <w:kern w:val="0"/>
                <w:sz w:val="24"/>
                <w:szCs w:val="24"/>
                <w:highlight w:val="none"/>
                <w:lang w:bidi="ar"/>
              </w:rPr>
              <w:t>客户</w:t>
            </w:r>
            <w:r>
              <w:rPr>
                <w:rFonts w:hint="eastAsia" w:ascii="仿宋" w:hAnsi="仿宋" w:eastAsia="仿宋"/>
                <w:b w:val="0"/>
                <w:bCs w:val="0"/>
                <w:sz w:val="24"/>
                <w:szCs w:val="24"/>
                <w:highlight w:val="none"/>
              </w:rPr>
              <w:t>名称、会员单位名称、实际数量、交割方式等内容，交割方式中应当标注“出口型车（船）板交割”。</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widowControl/>
              <w:suppressLineNumbers w:val="0"/>
              <w:ind w:left="0" w:firstLine="640"/>
              <w:rPr>
                <w:rFonts w:hint="default" w:ascii="仿宋" w:hAnsi="仿宋" w:eastAsia="仿宋"/>
                <w:b/>
                <w:sz w:val="24"/>
                <w:highlight w:val="none"/>
                <w:lang w:val="en-US" w:eastAsia="zh-CN"/>
              </w:rPr>
            </w:pPr>
            <w:r>
              <w:rPr>
                <w:rFonts w:hint="eastAsia" w:ascii="仿宋" w:hAnsi="仿宋" w:eastAsia="仿宋"/>
                <w:b/>
                <w:sz w:val="24"/>
                <w:highlight w:val="none"/>
                <w:lang w:eastAsia="zh-CN"/>
              </w:rPr>
              <w:t>第八十四</w:t>
            </w:r>
            <w:r>
              <w:rPr>
                <w:rFonts w:hint="eastAsia" w:ascii="仿宋" w:hAnsi="仿宋" w:eastAsia="仿宋"/>
                <w:b/>
                <w:sz w:val="24"/>
                <w:highlight w:val="none"/>
                <w:lang w:val="en-US" w:eastAsia="zh-CN"/>
              </w:rPr>
              <w:t>条</w:t>
            </w:r>
            <w:r>
              <w:rPr>
                <w:rFonts w:hint="eastAsia" w:ascii="仿宋" w:hAnsi="仿宋" w:eastAsia="仿宋" w:cs="Times New Roman"/>
                <w:kern w:val="2"/>
                <w:sz w:val="24"/>
                <w:szCs w:val="24"/>
                <w:highlight w:val="none"/>
                <w:lang w:val="en-US" w:eastAsia="zh-CN" w:bidi="ar-SA"/>
              </w:rPr>
              <w:t xml:space="preserve"> 参与</w:t>
            </w:r>
            <w:r>
              <w:rPr>
                <w:rFonts w:hint="default" w:ascii="仿宋" w:hAnsi="仿宋" w:eastAsia="仿宋" w:cs="Times New Roman"/>
                <w:kern w:val="2"/>
                <w:sz w:val="24"/>
                <w:szCs w:val="24"/>
                <w:highlight w:val="none"/>
                <w:lang w:val="en-US" w:eastAsia="zh-CN" w:bidi="ar-SA"/>
              </w:rPr>
              <w:t>PTA</w:t>
            </w:r>
            <w:r>
              <w:rPr>
                <w:rFonts w:hint="eastAsia" w:ascii="仿宋" w:hAnsi="仿宋" w:eastAsia="仿宋" w:cs="Times New Roman"/>
                <w:kern w:val="2"/>
                <w:sz w:val="24"/>
                <w:szCs w:val="24"/>
                <w:highlight w:val="none"/>
                <w:lang w:val="en-US" w:eastAsia="zh-CN" w:bidi="ar-SA"/>
              </w:rPr>
              <w:t>出口型车（船）板交割的，境内卖方客户应当向卖方会员开具增值税普通发票；卖方会员应当向交易所开具增值税普通发票；交易所应当向买方会员开具增值税普通发票；买方会员应当向买方客户、境外经纪机构开具增值税普通发票。</w:t>
            </w:r>
          </w:p>
        </w:tc>
        <w:tc>
          <w:tcPr>
            <w:tcW w:w="414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widowControl/>
              <w:suppressLineNumbers w:val="0"/>
              <w:ind w:left="0" w:firstLine="640"/>
              <w:rPr>
                <w:rFonts w:hint="eastAsia" w:ascii="仿宋" w:hAnsi="仿宋" w:eastAsia="仿宋"/>
                <w:b/>
                <w:sz w:val="24"/>
                <w:highlight w:val="none"/>
              </w:rPr>
            </w:pPr>
            <w:r>
              <w:rPr>
                <w:rFonts w:hint="eastAsia" w:ascii="仿宋" w:hAnsi="仿宋" w:eastAsia="仿宋"/>
                <w:b/>
                <w:sz w:val="24"/>
                <w:highlight w:val="none"/>
                <w:lang w:eastAsia="zh-CN"/>
              </w:rPr>
              <w:t>第八十四</w:t>
            </w:r>
            <w:r>
              <w:rPr>
                <w:rFonts w:hint="eastAsia" w:ascii="仿宋" w:hAnsi="仿宋" w:eastAsia="仿宋"/>
                <w:b/>
                <w:sz w:val="24"/>
                <w:highlight w:val="none"/>
                <w:lang w:val="en-US" w:eastAsia="zh-CN"/>
              </w:rPr>
              <w:t>条</w:t>
            </w:r>
            <w:r>
              <w:rPr>
                <w:rFonts w:hint="eastAsia" w:ascii="仿宋" w:hAnsi="仿宋" w:eastAsia="仿宋" w:cs="Times New Roman"/>
                <w:kern w:val="2"/>
                <w:sz w:val="24"/>
                <w:szCs w:val="24"/>
                <w:highlight w:val="none"/>
                <w:lang w:val="en-US" w:eastAsia="zh-CN" w:bidi="ar-SA"/>
              </w:rPr>
              <w:t xml:space="preserve"> 参与</w:t>
            </w:r>
            <w:r>
              <w:rPr>
                <w:rFonts w:hint="default" w:ascii="仿宋" w:hAnsi="仿宋" w:eastAsia="仿宋" w:cs="Times New Roman"/>
                <w:kern w:val="2"/>
                <w:sz w:val="24"/>
                <w:szCs w:val="24"/>
                <w:highlight w:val="none"/>
                <w:lang w:val="en-US" w:eastAsia="zh-CN" w:bidi="ar-SA"/>
              </w:rPr>
              <w:t>PTA</w:t>
            </w:r>
            <w:r>
              <w:rPr>
                <w:rFonts w:hint="eastAsia" w:ascii="仿宋" w:hAnsi="仿宋" w:eastAsia="仿宋" w:cs="Times New Roman"/>
                <w:kern w:val="2"/>
                <w:sz w:val="24"/>
                <w:szCs w:val="24"/>
                <w:highlight w:val="none"/>
                <w:lang w:val="en-US" w:eastAsia="zh-CN" w:bidi="ar-SA"/>
              </w:rPr>
              <w:t>出口型车（船）板交割的，境内卖方客户应当向卖方会员开具增值税普通发票；卖方会员应当向交易所开具增值税普通发票；交易所应当向买方会员开具增值税普通发票；买方会员应当向买方客户</w:t>
            </w:r>
            <w:r>
              <w:rPr>
                <w:rFonts w:hint="eastAsia" w:ascii="仿宋" w:hAnsi="仿宋" w:eastAsia="仿宋" w:cs="Times New Roman"/>
                <w:kern w:val="2"/>
                <w:sz w:val="24"/>
                <w:szCs w:val="24"/>
                <w:highlight w:val="none"/>
                <w:u w:val="none"/>
                <w:lang w:val="en-US" w:eastAsia="zh-CN" w:bidi="ar-SA"/>
              </w:rPr>
              <w:t>、</w:t>
            </w:r>
            <w:r>
              <w:rPr>
                <w:rFonts w:hint="eastAsia" w:ascii="仿宋" w:hAnsi="仿宋" w:eastAsia="仿宋" w:cs="Times New Roman"/>
                <w:b/>
                <w:bCs/>
                <w:kern w:val="2"/>
                <w:sz w:val="24"/>
                <w:szCs w:val="24"/>
                <w:highlight w:val="none"/>
                <w:u w:val="single"/>
                <w:lang w:val="en-US" w:eastAsia="zh-CN" w:bidi="ar-SA"/>
              </w:rPr>
              <w:t>境外特殊参与者、</w:t>
            </w:r>
            <w:r>
              <w:rPr>
                <w:rFonts w:hint="eastAsia" w:ascii="仿宋" w:hAnsi="仿宋" w:eastAsia="仿宋" w:cs="Times New Roman"/>
                <w:kern w:val="2"/>
                <w:sz w:val="24"/>
                <w:szCs w:val="24"/>
                <w:highlight w:val="none"/>
                <w:lang w:val="en-US" w:eastAsia="zh-CN" w:bidi="ar-SA"/>
              </w:rPr>
              <w:t>境外</w:t>
            </w:r>
            <w:r>
              <w:rPr>
                <w:rFonts w:hint="eastAsia" w:ascii="仿宋" w:hAnsi="仿宋" w:eastAsia="仿宋"/>
                <w:dstrike/>
                <w:sz w:val="24"/>
                <w:highlight w:val="none"/>
              </w:rPr>
              <w:t>经纪</w:t>
            </w:r>
            <w:r>
              <w:rPr>
                <w:rFonts w:hint="eastAsia" w:ascii="仿宋" w:hAnsi="仿宋" w:eastAsia="仿宋"/>
                <w:b/>
                <w:bCs/>
                <w:sz w:val="24"/>
                <w:highlight w:val="none"/>
                <w:u w:val="single"/>
              </w:rPr>
              <w:t>中介</w:t>
            </w:r>
            <w:r>
              <w:rPr>
                <w:rFonts w:hint="eastAsia" w:ascii="仿宋" w:hAnsi="仿宋" w:eastAsia="仿宋" w:cs="Times New Roman"/>
                <w:kern w:val="2"/>
                <w:sz w:val="24"/>
                <w:szCs w:val="24"/>
                <w:highlight w:val="none"/>
                <w:lang w:val="en-US" w:eastAsia="zh-CN" w:bidi="ar-SA"/>
              </w:rPr>
              <w:t>机构开具增值税普通发票。</w:t>
            </w:r>
          </w:p>
        </w:tc>
      </w:tr>
      <w:tr>
        <w:tblPrEx>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b/>
                <w:sz w:val="24"/>
                <w:highlight w:val="none"/>
                <w:lang w:val="en-US" w:eastAsia="zh-CN"/>
              </w:rPr>
            </w:pPr>
            <w:r>
              <w:rPr>
                <w:rFonts w:hint="eastAsia" w:ascii="仿宋" w:hAnsi="仿宋" w:eastAsia="仿宋"/>
                <w:b/>
                <w:sz w:val="24"/>
                <w:highlight w:val="none"/>
                <w:lang w:eastAsia="zh-CN"/>
              </w:rPr>
              <w:t>第六章</w:t>
            </w:r>
            <w:r>
              <w:rPr>
                <w:rFonts w:hint="eastAsia" w:ascii="仿宋" w:hAnsi="仿宋" w:eastAsia="仿宋"/>
                <w:b/>
                <w:sz w:val="24"/>
                <w:highlight w:val="none"/>
                <w:lang w:val="en-US" w:eastAsia="zh-CN"/>
              </w:rPr>
              <w:t xml:space="preserve"> 风险管理</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第八十八条</w:t>
            </w:r>
            <w:r>
              <w:rPr>
                <w:rFonts w:hint="eastAsia" w:ascii="仿宋" w:hAnsi="仿宋" w:eastAsia="仿宋" w:cs="仿宋"/>
                <w:b/>
                <w:sz w:val="24"/>
                <w:szCs w:val="24"/>
                <w:highlight w:val="none"/>
                <w:lang w:val="en-US" w:eastAsia="zh-CN"/>
              </w:rPr>
              <w:t xml:space="preserve"> </w:t>
            </w:r>
            <w:r>
              <w:rPr>
                <w:rFonts w:hint="default" w:ascii="Times New Roman" w:hAnsi="Times New Roman" w:eastAsia="仿宋" w:cs="Times New Roman"/>
                <w:b/>
                <w:sz w:val="24"/>
                <w:szCs w:val="24"/>
                <w:highlight w:val="none"/>
                <w:lang w:val="en-US" w:eastAsia="zh-CN"/>
              </w:rPr>
              <w:t>第一款表格</w:t>
            </w:r>
            <w:r>
              <w:rPr>
                <w:rFonts w:hint="eastAsia" w:eastAsia="仿宋" w:cs="Times New Roman"/>
                <w:b/>
                <w:sz w:val="24"/>
                <w:szCs w:val="24"/>
                <w:highlight w:val="none"/>
                <w:lang w:val="en-US" w:eastAsia="zh-CN"/>
              </w:rPr>
              <w:t xml:space="preserve">第一行第二列 </w:t>
            </w:r>
            <w:r>
              <w:rPr>
                <w:rFonts w:hint="eastAsia" w:ascii="仿宋" w:hAnsi="仿宋" w:eastAsia="仿宋" w:cs="仿宋"/>
                <w:sz w:val="24"/>
                <w:szCs w:val="24"/>
                <w:highlight w:val="none"/>
                <w:lang w:val="en-US" w:eastAsia="zh-CN"/>
              </w:rPr>
              <w:t>非期货公司会员和客户的最大单边持仓量（手）</w:t>
            </w:r>
          </w:p>
          <w:p>
            <w:pPr>
              <w:widowControl/>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widowControl/>
              <w:ind w:firstLine="480"/>
              <w:rPr>
                <w:rFonts w:hint="default" w:ascii="仿宋" w:hAnsi="仿宋" w:eastAsia="仿宋"/>
                <w:b/>
                <w:sz w:val="24"/>
                <w:highlight w:val="none"/>
                <w:lang w:val="en-US" w:eastAsia="zh-CN"/>
              </w:rPr>
            </w:pPr>
            <w:r>
              <w:rPr>
                <w:rFonts w:hint="default" w:ascii="仿宋" w:hAnsi="仿宋" w:eastAsia="仿宋" w:cs="仿宋"/>
                <w:sz w:val="24"/>
                <w:szCs w:val="24"/>
                <w:highlight w:val="none"/>
                <w:lang w:val="en-US" w:eastAsia="zh-CN"/>
              </w:rPr>
              <w:t>本条所称限仓是指交易所规定会员或者客户按单边计算的、可以持有某一期货合约投机持仓的最大数量。</w:t>
            </w:r>
          </w:p>
        </w:tc>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第八十八条</w:t>
            </w:r>
            <w:r>
              <w:rPr>
                <w:rFonts w:hint="eastAsia" w:ascii="仿宋" w:hAnsi="仿宋" w:eastAsia="仿宋" w:cs="仿宋"/>
                <w:b/>
                <w:sz w:val="24"/>
                <w:szCs w:val="24"/>
                <w:highlight w:val="none"/>
                <w:lang w:val="en-US" w:eastAsia="zh-CN"/>
              </w:rPr>
              <w:t xml:space="preserve"> </w:t>
            </w:r>
            <w:r>
              <w:rPr>
                <w:rFonts w:hint="default" w:ascii="Times New Roman" w:hAnsi="Times New Roman" w:eastAsia="仿宋" w:cs="Times New Roman"/>
                <w:b/>
                <w:sz w:val="24"/>
                <w:szCs w:val="24"/>
                <w:highlight w:val="none"/>
                <w:lang w:val="en-US" w:eastAsia="zh-CN"/>
              </w:rPr>
              <w:t>第一款表格</w:t>
            </w:r>
            <w:r>
              <w:rPr>
                <w:rFonts w:hint="eastAsia" w:eastAsia="仿宋" w:cs="Times New Roman"/>
                <w:b/>
                <w:sz w:val="24"/>
                <w:szCs w:val="24"/>
                <w:highlight w:val="none"/>
                <w:lang w:val="en-US" w:eastAsia="zh-CN"/>
              </w:rPr>
              <w:t xml:space="preserve">第一行第二列 </w:t>
            </w:r>
            <w:r>
              <w:rPr>
                <w:rFonts w:hint="eastAsia" w:ascii="仿宋" w:hAnsi="仿宋" w:eastAsia="仿宋" w:cs="仿宋"/>
                <w:sz w:val="24"/>
                <w:szCs w:val="24"/>
                <w:highlight w:val="none"/>
                <w:lang w:val="en-US" w:eastAsia="zh-CN"/>
              </w:rPr>
              <w:t>非期货公司会员</w:t>
            </w:r>
            <w:r>
              <w:rPr>
                <w:rFonts w:hint="eastAsia" w:ascii="仿宋" w:hAnsi="仿宋" w:eastAsia="仿宋" w:cs="仿宋"/>
                <w:b/>
                <w:bCs/>
                <w:sz w:val="24"/>
                <w:szCs w:val="24"/>
                <w:highlight w:val="none"/>
                <w:u w:val="single"/>
                <w:lang w:val="en-US" w:eastAsia="zh-CN"/>
              </w:rPr>
              <w:t>、境外特殊非经纪参与者</w:t>
            </w:r>
            <w:r>
              <w:rPr>
                <w:rFonts w:hint="eastAsia" w:ascii="仿宋" w:hAnsi="仿宋" w:eastAsia="仿宋" w:cs="仿宋"/>
                <w:sz w:val="24"/>
                <w:szCs w:val="24"/>
                <w:highlight w:val="none"/>
                <w:lang w:val="en-US" w:eastAsia="zh-CN"/>
              </w:rPr>
              <w:t>和客户的最大单边持仓量（手）</w:t>
            </w:r>
          </w:p>
          <w:p>
            <w:pPr>
              <w:widowControl/>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ind w:firstLine="480"/>
              <w:rPr>
                <w:rFonts w:hint="eastAsia" w:ascii="仿宋" w:hAnsi="仿宋" w:eastAsia="仿宋"/>
                <w:b/>
                <w:sz w:val="24"/>
                <w:highlight w:val="none"/>
              </w:rPr>
            </w:pPr>
            <w:r>
              <w:rPr>
                <w:rFonts w:hint="default" w:ascii="仿宋" w:hAnsi="仿宋" w:eastAsia="仿宋" w:cs="仿宋"/>
                <w:sz w:val="24"/>
                <w:szCs w:val="24"/>
                <w:highlight w:val="none"/>
                <w:lang w:val="en-US" w:eastAsia="zh-CN"/>
              </w:rPr>
              <w:t>本条所称限仓是指交易所规定会员</w:t>
            </w:r>
            <w:r>
              <w:rPr>
                <w:rFonts w:hint="eastAsia" w:ascii="仿宋" w:hAnsi="仿宋" w:eastAsia="仿宋" w:cs="仿宋"/>
                <w:b/>
                <w:bCs/>
                <w:sz w:val="24"/>
                <w:szCs w:val="24"/>
                <w:highlight w:val="none"/>
                <w:u w:val="single"/>
                <w:lang w:val="en-US" w:eastAsia="zh-CN"/>
              </w:rPr>
              <w:t>、境外特殊参与者</w:t>
            </w:r>
            <w:r>
              <w:rPr>
                <w:rFonts w:hint="default" w:ascii="仿宋" w:hAnsi="仿宋" w:eastAsia="仿宋" w:cs="仿宋"/>
                <w:sz w:val="24"/>
                <w:szCs w:val="24"/>
                <w:highlight w:val="none"/>
                <w:lang w:val="en-US" w:eastAsia="zh-CN"/>
              </w:rPr>
              <w:t>或者客户按单边计算的、可以持有某一期货合约投机持仓的最大数量。</w:t>
            </w:r>
          </w:p>
        </w:tc>
      </w:tr>
    </w:tbl>
    <w:p>
      <w:pPr>
        <w:pStyle w:val="2"/>
        <w:spacing w:before="0" w:after="0"/>
        <w:jc w:val="center"/>
        <w:rPr>
          <w:highlight w:val="none"/>
        </w:rPr>
      </w:pPr>
      <w:r>
        <w:rPr>
          <w:rFonts w:hint="default" w:ascii="黑体" w:hAnsi="黑体" w:eastAsia="黑体" w:cs="黑体"/>
          <w:sz w:val="32"/>
          <w:szCs w:val="32"/>
          <w:highlight w:val="none"/>
          <w:lang w:val="en-US" w:eastAsia="zh-CN"/>
        </w:rPr>
        <w:br w:type="page"/>
      </w:r>
      <w:r>
        <w:rPr>
          <w:rFonts w:hint="eastAsia" w:ascii="黑体" w:hAnsi="黑体" w:eastAsia="黑体" w:cs="黑体"/>
          <w:b w:val="0"/>
          <w:bCs w:val="0"/>
          <w:sz w:val="40"/>
          <w:szCs w:val="40"/>
          <w:highlight w:val="none"/>
        </w:rPr>
        <w:t>郑州商品交易所精对苯二甲酸（PTA）期货业务细则</w:t>
      </w:r>
    </w:p>
    <w:p>
      <w:pPr>
        <w:spacing w:before="240" w:after="240"/>
        <w:jc w:val="left"/>
        <w:rPr>
          <w:rFonts w:hint="default" w:ascii="宋体" w:hAnsi="宋体" w:cs="宋体"/>
          <w:b w:val="0"/>
          <w:bCs w:val="0"/>
          <w:color w:val="auto"/>
          <w:kern w:val="0"/>
          <w:sz w:val="24"/>
          <w:highlight w:val="none"/>
          <w:shd w:val="clear" w:color="auto" w:fill="FFFFFF"/>
          <w:lang w:eastAsia="zh-CN"/>
        </w:rPr>
      </w:pPr>
      <w:r>
        <w:rPr>
          <w:rFonts w:hint="eastAsia" w:ascii="宋体" w:hAnsi="宋体" w:eastAsia="宋体" w:cs="宋体"/>
          <w:sz w:val="24"/>
          <w:szCs w:val="24"/>
          <w:highlight w:val="none"/>
        </w:rPr>
        <w:t>（</w:t>
      </w:r>
      <w:r>
        <w:rPr>
          <w:rFonts w:hint="eastAsia" w:ascii="宋体" w:hAnsi="宋体" w:eastAsia="宋体" w:cs="宋体"/>
          <w:b w:val="0"/>
          <w:bCs w:val="0"/>
          <w:color w:val="auto"/>
          <w:kern w:val="0"/>
          <w:sz w:val="24"/>
          <w:szCs w:val="24"/>
          <w:highlight w:val="none"/>
          <w:shd w:val="clear" w:color="auto" w:fill="FFFFFF"/>
          <w:lang w:eastAsia="zh-CN"/>
        </w:rPr>
        <w:t>202</w:t>
      </w:r>
      <w:r>
        <w:rPr>
          <w:rFonts w:hint="eastAsia" w:ascii="宋体" w:hAnsi="宋体" w:eastAsia="宋体" w:cs="宋体"/>
          <w:b w:val="0"/>
          <w:bCs w:val="0"/>
          <w:color w:val="auto"/>
          <w:kern w:val="0"/>
          <w:sz w:val="24"/>
          <w:szCs w:val="24"/>
          <w:highlight w:val="none"/>
          <w:shd w:val="clear" w:color="auto" w:fill="FFFFFF"/>
          <w:lang w:val="en-US" w:eastAsia="zh-CN"/>
        </w:rPr>
        <w:t>6</w:t>
      </w:r>
      <w:r>
        <w:rPr>
          <w:rFonts w:hint="eastAsia" w:ascii="宋体" w:hAnsi="宋体" w:eastAsia="宋体" w:cs="宋体"/>
          <w:b w:val="0"/>
          <w:bCs w:val="0"/>
          <w:color w:val="auto"/>
          <w:kern w:val="0"/>
          <w:sz w:val="24"/>
          <w:szCs w:val="24"/>
          <w:highlight w:val="none"/>
          <w:shd w:val="clear" w:color="auto" w:fill="FFFFFF"/>
          <w:lang w:eastAsia="zh-CN"/>
        </w:rPr>
        <w:t>年</w:t>
      </w:r>
      <w:r>
        <w:rPr>
          <w:rFonts w:hint="eastAsia" w:ascii="宋体" w:hAnsi="宋体" w:eastAsia="宋体" w:cs="宋体"/>
          <w:b w:val="0"/>
          <w:bCs w:val="0"/>
          <w:color w:val="auto"/>
          <w:kern w:val="0"/>
          <w:sz w:val="24"/>
          <w:szCs w:val="24"/>
          <w:highlight w:val="none"/>
          <w:shd w:val="clear" w:color="auto" w:fill="FFFFFF"/>
          <w:lang w:val="en-US" w:eastAsia="zh-CN"/>
        </w:rPr>
        <w:t>4</w:t>
      </w:r>
      <w:r>
        <w:rPr>
          <w:rFonts w:hint="eastAsia" w:ascii="宋体" w:hAnsi="宋体" w:eastAsia="宋体" w:cs="宋体"/>
          <w:b w:val="0"/>
          <w:bCs w:val="0"/>
          <w:color w:val="auto"/>
          <w:kern w:val="0"/>
          <w:sz w:val="24"/>
          <w:szCs w:val="24"/>
          <w:highlight w:val="none"/>
          <w:shd w:val="clear" w:color="auto" w:fill="FFFFFF"/>
          <w:lang w:eastAsia="zh-CN"/>
        </w:rPr>
        <w:t>月</w:t>
      </w:r>
      <w:r>
        <w:rPr>
          <w:rFonts w:hint="eastAsia" w:ascii="宋体" w:hAnsi="宋体" w:eastAsia="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eastAsia="zh-CN"/>
        </w:rPr>
        <w:t>日</w:t>
      </w:r>
      <w:r>
        <w:rPr>
          <w:rFonts w:hint="eastAsia" w:ascii="宋体" w:hAnsi="宋体" w:eastAsia="宋体" w:cs="宋体"/>
          <w:b w:val="0"/>
          <w:bCs w:val="0"/>
          <w:color w:val="auto"/>
          <w:kern w:val="0"/>
          <w:sz w:val="24"/>
          <w:szCs w:val="24"/>
          <w:highlight w:val="none"/>
          <w:shd w:val="clear" w:color="auto" w:fill="FFFFFF"/>
        </w:rPr>
        <w:t>郑州商品交易所第八届理事会</w:t>
      </w:r>
      <w:r>
        <w:rPr>
          <w:rFonts w:hint="eastAsia" w:ascii="宋体" w:hAnsi="宋体" w:eastAsia="宋体" w:cs="宋体"/>
          <w:b w:val="0"/>
          <w:bCs w:val="0"/>
          <w:color w:val="auto"/>
          <w:kern w:val="0"/>
          <w:sz w:val="24"/>
          <w:szCs w:val="24"/>
          <w:highlight w:val="none"/>
          <w:shd w:val="clear" w:color="auto" w:fill="FFFFFF"/>
          <w:lang w:val="en-US" w:eastAsia="zh-CN"/>
        </w:rPr>
        <w:t>第三十四次会议审议通过，2026年</w:t>
      </w:r>
      <w:r>
        <w:rPr>
          <w:rFonts w:hint="default"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lang w:val="en-US" w:eastAsia="zh-CN"/>
        </w:rPr>
        <w:t>月</w:t>
      </w:r>
      <w:r>
        <w:rPr>
          <w:rFonts w:hint="default"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lang w:val="en-US" w:eastAsia="zh-CN"/>
        </w:rPr>
        <w:t>日</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eastAsia="宋体" w:cs="宋体"/>
          <w:b w:val="0"/>
          <w:bCs w:val="0"/>
          <w:color w:val="auto"/>
          <w:kern w:val="0"/>
          <w:sz w:val="24"/>
          <w:szCs w:val="24"/>
          <w:highlight w:val="none"/>
          <w:shd w:val="clear" w:color="auto" w:fill="FFFFFF"/>
          <w:lang w:val="en-US" w:eastAsia="zh-CN"/>
        </w:rPr>
        <w:t>2026</w:t>
      </w:r>
      <w:r>
        <w:rPr>
          <w:rFonts w:hint="eastAsia" w:ascii="仿宋" w:hAnsi="仿宋" w:eastAsia="仿宋" w:cs="仿宋"/>
          <w:b w:val="0"/>
          <w:bCs w:val="0"/>
          <w:color w:val="auto"/>
          <w:kern w:val="0"/>
          <w:sz w:val="24"/>
          <w:szCs w:val="24"/>
          <w:highlight w:val="none"/>
          <w:shd w:val="clear" w:color="auto" w:fill="FFFFFF"/>
          <w:lang w:val="en-US" w:eastAsia="zh-CN"/>
        </w:rPr>
        <w:t>〕</w:t>
      </w:r>
      <w:r>
        <w:rPr>
          <w:rFonts w:hint="eastAsia" w:ascii="宋体" w:hAnsi="宋体" w:cs="宋体"/>
          <w:b w:val="0"/>
          <w:bCs w:val="0"/>
          <w:color w:val="auto"/>
          <w:kern w:val="0"/>
          <w:sz w:val="24"/>
          <w:szCs w:val="24"/>
          <w:highlight w:val="none"/>
          <w:shd w:val="clear" w:color="auto" w:fill="FFFFFF"/>
          <w:lang w:val="en-US" w:eastAsia="zh-CN"/>
        </w:rPr>
        <w:t>68号</w:t>
      </w:r>
      <w:r>
        <w:rPr>
          <w:rFonts w:hint="eastAsia" w:ascii="宋体" w:hAnsi="宋体" w:eastAsia="宋体" w:cs="宋体"/>
          <w:b w:val="0"/>
          <w:bCs w:val="0"/>
          <w:color w:val="auto"/>
          <w:kern w:val="0"/>
          <w:sz w:val="24"/>
          <w:szCs w:val="24"/>
          <w:highlight w:val="none"/>
          <w:shd w:val="clear" w:color="auto" w:fill="FFFFFF"/>
          <w:lang w:val="en-US" w:eastAsia="zh-CN"/>
        </w:rPr>
        <w:t>公告发布，自发布之日起实施</w:t>
      </w:r>
      <w:r>
        <w:rPr>
          <w:rFonts w:hint="eastAsia" w:ascii="宋体" w:hAnsi="宋体" w:eastAsia="宋体" w:cs="宋体"/>
          <w:sz w:val="24"/>
          <w:szCs w:val="24"/>
          <w:highlight w:val="none"/>
        </w:rPr>
        <w:t>）</w:t>
      </w:r>
    </w:p>
    <w:p>
      <w:pPr>
        <w:tabs>
          <w:tab w:val="left" w:pos="1620"/>
        </w:tabs>
        <w:suppressAutoHyphens/>
        <w:autoSpaceDE w:val="0"/>
        <w:autoSpaceDN w:val="0"/>
        <w:bidi w:val="0"/>
        <w:spacing w:before="240"/>
        <w:jc w:val="center"/>
        <w:rPr>
          <w:rFonts w:hint="default" w:ascii="Times New Roman" w:hAnsi="Times New Roman" w:eastAsia="黑体" w:cs="Times New Roman"/>
          <w:color w:val="000000"/>
          <w:sz w:val="30"/>
          <w:szCs w:val="30"/>
          <w:highlight w:val="none"/>
        </w:rPr>
      </w:pPr>
      <w:r>
        <w:rPr>
          <w:rFonts w:hint="default" w:ascii="Times New Roman" w:hAnsi="Times New Roman" w:eastAsia="黑体" w:cs="Times New Roman"/>
          <w:color w:val="000000"/>
          <w:kern w:val="0"/>
          <w:sz w:val="30"/>
          <w:szCs w:val="30"/>
          <w:highlight w:val="none"/>
        </w:rPr>
        <w:t>第一章 总 则</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第一条 </w:t>
      </w:r>
      <w:r>
        <w:rPr>
          <w:rFonts w:hint="default" w:ascii="Times New Roman" w:hAnsi="Times New Roman" w:eastAsia="宋体" w:cs="Times New Roman"/>
          <w:color w:val="000000"/>
          <w:kern w:val="0"/>
          <w:sz w:val="28"/>
          <w:szCs w:val="28"/>
          <w:highlight w:val="none"/>
        </w:rPr>
        <w:t>为了规范郑州商品交易所（以下简称交易所）精对苯二甲酸（PTA）期货相关业务，根据《郑州商品交易所交易规则》及PTA期货合约，制定本细则。</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第二条 </w:t>
      </w:r>
      <w:r>
        <w:rPr>
          <w:rFonts w:hint="default" w:ascii="Times New Roman" w:hAnsi="Times New Roman" w:eastAsia="宋体" w:cs="Times New Roman"/>
          <w:color w:val="000000"/>
          <w:kern w:val="0"/>
          <w:sz w:val="28"/>
          <w:szCs w:val="28"/>
          <w:highlight w:val="none"/>
        </w:rPr>
        <w:t>交易所、会员、境外特殊参与者、境外中介机构、客户、交割仓库（以下简称仓库）、交割厂库（以下简称厂库）、车（船）板交割服务机构（以下简称交割服务机构）、指定质检机构及期货市场其他参与者应当遵守本细则。</w:t>
      </w:r>
    </w:p>
    <w:p>
      <w:pPr>
        <w:pStyle w:val="15"/>
        <w:numPr>
          <w:ilvl w:val="0"/>
          <w:numId w:val="0"/>
        </w:numPr>
        <w:tabs>
          <w:tab w:val="left" w:pos="1620"/>
        </w:tabs>
        <w:autoSpaceDE w:val="0"/>
        <w:autoSpaceDN w:val="0"/>
        <w:ind w:left="0" w:firstLine="0" w:firstLineChars="0"/>
        <w:jc w:val="center"/>
        <w:rPr>
          <w:rFonts w:hint="default" w:ascii="Times New Roman" w:hAnsi="Times New Roman" w:eastAsia="黑体" w:cs="Times New Roman"/>
          <w:color w:val="000000"/>
          <w:kern w:val="0"/>
          <w:sz w:val="30"/>
          <w:szCs w:val="30"/>
          <w:highlight w:val="none"/>
        </w:rPr>
      </w:pPr>
      <w:r>
        <w:rPr>
          <w:rFonts w:hint="eastAsia" w:ascii="Times New Roman" w:hAnsi="Times New Roman" w:eastAsia="黑体" w:cs="Times New Roman"/>
          <w:color w:val="000000"/>
          <w:kern w:val="0"/>
          <w:sz w:val="30"/>
          <w:szCs w:val="30"/>
          <w:highlight w:val="none"/>
          <w:lang w:eastAsia="zh-CN"/>
        </w:rPr>
        <w:t>第二章</w:t>
      </w:r>
      <w:r>
        <w:rPr>
          <w:rFonts w:hint="eastAsia" w:ascii="Times New Roman" w:hAnsi="Times New Roman" w:eastAsia="黑体" w:cs="Times New Roman"/>
          <w:color w:val="000000"/>
          <w:kern w:val="0"/>
          <w:sz w:val="30"/>
          <w:szCs w:val="30"/>
          <w:highlight w:val="none"/>
          <w:lang w:val="en-US" w:eastAsia="zh-CN"/>
        </w:rPr>
        <w:t xml:space="preserve"> </w:t>
      </w:r>
      <w:r>
        <w:rPr>
          <w:rFonts w:hint="default" w:ascii="Times New Roman" w:hAnsi="Times New Roman" w:eastAsia="黑体" w:cs="Times New Roman"/>
          <w:color w:val="000000"/>
          <w:kern w:val="0"/>
          <w:sz w:val="30"/>
          <w:szCs w:val="30"/>
          <w:highlight w:val="none"/>
        </w:rPr>
        <w:t>交易业务</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第三条 </w:t>
      </w:r>
      <w:r>
        <w:rPr>
          <w:rFonts w:hint="default" w:ascii="Times New Roman" w:hAnsi="Times New Roman" w:eastAsia="宋体" w:cs="Times New Roman"/>
          <w:color w:val="000000"/>
          <w:kern w:val="0"/>
          <w:sz w:val="28"/>
          <w:szCs w:val="28"/>
          <w:highlight w:val="none"/>
        </w:rPr>
        <w:t>PTA期货合约交易单位为5吨/手。</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第四条 </w:t>
      </w:r>
      <w:r>
        <w:rPr>
          <w:rFonts w:hint="default" w:ascii="Times New Roman" w:hAnsi="Times New Roman" w:eastAsia="宋体" w:cs="Times New Roman"/>
          <w:color w:val="000000"/>
          <w:kern w:val="0"/>
          <w:sz w:val="28"/>
          <w:szCs w:val="28"/>
          <w:highlight w:val="none"/>
        </w:rPr>
        <w:t>PTA期货合约报价单位为元（人民币）/吨。</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第五条 </w:t>
      </w:r>
      <w:r>
        <w:rPr>
          <w:rFonts w:hint="default" w:ascii="Times New Roman" w:hAnsi="Times New Roman" w:eastAsia="宋体" w:cs="Times New Roman"/>
          <w:color w:val="000000"/>
          <w:kern w:val="0"/>
          <w:sz w:val="28"/>
          <w:szCs w:val="28"/>
          <w:highlight w:val="none"/>
        </w:rPr>
        <w:t>PTA期货合约最小变动价位为2元/吨。</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第六条 </w:t>
      </w:r>
      <w:r>
        <w:rPr>
          <w:rFonts w:hint="default" w:ascii="Times New Roman" w:hAnsi="Times New Roman" w:eastAsia="宋体" w:cs="Times New Roman"/>
          <w:color w:val="000000"/>
          <w:kern w:val="0"/>
          <w:sz w:val="28"/>
          <w:szCs w:val="28"/>
          <w:highlight w:val="none"/>
        </w:rPr>
        <w:t>PTA期货合约交割月份为1至12月。</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第七条 </w:t>
      </w:r>
      <w:r>
        <w:rPr>
          <w:rFonts w:hint="default" w:ascii="Times New Roman" w:hAnsi="Times New Roman" w:eastAsia="宋体" w:cs="Times New Roman"/>
          <w:color w:val="000000"/>
          <w:kern w:val="0"/>
          <w:sz w:val="28"/>
          <w:szCs w:val="28"/>
          <w:highlight w:val="none"/>
        </w:rPr>
        <w:t>PTA期货合约交易指令</w:t>
      </w:r>
      <w:r>
        <w:rPr>
          <w:rFonts w:hint="default" w:ascii="Times New Roman" w:hAnsi="Times New Roman" w:eastAsia="宋体" w:cs="Times New Roman"/>
          <w:color w:val="auto"/>
          <w:sz w:val="28"/>
          <w:szCs w:val="28"/>
          <w:highlight w:val="none"/>
        </w:rPr>
        <w:t>每次最小下单量</w:t>
      </w:r>
      <w:r>
        <w:rPr>
          <w:rFonts w:hint="default" w:ascii="Times New Roman" w:hAnsi="Times New Roman" w:cs="Times New Roman"/>
          <w:color w:val="auto"/>
          <w:sz w:val="28"/>
          <w:szCs w:val="28"/>
          <w:highlight w:val="none"/>
        </w:rPr>
        <w:t>为1手</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000000"/>
          <w:kern w:val="0"/>
          <w:sz w:val="28"/>
          <w:szCs w:val="28"/>
          <w:highlight w:val="none"/>
        </w:rPr>
        <w:t>限价指令每次最大下单量为1000手，市价指令每次最大下单量为200手。</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cs="Times New Roman"/>
          <w:color w:val="auto"/>
          <w:sz w:val="28"/>
          <w:szCs w:val="28"/>
          <w:highlight w:val="none"/>
        </w:rPr>
        <w:t>交易所可以根据市场情况，对PTA期货合约交易指令每次最小下单量、每次最大下单量进行调整，具体标准由交易所另行公布。</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第八条 </w:t>
      </w:r>
      <w:r>
        <w:rPr>
          <w:rFonts w:hint="default" w:ascii="Times New Roman" w:hAnsi="Times New Roman" w:eastAsia="宋体" w:cs="Times New Roman"/>
          <w:color w:val="auto"/>
          <w:sz w:val="28"/>
          <w:szCs w:val="28"/>
          <w:highlight w:val="none"/>
        </w:rPr>
        <w:t>PTA期货合约交易时间分为夜盘交易时间和日盘交易时间。夜盘交易时间为下午21:00—23：00。日盘交易时间为上午9:00—11:30，下午13:30—15:00；其中，上午10:15—10:30为休息时间。</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sz w:val="28"/>
          <w:szCs w:val="28"/>
          <w:highlight w:val="none"/>
        </w:rPr>
        <w:t>交易所暂停、取消PTA期货夜盘交易或者对夜盘交易时间进行调整的，以交易所公告为准。</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第九条 </w:t>
      </w:r>
      <w:r>
        <w:rPr>
          <w:rFonts w:hint="default" w:ascii="Times New Roman" w:hAnsi="Times New Roman" w:eastAsia="宋体" w:cs="Times New Roman"/>
          <w:color w:val="000000"/>
          <w:kern w:val="0"/>
          <w:sz w:val="28"/>
          <w:szCs w:val="28"/>
          <w:highlight w:val="none"/>
        </w:rPr>
        <w:t>PTA期货合约最后交易日为合约交割月份的第10个交易日。</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第十条 </w:t>
      </w:r>
      <w:r>
        <w:rPr>
          <w:rFonts w:hint="default" w:ascii="Times New Roman" w:hAnsi="Times New Roman" w:eastAsia="宋体" w:cs="Times New Roman"/>
          <w:color w:val="000000"/>
          <w:kern w:val="0"/>
          <w:sz w:val="28"/>
          <w:szCs w:val="28"/>
          <w:highlight w:val="none"/>
        </w:rPr>
        <w:t>PTA期货合约交易代码为TA。</w:t>
      </w:r>
    </w:p>
    <w:p>
      <w:pPr>
        <w:pStyle w:val="15"/>
        <w:numPr>
          <w:ilvl w:val="0"/>
          <w:numId w:val="0"/>
        </w:numPr>
        <w:tabs>
          <w:tab w:val="left" w:pos="1620"/>
        </w:tabs>
        <w:autoSpaceDE w:val="0"/>
        <w:autoSpaceDN w:val="0"/>
        <w:ind w:left="0" w:firstLine="0" w:firstLineChars="0"/>
        <w:jc w:val="center"/>
        <w:rPr>
          <w:rFonts w:hint="default" w:ascii="Times New Roman" w:hAnsi="Times New Roman" w:eastAsia="黑体" w:cs="Times New Roman"/>
          <w:color w:val="000000"/>
          <w:kern w:val="0"/>
          <w:sz w:val="30"/>
          <w:szCs w:val="30"/>
          <w:highlight w:val="none"/>
        </w:rPr>
      </w:pPr>
      <w:r>
        <w:rPr>
          <w:rFonts w:hint="eastAsia" w:ascii="Times New Roman" w:hAnsi="Times New Roman" w:eastAsia="黑体" w:cs="Times New Roman"/>
          <w:color w:val="000000"/>
          <w:kern w:val="0"/>
          <w:sz w:val="30"/>
          <w:szCs w:val="30"/>
          <w:highlight w:val="none"/>
          <w:lang w:eastAsia="zh-CN"/>
        </w:rPr>
        <w:t>第三章</w:t>
      </w:r>
      <w:r>
        <w:rPr>
          <w:rFonts w:hint="eastAsia" w:ascii="Times New Roman" w:hAnsi="Times New Roman" w:eastAsia="黑体" w:cs="Times New Roman"/>
          <w:color w:val="000000"/>
          <w:kern w:val="0"/>
          <w:sz w:val="30"/>
          <w:szCs w:val="30"/>
          <w:highlight w:val="none"/>
          <w:lang w:val="en-US" w:eastAsia="zh-CN"/>
        </w:rPr>
        <w:t xml:space="preserve"> </w:t>
      </w:r>
      <w:r>
        <w:rPr>
          <w:rFonts w:hint="default" w:ascii="Times New Roman" w:hAnsi="Times New Roman" w:eastAsia="黑体" w:cs="Times New Roman"/>
          <w:color w:val="000000"/>
          <w:kern w:val="0"/>
          <w:sz w:val="30"/>
          <w:szCs w:val="30"/>
          <w:highlight w:val="none"/>
        </w:rPr>
        <w:t>交割业务</w:t>
      </w:r>
    </w:p>
    <w:p>
      <w:pPr>
        <w:pStyle w:val="15"/>
        <w:numPr>
          <w:ilvl w:val="0"/>
          <w:numId w:val="0"/>
        </w:numPr>
        <w:tabs>
          <w:tab w:val="left" w:pos="1620"/>
        </w:tabs>
        <w:autoSpaceDE w:val="0"/>
        <w:autoSpaceDN w:val="0"/>
        <w:ind w:leftChars="0"/>
        <w:jc w:val="center"/>
        <w:rPr>
          <w:rFonts w:hint="default" w:ascii="Times New Roman" w:hAnsi="Times New Roman" w:eastAsia="黑体" w:cs="Times New Roman"/>
          <w:color w:val="000000"/>
          <w:kern w:val="0"/>
          <w:sz w:val="30"/>
          <w:szCs w:val="30"/>
          <w:highlight w:val="none"/>
        </w:rPr>
      </w:pPr>
      <w:r>
        <w:rPr>
          <w:rFonts w:hint="eastAsia" w:ascii="Times New Roman" w:hAnsi="Times New Roman" w:cs="Times New Roman"/>
          <w:b/>
          <w:color w:val="000000"/>
          <w:kern w:val="0"/>
          <w:sz w:val="28"/>
          <w:szCs w:val="28"/>
          <w:highlight w:val="none"/>
          <w:lang w:eastAsia="zh-CN"/>
        </w:rPr>
        <w:t>第一节</w:t>
      </w:r>
      <w:r>
        <w:rPr>
          <w:rFonts w:hint="eastAsia" w:ascii="Times New Roman" w:hAnsi="Times New Roman" w:cs="Times New Roman"/>
          <w:b/>
          <w:color w:val="000000"/>
          <w:kern w:val="0"/>
          <w:sz w:val="28"/>
          <w:szCs w:val="28"/>
          <w:highlight w:val="none"/>
          <w:lang w:val="en-US" w:eastAsia="zh-CN"/>
        </w:rPr>
        <w:t xml:space="preserve"> </w:t>
      </w:r>
      <w:r>
        <w:rPr>
          <w:rFonts w:hint="default" w:ascii="Times New Roman" w:hAnsi="Times New Roman" w:eastAsia="宋体" w:cs="Times New Roman"/>
          <w:b/>
          <w:color w:val="000000"/>
          <w:kern w:val="0"/>
          <w:sz w:val="28"/>
          <w:szCs w:val="28"/>
          <w:highlight w:val="none"/>
        </w:rPr>
        <w:t>一般规定</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第十一条 </w:t>
      </w:r>
      <w:r>
        <w:rPr>
          <w:rFonts w:hint="default" w:ascii="Times New Roman" w:hAnsi="Times New Roman" w:eastAsia="宋体" w:cs="Times New Roman"/>
          <w:color w:val="000000"/>
          <w:kern w:val="0"/>
          <w:sz w:val="28"/>
          <w:szCs w:val="28"/>
          <w:highlight w:val="none"/>
        </w:rPr>
        <w:t>PTA期货适用期货转现货（以下简称期转现）、仓库标准仓单交割、厂库标准仓单交割和出口型车（船）板交割。PTA期货可以实行完税交割和保税交割。</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宋体" w:cs="Times New Roman"/>
          <w:color w:val="000000"/>
          <w:kern w:val="0"/>
          <w:sz w:val="28"/>
          <w:szCs w:val="28"/>
          <w:highlight w:val="none"/>
        </w:rPr>
        <w:t>PTA期货滚动交割的配对方式为响应配对。</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宋体" w:cs="Times New Roman"/>
          <w:color w:val="000000"/>
          <w:kern w:val="0"/>
          <w:sz w:val="28"/>
          <w:szCs w:val="28"/>
          <w:highlight w:val="none"/>
        </w:rPr>
        <w:t>具体交割流程按照《郑州商品交易所期货交割管理办法》及本细则相关规定执行。</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第十二条 </w:t>
      </w:r>
      <w:r>
        <w:rPr>
          <w:rFonts w:hint="default" w:ascii="Times New Roman" w:hAnsi="Times New Roman" w:eastAsia="宋体" w:cs="Times New Roman"/>
          <w:color w:val="000000"/>
          <w:kern w:val="0"/>
          <w:sz w:val="28"/>
          <w:szCs w:val="28"/>
          <w:highlight w:val="none"/>
        </w:rPr>
        <w:t>PTA期货的交割单位为</w:t>
      </w:r>
      <w:r>
        <w:rPr>
          <w:rFonts w:hint="default" w:ascii="Times New Roman" w:hAnsi="Times New Roman" w:eastAsia="宋体" w:cs="Times New Roman"/>
          <w:color w:val="auto"/>
          <w:kern w:val="0"/>
          <w:sz w:val="28"/>
          <w:szCs w:val="28"/>
          <w:highlight w:val="none"/>
        </w:rPr>
        <w:t>5吨。</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第十三条 </w:t>
      </w:r>
      <w:r>
        <w:rPr>
          <w:rFonts w:hint="default" w:ascii="Times New Roman" w:hAnsi="Times New Roman" w:eastAsia="宋体" w:cs="Times New Roman"/>
          <w:color w:val="000000"/>
          <w:kern w:val="0"/>
          <w:sz w:val="28"/>
          <w:szCs w:val="28"/>
          <w:highlight w:val="none"/>
        </w:rPr>
        <w:t>PTA期货标准仓单交割的最后交割日为合约交割月份的第13个交易日；出口型车（船）板交割的最后交割日为合约交割月份的次月10日。</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第十四条 </w:t>
      </w:r>
      <w:r>
        <w:rPr>
          <w:rFonts w:hint="default" w:ascii="Times New Roman" w:hAnsi="Times New Roman" w:eastAsia="宋体" w:cs="Times New Roman"/>
          <w:color w:val="000000"/>
          <w:kern w:val="0"/>
          <w:sz w:val="28"/>
          <w:szCs w:val="28"/>
          <w:highlight w:val="none"/>
        </w:rPr>
        <w:t>PTA期货标准仓单可以分为仓库标准仓单和厂库标准仓单，也可以分为保税标准仓单和完税标准仓单。</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宋体" w:cs="Times New Roman"/>
          <w:color w:val="000000"/>
          <w:kern w:val="0"/>
          <w:sz w:val="28"/>
          <w:szCs w:val="28"/>
          <w:highlight w:val="none"/>
        </w:rPr>
        <w:t>PTA期货标准仓单为通用标准仓单。</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宋体" w:cs="Times New Roman"/>
          <w:color w:val="auto"/>
          <w:kern w:val="0"/>
          <w:sz w:val="28"/>
          <w:szCs w:val="28"/>
          <w:highlight w:val="none"/>
        </w:rPr>
        <w:t>PTA完税标准仓单与保税标准仓单之间非通用。</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第十五条 </w:t>
      </w:r>
      <w:r>
        <w:rPr>
          <w:rFonts w:hint="default" w:ascii="Times New Roman" w:hAnsi="Times New Roman" w:eastAsia="宋体" w:cs="Times New Roman"/>
          <w:color w:val="auto"/>
          <w:kern w:val="0"/>
          <w:sz w:val="28"/>
          <w:szCs w:val="28"/>
          <w:highlight w:val="none"/>
        </w:rPr>
        <w:t>每年9月第15个交易日之前（含该日）注册的PTA期货标准仓单，应当在当年9月第15个交易日之前（含该日）全部注销。</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第十六条 </w:t>
      </w:r>
      <w:r>
        <w:rPr>
          <w:rFonts w:hint="default" w:ascii="Times New Roman" w:hAnsi="Times New Roman" w:eastAsia="宋体" w:cs="Times New Roman"/>
          <w:color w:val="000000"/>
          <w:kern w:val="0"/>
          <w:sz w:val="28"/>
          <w:szCs w:val="28"/>
          <w:highlight w:val="none"/>
        </w:rPr>
        <w:t>PTA完税标准仓单交割，开具增值税专用发票。PTA保税标准仓单交割、出口型车（船）板交割，开具增值税普通发票或者交易所认可的其他单据。</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第十七条 </w:t>
      </w:r>
      <w:r>
        <w:rPr>
          <w:rFonts w:hint="default" w:ascii="Times New Roman" w:hAnsi="Times New Roman" w:eastAsia="宋体" w:cs="Times New Roman"/>
          <w:color w:val="auto"/>
          <w:kern w:val="0"/>
          <w:sz w:val="28"/>
          <w:szCs w:val="28"/>
          <w:highlight w:val="none"/>
        </w:rPr>
        <w:t>PTA期货仓库、厂库及相关升贴水由交易所确定并公布，交易所可以视情况对PTA期货仓库、厂库及相关升贴水进行调整。</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第十八条 </w:t>
      </w:r>
      <w:r>
        <w:rPr>
          <w:rFonts w:hint="default" w:ascii="Times New Roman" w:hAnsi="Times New Roman" w:eastAsia="宋体" w:cs="Times New Roman"/>
          <w:color w:val="000000"/>
          <w:kern w:val="0"/>
          <w:sz w:val="28"/>
          <w:szCs w:val="28"/>
          <w:highlight w:val="none"/>
        </w:rPr>
        <w:t>PTA期货仓库或者厂库升贴水在标准仓单注册、注销时划转，相应的增值税专用发票由标准仓单注册人向标准仓单注销人开具，仓库或者厂库负责监督。仓库或者厂库按照增值税适用税率收取押金，增值税专用发票开具后押金应予退还。</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第十九条 </w:t>
      </w:r>
      <w:r>
        <w:rPr>
          <w:rFonts w:hint="default" w:ascii="Times New Roman" w:hAnsi="Times New Roman" w:eastAsia="宋体" w:cs="Times New Roman"/>
          <w:color w:val="000000"/>
          <w:kern w:val="0"/>
          <w:sz w:val="28"/>
          <w:szCs w:val="28"/>
          <w:highlight w:val="none"/>
        </w:rPr>
        <w:t>PTA期货的交割基准价为基准交割品在基准仓库出库时汽车板交货的含税价格（含包装）。</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第二十条 </w:t>
      </w:r>
      <w:r>
        <w:rPr>
          <w:rFonts w:hint="default" w:ascii="Times New Roman" w:hAnsi="Times New Roman" w:eastAsia="宋体" w:cs="Times New Roman"/>
          <w:color w:val="000000"/>
          <w:kern w:val="0"/>
          <w:sz w:val="28"/>
          <w:szCs w:val="28"/>
          <w:highlight w:val="none"/>
        </w:rPr>
        <w:t>PTA运达仓库指定货位前的一切费用和货物装到汽车板的出库费用由标准仓单注册人承担，货物出库装到汽车板后的一切费用由提货人承担。</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sz w:val="28"/>
          <w:szCs w:val="28"/>
          <w:highlight w:val="none"/>
        </w:rPr>
        <w:t>PTA期货交割手续费、仓储费、出入库手续费、检验费等交割相关费用标准由交易所另行公布。</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第二十一条 </w:t>
      </w:r>
      <w:r>
        <w:rPr>
          <w:rFonts w:hint="default" w:ascii="Times New Roman" w:hAnsi="Times New Roman" w:eastAsia="宋体" w:cs="Times New Roman"/>
          <w:color w:val="000000"/>
          <w:kern w:val="0"/>
          <w:sz w:val="28"/>
          <w:szCs w:val="28"/>
          <w:highlight w:val="none"/>
        </w:rPr>
        <w:t>PTA包装物价格包含在相应期货合约价格中，不另行计价。</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第二十二条 </w:t>
      </w:r>
      <w:r>
        <w:rPr>
          <w:rFonts w:hint="default" w:ascii="Times New Roman" w:hAnsi="Times New Roman" w:eastAsia="宋体" w:cs="Times New Roman"/>
          <w:color w:val="auto"/>
          <w:kern w:val="0"/>
          <w:sz w:val="28"/>
          <w:szCs w:val="28"/>
          <w:highlight w:val="none"/>
        </w:rPr>
        <w:t>PTA期货标准仓单生成、流通、注销等相关业务，本细则未规定的，适用《郑州商品交易所标准仓单管理办法》相关规定。</w:t>
      </w:r>
    </w:p>
    <w:p>
      <w:pPr>
        <w:tabs>
          <w:tab w:val="left" w:pos="1620"/>
        </w:tabs>
        <w:suppressAutoHyphens/>
        <w:autoSpaceDE w:val="0"/>
        <w:autoSpaceDN w:val="0"/>
        <w:bidi w:val="0"/>
        <w:jc w:val="center"/>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第二节 交割标准</w:t>
      </w:r>
    </w:p>
    <w:p>
      <w:pPr>
        <w:suppressAutoHyphens/>
        <w:autoSpaceDE w:val="0"/>
        <w:autoSpaceDN w:val="0"/>
        <w:bidi w:val="0"/>
        <w:adjustRightInd w:val="0"/>
        <w:ind w:firstLine="560" w:firstLineChars="200"/>
        <w:jc w:val="left"/>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第二十三条 </w:t>
      </w:r>
      <w:r>
        <w:rPr>
          <w:rFonts w:hint="default" w:ascii="Times New Roman" w:hAnsi="Times New Roman" w:eastAsia="宋体" w:cs="Times New Roman"/>
          <w:color w:val="000000"/>
          <w:kern w:val="0"/>
          <w:sz w:val="28"/>
          <w:szCs w:val="28"/>
          <w:highlight w:val="none"/>
        </w:rPr>
        <w:t>PTA期货交割质量标准适用</w:t>
      </w:r>
      <w:r>
        <w:rPr>
          <w:rFonts w:hint="default" w:ascii="Times New Roman" w:hAnsi="Times New Roman" w:eastAsia="宋体" w:cs="Times New Roman"/>
          <w:color w:val="auto"/>
          <w:kern w:val="0"/>
          <w:sz w:val="28"/>
          <w:szCs w:val="28"/>
          <w:highlight w:val="none"/>
        </w:rPr>
        <w:t>《中华人民共和国国家标准 工业用精对苯二甲酸（PTA)》(GB/T</w:t>
      </w:r>
      <w:r>
        <w:rPr>
          <w:rFonts w:hint="eastAsia" w:ascii="Times New Roman" w:hAnsi="Times New Roman" w:cs="Times New Roman"/>
          <w:color w:val="auto"/>
          <w:kern w:val="0"/>
          <w:sz w:val="28"/>
          <w:szCs w:val="28"/>
          <w:highlight w:val="none"/>
          <w:lang w:val="en-US" w:eastAsia="zh-CN"/>
        </w:rPr>
        <w:t xml:space="preserve"> </w:t>
      </w:r>
      <w:r>
        <w:rPr>
          <w:rFonts w:hint="default" w:ascii="Times New Roman" w:hAnsi="Times New Roman" w:eastAsia="宋体" w:cs="Times New Roman"/>
          <w:color w:val="auto"/>
          <w:kern w:val="0"/>
          <w:sz w:val="28"/>
          <w:szCs w:val="28"/>
          <w:highlight w:val="none"/>
        </w:rPr>
        <w:t>32685-2016，以下简称《PTA国标》）。</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第二十四条 </w:t>
      </w:r>
      <w:r>
        <w:rPr>
          <w:rFonts w:hint="default" w:ascii="Times New Roman" w:hAnsi="Times New Roman" w:eastAsia="宋体" w:cs="Times New Roman"/>
          <w:color w:val="auto"/>
          <w:kern w:val="0"/>
          <w:sz w:val="28"/>
          <w:szCs w:val="28"/>
          <w:highlight w:val="none"/>
        </w:rPr>
        <w:t>基准交割品：符合《PTA国标》质量标准的优等品PTA。</w:t>
      </w:r>
    </w:p>
    <w:p>
      <w:pPr>
        <w:widowControl/>
        <w:suppressAutoHyphens/>
        <w:bidi w:val="0"/>
        <w:ind w:firstLine="560" w:firstLineChars="200"/>
        <w:outlineLvl w:val="3"/>
        <w:rPr>
          <w:rFonts w:hint="default" w:ascii="Times New Roman" w:hAnsi="Times New Roman" w:eastAsia="宋体" w:cs="Times New Roman"/>
          <w:b/>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第二十五条 </w:t>
      </w:r>
      <w:r>
        <w:rPr>
          <w:rFonts w:hint="default" w:ascii="Times New Roman" w:hAnsi="Times New Roman" w:eastAsia="宋体" w:cs="Times New Roman"/>
          <w:color w:val="auto"/>
          <w:kern w:val="0"/>
          <w:sz w:val="28"/>
          <w:szCs w:val="28"/>
          <w:highlight w:val="none"/>
        </w:rPr>
        <w:t>PTA期货实行交割品牌制度。基准交割品必须是经交易所认定的PTA生产厂家生产的商品。具体生产厂家由交易所另行公告。</w:t>
      </w:r>
      <w:r>
        <w:rPr>
          <w:rFonts w:hint="default" w:ascii="Times New Roman" w:hAnsi="Times New Roman" w:cs="Times New Roman"/>
          <w:color w:val="auto"/>
          <w:kern w:val="0"/>
          <w:sz w:val="28"/>
          <w:szCs w:val="28"/>
          <w:highlight w:val="none"/>
        </w:rPr>
        <w:t>交易所有权调整交割品生产厂家。</w:t>
      </w:r>
    </w:p>
    <w:p>
      <w:pPr>
        <w:suppressAutoHyphens/>
        <w:bidi w:val="0"/>
        <w:ind w:firstLine="562" w:firstLineChars="200"/>
        <w:jc w:val="center"/>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第三节 仓库标准仓单交割</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第二十六条 </w:t>
      </w:r>
      <w:r>
        <w:rPr>
          <w:rFonts w:hint="default" w:ascii="Times New Roman" w:hAnsi="Times New Roman" w:eastAsia="宋体" w:cs="Times New Roman"/>
          <w:color w:val="auto"/>
          <w:kern w:val="0"/>
          <w:sz w:val="28"/>
          <w:szCs w:val="28"/>
          <w:highlight w:val="none"/>
        </w:rPr>
        <w:t>PTA期货交割预报时，应当按30元/吨向仓库交纳交割预报定金。</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第二十七条 </w:t>
      </w:r>
      <w:r>
        <w:rPr>
          <w:rFonts w:hint="default" w:ascii="Times New Roman" w:hAnsi="Times New Roman" w:eastAsia="宋体" w:cs="Times New Roman"/>
          <w:color w:val="auto"/>
          <w:kern w:val="0"/>
          <w:sz w:val="28"/>
          <w:szCs w:val="28"/>
          <w:highlight w:val="none"/>
        </w:rPr>
        <w:t>不同生产厂家生产的PTA应当分别进行交割预报。</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第二十八条 </w:t>
      </w:r>
      <w:r>
        <w:rPr>
          <w:rFonts w:hint="default" w:ascii="Times New Roman" w:hAnsi="Times New Roman" w:eastAsia="宋体" w:cs="Times New Roman"/>
          <w:color w:val="auto"/>
          <w:kern w:val="0"/>
          <w:sz w:val="28"/>
          <w:szCs w:val="28"/>
          <w:highlight w:val="none"/>
        </w:rPr>
        <w:t>PTA仓库开具的《入库通知单》有效期为15个日历日。</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第二十九条 PTA</w:t>
      </w:r>
      <w:r>
        <w:rPr>
          <w:rFonts w:hint="default" w:ascii="Times New Roman" w:hAnsi="Times New Roman" w:eastAsia="宋体" w:cs="Times New Roman"/>
          <w:color w:val="auto"/>
          <w:kern w:val="52"/>
          <w:sz w:val="28"/>
          <w:szCs w:val="28"/>
          <w:highlight w:val="none"/>
        </w:rPr>
        <w:t>出</w:t>
      </w:r>
      <w:r>
        <w:rPr>
          <w:rFonts w:hint="default" w:ascii="Times New Roman" w:hAnsi="Times New Roman" w:eastAsia="宋体" w:cs="Times New Roman"/>
          <w:color w:val="auto"/>
          <w:kern w:val="0"/>
          <w:sz w:val="28"/>
          <w:szCs w:val="28"/>
          <w:highlight w:val="none"/>
        </w:rPr>
        <w:t>现破包、潮包、结块、严重污染等情况的，仓库不得接收入库。</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第三十条 </w:t>
      </w:r>
      <w:r>
        <w:rPr>
          <w:rFonts w:hint="default" w:ascii="Times New Roman" w:hAnsi="Times New Roman" w:eastAsia="宋体" w:cs="Times New Roman"/>
          <w:color w:val="auto"/>
          <w:kern w:val="0"/>
          <w:sz w:val="28"/>
          <w:szCs w:val="28"/>
          <w:highlight w:val="none"/>
        </w:rPr>
        <w:t>境内生产的PTA申请注册完税标准仓单的，入库时应当向仓库提交本批PTA生产厂家出具的符合交割标准的《产品质量证明书》。《产品质量证明书》应当载有生产厂家、生产日期、适用的质量标准和该批商品的质量检验结果等信息。</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境外生产的PTA申请注册完税标准仓单的，入库时应当向仓库提交本批商品的船运证明、《</w:t>
      </w:r>
      <w:r>
        <w:rPr>
          <w:rFonts w:hint="default" w:ascii="Times New Roman" w:hAnsi="Times New Roman" w:cs="Times New Roman"/>
          <w:color w:val="auto"/>
          <w:kern w:val="0"/>
          <w:sz w:val="28"/>
          <w:szCs w:val="28"/>
          <w:highlight w:val="none"/>
        </w:rPr>
        <w:t>中华人民共和国</w:t>
      </w:r>
      <w:r>
        <w:rPr>
          <w:rFonts w:hint="default" w:ascii="Times New Roman" w:hAnsi="Times New Roman" w:eastAsia="宋体" w:cs="Times New Roman"/>
          <w:color w:val="auto"/>
          <w:kern w:val="0"/>
          <w:sz w:val="28"/>
          <w:szCs w:val="28"/>
          <w:highlight w:val="none"/>
        </w:rPr>
        <w:t>海关进口货物报关单》《海关进口关税专用缴款书》《海关代征增值税专用缴款书》，以及生产厂家出具的《产品质量证明书》《产地证明书》等材料的复印件，并加盖申请入库单位公章。标准仓单注册人应当对所提供的单证签署《进口PTA单证合法、真实、有效保证书》。</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申请注册PTA保税标准仓单的，入库时应当向仓库提交本批商品生产厂家出具的《产品质量证明书》《产地证明书》及海关要求的其他单证等材料的复印件，并加盖申请入库单位公章。</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第三十一条 </w:t>
      </w:r>
      <w:r>
        <w:rPr>
          <w:rFonts w:hint="default" w:ascii="Times New Roman" w:hAnsi="Times New Roman" w:eastAsia="宋体" w:cs="Times New Roman"/>
          <w:color w:val="auto"/>
          <w:kern w:val="0"/>
          <w:sz w:val="28"/>
          <w:szCs w:val="28"/>
          <w:highlight w:val="none"/>
        </w:rPr>
        <w:t>PTA入库时，仓库对入库商品进行重量验收。PTA单包净重为1吨、1.1吨或者交易所公告的其他规格。PTA重量验收可以采用过地磅同时抽包检斤或者单独抽包检斤的方式进行。</w:t>
      </w:r>
    </w:p>
    <w:p>
      <w:pPr>
        <w:tabs>
          <w:tab w:val="left" w:pos="5103"/>
        </w:tabs>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第三十二条 </w:t>
      </w:r>
      <w:r>
        <w:rPr>
          <w:rFonts w:hint="default" w:ascii="Times New Roman" w:hAnsi="Times New Roman" w:eastAsia="宋体" w:cs="Times New Roman"/>
          <w:color w:val="auto"/>
          <w:kern w:val="0"/>
          <w:sz w:val="28"/>
          <w:szCs w:val="28"/>
          <w:highlight w:val="none"/>
        </w:rPr>
        <w:t>PTA入库质量检验由指定质检机构负责，检验费用由标准仓单注册人承担。PTA质量检验按每550吨一个样品抽取；不足550吨的按550吨计。样品一式三份，仓库和标准仓单注册人双方共同封样后寄（送）指定质检机构两份，仓库留存一份。指定质检机构应当自收到每批样品之日起5个工作日内出具检验结果并通知仓库。</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标准仓单注册人或者仓库对入库质量检验结果有异议的，可以向交易所提出质量复检申请。具体流程按照《郑州商品交易所标准仓单管理办法》“仓库商品入库复检”有关规定办理。</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第三十三条 </w:t>
      </w:r>
      <w:r>
        <w:rPr>
          <w:rFonts w:hint="default" w:ascii="Times New Roman" w:hAnsi="Times New Roman" w:eastAsia="宋体" w:cs="Times New Roman"/>
          <w:color w:val="auto"/>
          <w:kern w:val="0"/>
          <w:sz w:val="28"/>
          <w:szCs w:val="28"/>
          <w:highlight w:val="none"/>
        </w:rPr>
        <w:t>PTA期货实行免检品牌制度。</w:t>
      </w:r>
      <w:r>
        <w:rPr>
          <w:rFonts w:hint="default" w:ascii="Times New Roman" w:hAnsi="Times New Roman" w:eastAsia="宋体" w:cs="Times New Roman"/>
          <w:color w:val="auto"/>
          <w:kern w:val="0"/>
          <w:sz w:val="28"/>
          <w:szCs w:val="32"/>
          <w:highlight w:val="none"/>
        </w:rPr>
        <w:t>免检品牌生产厂家直接申请入库的，入库PTA质量可以免检；标准仓单注册人向交易所和仓库提交免检品牌生产厂家出具符合交易所要求的《产品质量责任承诺书》及相关材料的，入库PTA质量可以免检。</w:t>
      </w:r>
      <w:r>
        <w:rPr>
          <w:rFonts w:hint="default" w:ascii="Times New Roman" w:hAnsi="Times New Roman" w:eastAsia="宋体" w:cs="Times New Roman"/>
          <w:color w:val="auto"/>
          <w:kern w:val="0"/>
          <w:sz w:val="28"/>
          <w:szCs w:val="28"/>
          <w:highlight w:val="none"/>
        </w:rPr>
        <w:t>PTA免检品牌由交易所另行公告。</w:t>
      </w:r>
    </w:p>
    <w:p>
      <w:pPr>
        <w:suppressAutoHyphens/>
        <w:bidi w:val="0"/>
        <w:ind w:firstLine="560" w:firstLineChars="200"/>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第三十四条 </w:t>
      </w:r>
      <w:r>
        <w:rPr>
          <w:rFonts w:hint="default" w:ascii="Times New Roman" w:hAnsi="Times New Roman" w:eastAsia="宋体" w:cs="Times New Roman"/>
          <w:color w:val="auto"/>
          <w:kern w:val="0"/>
          <w:sz w:val="28"/>
          <w:szCs w:val="28"/>
          <w:highlight w:val="none"/>
        </w:rPr>
        <w:t>PTA重量验收及入库采样时，标准仓单注册人应当到场监督。仓库和标准仓单注册人应当对验收结果签章确认，并共同对入库商品的真实性负责；入库商品未经仓库、标准仓单注册人签章确认的，不得用于期货交割。</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PTA入库后，仓库应当对标准仓单注册人的名称、联系人及联系方式、商品数量、生产厂家、存放库房及垛位等事项登记造册，并由标准仓单注册人签字确认。</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第三十五条 </w:t>
      </w:r>
      <w:r>
        <w:rPr>
          <w:rFonts w:hint="default" w:ascii="Times New Roman" w:hAnsi="Times New Roman" w:eastAsia="宋体" w:cs="Times New Roman"/>
          <w:color w:val="auto"/>
          <w:kern w:val="0"/>
          <w:sz w:val="28"/>
          <w:szCs w:val="28"/>
          <w:highlight w:val="none"/>
        </w:rPr>
        <w:t>生产日期超过90天的境内生产的PTA和自境外发运之日起超过60天的进口PTA，仓库不得接收入库。</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第三十六条 </w:t>
      </w:r>
      <w:r>
        <w:rPr>
          <w:rFonts w:hint="default" w:ascii="Times New Roman" w:hAnsi="Times New Roman" w:eastAsia="宋体" w:cs="Times New Roman"/>
          <w:color w:val="auto"/>
          <w:kern w:val="0"/>
          <w:sz w:val="28"/>
          <w:szCs w:val="28"/>
          <w:highlight w:val="none"/>
        </w:rPr>
        <w:t>PTA仓库标准仓单注销后，提货人应当在交易所开具《提货通知单》之日起10个工作日内，凭提货人身份证、提货人所在单位证明及《提货通知单》验证密码到仓库办理提货手续，确认商品质量、运输方式，并预交各项费用。</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提货人提供运输工具的，自提货人凭《提货通知单》与仓库联系出库事宜、运输工具到达仓库之日起，仓库开始发货，并停止收取已装运货物的仓储费。</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提货人可以委托仓库代办运输，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由于提货人变更发货方式或者发货时间、提货手续不全、费用未按时交纳、特殊要求等原因，致使商品装运推迟的，仓库发货时间不受前款规定限制。</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第三十七条 </w:t>
      </w:r>
      <w:r>
        <w:rPr>
          <w:rFonts w:hint="default" w:ascii="Times New Roman" w:hAnsi="Times New Roman" w:eastAsia="宋体" w:cs="Times New Roman"/>
          <w:color w:val="auto"/>
          <w:kern w:val="0"/>
          <w:sz w:val="28"/>
          <w:szCs w:val="28"/>
          <w:highlight w:val="none"/>
        </w:rPr>
        <w:t>PTA出库重量验收由仓库和提货人共同实施，具体办法参照入库重量验收规定。</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cs="Times New Roman"/>
          <w:color w:val="auto"/>
          <w:sz w:val="28"/>
          <w:szCs w:val="28"/>
          <w:highlight w:val="none"/>
        </w:rPr>
        <w:t>PTA出库时数量发生损耗造成短少的，仓库应当及时补足。不能及时补足的，仓库按照《提货通知单》开具日之前（含该日）PTA期</w:t>
      </w:r>
      <w:r>
        <w:rPr>
          <w:rFonts w:hint="default" w:ascii="Times New Roman" w:hAnsi="Times New Roman" w:eastAsia="宋体" w:cs="Times New Roman"/>
          <w:color w:val="auto"/>
          <w:sz w:val="28"/>
          <w:szCs w:val="28"/>
          <w:highlight w:val="none"/>
        </w:rPr>
        <w:t>货最近交割月最高交割结算价核算短少商品价款，赔偿提货人。</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第三十八条 </w:t>
      </w:r>
      <w:r>
        <w:rPr>
          <w:rFonts w:hint="default" w:ascii="Times New Roman" w:hAnsi="Times New Roman" w:cs="Times New Roman"/>
          <w:color w:val="auto"/>
          <w:kern w:val="0"/>
          <w:sz w:val="28"/>
          <w:szCs w:val="28"/>
          <w:highlight w:val="none"/>
        </w:rPr>
        <w:t>PTA出库时，提货人</w:t>
      </w:r>
      <w:r>
        <w:rPr>
          <w:rFonts w:hint="default" w:ascii="Times New Roman" w:hAnsi="Times New Roman" w:eastAsia="宋体" w:cs="Times New Roman"/>
          <w:color w:val="000000"/>
          <w:kern w:val="0"/>
          <w:sz w:val="28"/>
          <w:szCs w:val="28"/>
          <w:highlight w:val="none"/>
        </w:rPr>
        <w:t>对商品质量有异议的，可以向交易所申请一次复检，并预交复检费用。质量异议应当在</w:t>
      </w:r>
      <w:r>
        <w:rPr>
          <w:rFonts w:hint="default" w:ascii="Times New Roman" w:hAnsi="Times New Roman" w:eastAsia="宋体" w:cs="Times New Roman"/>
          <w:color w:val="auto"/>
          <w:kern w:val="0"/>
          <w:sz w:val="28"/>
          <w:szCs w:val="28"/>
          <w:highlight w:val="none"/>
        </w:rPr>
        <w:t>《提货通知单》开具之日起10个工作日内</w:t>
      </w:r>
      <w:r>
        <w:rPr>
          <w:rFonts w:hint="default" w:ascii="Times New Roman" w:hAnsi="Times New Roman" w:eastAsia="宋体" w:cs="Times New Roman"/>
          <w:color w:val="000000"/>
          <w:kern w:val="0"/>
          <w:sz w:val="28"/>
          <w:szCs w:val="28"/>
          <w:highlight w:val="none"/>
        </w:rPr>
        <w:t>提出。</w:t>
      </w:r>
      <w:r>
        <w:rPr>
          <w:rFonts w:hint="default" w:ascii="Times New Roman" w:hAnsi="Times New Roman" w:eastAsia="宋体" w:cs="Times New Roman"/>
          <w:color w:val="auto"/>
          <w:kern w:val="0"/>
          <w:sz w:val="28"/>
          <w:szCs w:val="28"/>
          <w:highlight w:val="none"/>
        </w:rPr>
        <w:t>具体流程按照《郑州商品交易所标准仓单管理办法》“仓库商品出库复检”有关规定办理。</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第三十九条 </w:t>
      </w:r>
      <w:r>
        <w:rPr>
          <w:rFonts w:hint="default" w:ascii="Times New Roman" w:hAnsi="Times New Roman" w:eastAsia="宋体" w:cs="Times New Roman"/>
          <w:color w:val="auto"/>
          <w:kern w:val="0"/>
          <w:sz w:val="28"/>
          <w:szCs w:val="28"/>
          <w:highlight w:val="none"/>
        </w:rPr>
        <w:t>仓库正常保管情况下，PTA出库时水分指标变化不影响使用的，提货人不得拒绝接收。</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第四十条 </w:t>
      </w:r>
      <w:r>
        <w:rPr>
          <w:rFonts w:hint="default" w:ascii="Times New Roman" w:hAnsi="Times New Roman" w:eastAsia="宋体" w:cs="Times New Roman"/>
          <w:color w:val="auto"/>
          <w:kern w:val="0"/>
          <w:sz w:val="28"/>
          <w:szCs w:val="28"/>
          <w:highlight w:val="none"/>
        </w:rPr>
        <w:t>仓库应当按照“先进先出”的原则安排PTA出库。</w:t>
      </w:r>
    </w:p>
    <w:p>
      <w:pPr>
        <w:suppressAutoHyphens/>
        <w:bidi w:val="0"/>
        <w:ind w:firstLine="562" w:firstLineChars="200"/>
        <w:jc w:val="center"/>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第四节 厂库标准仓单交割</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第四十一条 </w:t>
      </w:r>
      <w:r>
        <w:rPr>
          <w:rFonts w:hint="default" w:ascii="Times New Roman" w:hAnsi="Times New Roman" w:eastAsia="宋体" w:cs="Times New Roman"/>
          <w:color w:val="auto"/>
          <w:kern w:val="0"/>
          <w:sz w:val="28"/>
          <w:szCs w:val="28"/>
          <w:highlight w:val="none"/>
        </w:rPr>
        <w:t>PTA厂库允许注册标准仓单的最大数量由交易所确定，交易所可以根据情况予以调整。</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PTA厂库申请注册标准仓单前，应当按照交易所规定提供标准仓单注册担保。</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第四十二条 </w:t>
      </w:r>
      <w:r>
        <w:rPr>
          <w:rFonts w:hint="default" w:ascii="Times New Roman" w:hAnsi="Times New Roman" w:eastAsia="宋体" w:cs="Times New Roman"/>
          <w:color w:val="auto"/>
          <w:kern w:val="0"/>
          <w:sz w:val="28"/>
          <w:szCs w:val="28"/>
          <w:highlight w:val="none"/>
        </w:rPr>
        <w:t>PTA厂库标准仓单注销后，提货人应当在交易所开具《提货通知单》之日起10个工作日内，凭提货人身份证、提货人所在单位证明及《提货通知单》验证密码到厂库办理提货手续，确认商品质量、运输方式，并预交各项费用。</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提货人办理提货手续时，应当就发货速度及最后完成出库时间与厂库协商一致，协商不成的，厂库应当按照交易所批准的日发货速度发货。</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本细则所称厂库日发货速度，是指厂库在24小时内安排期货商品发货的最低数量。厂库日发货速度由交易所确定和调整。</w:t>
      </w:r>
    </w:p>
    <w:p>
      <w:pPr>
        <w:suppressAutoHyphens/>
        <w:bidi w:val="0"/>
        <w:ind w:firstLine="560" w:firstLineChars="200"/>
        <w:rPr>
          <w:rFonts w:hint="default" w:ascii="Times New Roman" w:hAnsi="Times New Roman" w:eastAsia="宋体" w:cs="Times New Roman"/>
          <w:b/>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第四十三条 </w:t>
      </w:r>
      <w:r>
        <w:rPr>
          <w:rFonts w:hint="default" w:ascii="Times New Roman" w:hAnsi="Times New Roman" w:eastAsia="宋体" w:cs="Times New Roman"/>
          <w:color w:val="auto"/>
          <w:kern w:val="0"/>
          <w:sz w:val="28"/>
          <w:szCs w:val="28"/>
          <w:highlight w:val="none"/>
        </w:rPr>
        <w:t>厂库应当在提货手续办妥之日起3个日历日内开始发货，提货人与厂库协商一致的除外。提货人可以自行到库提货或者委托厂库代为发运。</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由于提货人变更发货方式或者发货时间、提货手续不全、未按时交纳费用及其他特殊要求等原因，致使发货推迟的，厂库发货时间不受前款规定限制。</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第四十四条 </w:t>
      </w:r>
      <w:r>
        <w:rPr>
          <w:rFonts w:hint="default" w:ascii="Times New Roman" w:hAnsi="Times New Roman" w:eastAsia="宋体" w:cs="Times New Roman"/>
          <w:color w:val="auto"/>
          <w:kern w:val="0"/>
          <w:sz w:val="28"/>
          <w:szCs w:val="28"/>
          <w:highlight w:val="none"/>
        </w:rPr>
        <w:t>厂库PTA出库重量验收由提货人与厂库共同实施，以厂库检重为准，足量出库。</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PTA出库重量发生短少的，厂库应当及时补足。不能补足的，厂库应当按照《提货通知单》开具日之前（含该日）PTA期货最近交割月最高交割结算价核算短少商品价款，赔偿提货人。</w:t>
      </w:r>
    </w:p>
    <w:p>
      <w:pPr>
        <w:suppressAutoHyphens/>
        <w:bidi w:val="0"/>
        <w:ind w:firstLine="560" w:firstLineChars="200"/>
        <w:rPr>
          <w:rFonts w:hint="default" w:ascii="Times New Roman" w:hAnsi="Times New Roman" w:eastAsia="楷体" w:cs="Times New Roman"/>
          <w:color w:val="auto"/>
          <w:kern w:val="0"/>
          <w:sz w:val="24"/>
          <w:szCs w:val="24"/>
          <w:highlight w:val="none"/>
        </w:rPr>
      </w:pPr>
      <w:r>
        <w:rPr>
          <w:rFonts w:hint="default" w:ascii="Times New Roman" w:hAnsi="Times New Roman" w:eastAsia="宋体" w:cs="Times New Roman"/>
          <w:color w:val="auto"/>
          <w:kern w:val="0"/>
          <w:sz w:val="28"/>
          <w:szCs w:val="28"/>
          <w:highlight w:val="none"/>
        </w:rPr>
        <w:t>提货人在货物交收时应当到交收地点监发，未到场监发的，视为对货物重量没有异议。</w:t>
      </w:r>
    </w:p>
    <w:p>
      <w:pPr>
        <w:suppressAutoHyphens/>
        <w:bidi w:val="0"/>
        <w:ind w:firstLine="560" w:firstLineChars="200"/>
        <w:rPr>
          <w:rFonts w:hint="default" w:ascii="Times New Roman" w:hAnsi="Times New Roman" w:eastAsia="宋体" w:cs="Times New Roman"/>
          <w:color w:val="auto"/>
          <w:kern w:val="0"/>
          <w:sz w:val="28"/>
          <w:szCs w:val="32"/>
          <w:highlight w:val="none"/>
        </w:rPr>
      </w:pPr>
      <w:r>
        <w:rPr>
          <w:rFonts w:hint="default" w:ascii="Times New Roman" w:hAnsi="Times New Roman" w:eastAsia="黑体" w:cs="Times New Roman"/>
          <w:color w:val="auto"/>
          <w:kern w:val="0"/>
          <w:sz w:val="28"/>
          <w:szCs w:val="28"/>
          <w:highlight w:val="none"/>
        </w:rPr>
        <w:t xml:space="preserve">第四十五条 </w:t>
      </w:r>
      <w:r>
        <w:rPr>
          <w:rFonts w:hint="default" w:ascii="Times New Roman" w:hAnsi="Times New Roman" w:eastAsia="宋体" w:cs="Times New Roman"/>
          <w:color w:val="auto"/>
          <w:kern w:val="0"/>
          <w:sz w:val="28"/>
          <w:szCs w:val="32"/>
          <w:highlight w:val="none"/>
        </w:rPr>
        <w:t>厂库应当保证交割商品的质量符合交易所规定的交割标准，双方协商一致的除外。</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厂库PTA出库时，厂库应当在提货人监督下在货物装运到买方运输工具前进行抽样，经双方确认后共同封样。样品一式三份，一份由提货人保存，两份由厂库保存。厂库应当将样品保留至发货后30个日历日，作为发生质量争议时的处理依据。</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 xml:space="preserve">第四十六条 </w:t>
      </w:r>
      <w:r>
        <w:rPr>
          <w:rFonts w:hint="default" w:ascii="Times New Roman" w:hAnsi="Times New Roman" w:eastAsia="宋体" w:cs="Times New Roman"/>
          <w:color w:val="auto"/>
          <w:kern w:val="0"/>
          <w:sz w:val="28"/>
          <w:szCs w:val="28"/>
          <w:highlight w:val="none"/>
        </w:rPr>
        <w:t>提货人或者厂库</w:t>
      </w:r>
      <w:r>
        <w:rPr>
          <w:rFonts w:hint="default" w:ascii="Times New Roman" w:hAnsi="Times New Roman" w:eastAsia="宋体" w:cs="Times New Roman"/>
          <w:color w:val="000000"/>
          <w:kern w:val="0"/>
          <w:sz w:val="28"/>
          <w:szCs w:val="28"/>
          <w:highlight w:val="none"/>
        </w:rPr>
        <w:t>对PTA重量、质量有异议的，由</w:t>
      </w:r>
      <w:r>
        <w:rPr>
          <w:rFonts w:hint="default" w:ascii="Times New Roman" w:hAnsi="Times New Roman" w:eastAsia="宋体" w:cs="Times New Roman"/>
          <w:color w:val="auto"/>
          <w:kern w:val="0"/>
          <w:sz w:val="28"/>
          <w:szCs w:val="28"/>
          <w:highlight w:val="none"/>
        </w:rPr>
        <w:t>提货人</w:t>
      </w:r>
      <w:r>
        <w:rPr>
          <w:rFonts w:hint="default" w:ascii="Times New Roman" w:hAnsi="Times New Roman" w:eastAsia="宋体" w:cs="Times New Roman"/>
          <w:color w:val="000000"/>
          <w:kern w:val="0"/>
          <w:sz w:val="28"/>
          <w:szCs w:val="28"/>
          <w:highlight w:val="none"/>
        </w:rPr>
        <w:t>和厂库协商解决；协商不成的，可以向交易所申请一次复检，并由申请方预交复检及相关费用。重量异议应当在PTA出库前提出；质量异议应当在PTA出库之日起5个工作日内提出。复检</w:t>
      </w:r>
      <w:r>
        <w:rPr>
          <w:rFonts w:hint="default" w:ascii="Times New Roman" w:hAnsi="Times New Roman" w:eastAsia="宋体" w:cs="Times New Roman"/>
          <w:color w:val="auto"/>
          <w:kern w:val="0"/>
          <w:sz w:val="28"/>
          <w:szCs w:val="28"/>
          <w:highlight w:val="none"/>
        </w:rPr>
        <w:t>具体流程按照《郑州商品交易所标准仓单管理办法》“厂库商品出库复检”有关规定办理。</w:t>
      </w:r>
    </w:p>
    <w:p>
      <w:pPr>
        <w:suppressAutoHyphens/>
        <w:bidi w:val="0"/>
        <w:ind w:firstLine="560" w:firstLineChars="200"/>
        <w:rPr>
          <w:rFonts w:hint="default" w:ascii="Times New Roman" w:hAnsi="Times New Roman" w:eastAsia="宋体" w:cs="Times New Roman"/>
          <w:color w:val="auto"/>
          <w:kern w:val="0"/>
          <w:sz w:val="28"/>
          <w:szCs w:val="28"/>
          <w:highlight w:val="none"/>
          <w:shd w:val="pct10" w:color="auto" w:fill="FFFFFF"/>
        </w:rPr>
      </w:pPr>
      <w:r>
        <w:rPr>
          <w:rFonts w:hint="default" w:ascii="Times New Roman" w:hAnsi="Times New Roman" w:eastAsia="黑体" w:cs="Times New Roman"/>
          <w:color w:val="auto"/>
          <w:kern w:val="0"/>
          <w:sz w:val="28"/>
          <w:szCs w:val="28"/>
          <w:highlight w:val="none"/>
        </w:rPr>
        <w:t xml:space="preserve">第四十七条 </w:t>
      </w:r>
      <w:r>
        <w:rPr>
          <w:rFonts w:hint="default" w:ascii="Times New Roman" w:hAnsi="Times New Roman" w:eastAsia="宋体" w:cs="Times New Roman"/>
          <w:color w:val="auto"/>
          <w:kern w:val="0"/>
          <w:sz w:val="28"/>
          <w:szCs w:val="28"/>
          <w:highlight w:val="none"/>
        </w:rPr>
        <w:t>厂库或者提货人因故不能按照约定计划发货或者提货的，双方应当及时协商并妥善调整发货速度或者发货计划，并且过错方应当支付滞纳金。滞纳金额=∑[5（元/吨•天）×延误天数×应发（收）而未发（收）商品数量]。</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因厂库原因在约定的最后发货日起5个日历日内仍不能完成所有商品发货的，提货人可以要求厂库终止发货并支付赔偿金。赔偿金额=PTA期货最近交割月最高交割结算价×应发未发的商品数量×120%。</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因天气原因及其他不可抗力因素导致无法按计划发货或者提货的，厂库或者提货人不需要支付滞纳金或者赔偿金。</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000000"/>
          <w:kern w:val="0"/>
          <w:sz w:val="28"/>
          <w:szCs w:val="28"/>
          <w:highlight w:val="none"/>
        </w:rPr>
        <w:t>厂库和提货人应当妥善保管商品发货计划、协商确认材料以及发货和提货单据等，作为纠纷解决的依据。</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第四十八条 </w:t>
      </w:r>
      <w:r>
        <w:rPr>
          <w:rFonts w:hint="default" w:ascii="Times New Roman" w:hAnsi="Times New Roman" w:eastAsia="宋体" w:cs="Times New Roman"/>
          <w:color w:val="auto"/>
          <w:kern w:val="0"/>
          <w:sz w:val="28"/>
          <w:szCs w:val="28"/>
          <w:highlight w:val="none"/>
        </w:rPr>
        <w:t>多名提货人同时提货的，厂库可以根据提货人预约时间及办理提货手续的先后顺序等因素合理安排发货。</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第四十九条 </w:t>
      </w:r>
      <w:r>
        <w:rPr>
          <w:rFonts w:hint="default" w:ascii="Times New Roman" w:hAnsi="Times New Roman" w:eastAsia="宋体" w:cs="Times New Roman"/>
          <w:color w:val="auto"/>
          <w:kern w:val="0"/>
          <w:sz w:val="28"/>
          <w:szCs w:val="28"/>
          <w:highlight w:val="none"/>
        </w:rPr>
        <w:t>厂库发生违约行为，且厂库未赔偿或者赔偿金额不足的，交易所可以动用厂库提供的担保对提货人进行赔偿。</w:t>
      </w:r>
    </w:p>
    <w:p>
      <w:pPr>
        <w:suppressAutoHyphens/>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第五十条 </w:t>
      </w:r>
      <w:r>
        <w:rPr>
          <w:rFonts w:hint="default" w:ascii="Times New Roman" w:hAnsi="Times New Roman" w:eastAsia="宋体" w:cs="Times New Roman"/>
          <w:color w:val="auto"/>
          <w:kern w:val="0"/>
          <w:sz w:val="28"/>
          <w:szCs w:val="28"/>
          <w:highlight w:val="none"/>
        </w:rPr>
        <w:t>厂库发货完毕后，交易所书面确认无质量、数量责任的，经厂库申请，交易所退还厂库提交的担保财产或者担保凭证。</w:t>
      </w:r>
    </w:p>
    <w:p>
      <w:pPr>
        <w:tabs>
          <w:tab w:val="left" w:pos="1620"/>
        </w:tabs>
        <w:suppressAutoHyphens/>
        <w:autoSpaceDE w:val="0"/>
        <w:autoSpaceDN w:val="0"/>
        <w:bidi w:val="0"/>
        <w:jc w:val="center"/>
        <w:rPr>
          <w:rFonts w:hint="default" w:ascii="Times New Roman" w:hAnsi="Times New Roman" w:eastAsia="黑体" w:cs="Times New Roman"/>
          <w:color w:val="000000"/>
          <w:kern w:val="0"/>
          <w:sz w:val="30"/>
          <w:szCs w:val="30"/>
          <w:highlight w:val="none"/>
        </w:rPr>
      </w:pPr>
      <w:r>
        <w:rPr>
          <w:rFonts w:hint="default" w:ascii="Times New Roman" w:hAnsi="Times New Roman" w:eastAsia="黑体" w:cs="Times New Roman"/>
          <w:color w:val="000000"/>
          <w:kern w:val="0"/>
          <w:sz w:val="30"/>
          <w:szCs w:val="30"/>
          <w:highlight w:val="none"/>
        </w:rPr>
        <w:t>第四章 保税标准仓单</w:t>
      </w:r>
    </w:p>
    <w:p>
      <w:pPr>
        <w:tabs>
          <w:tab w:val="left" w:pos="1620"/>
        </w:tabs>
        <w:suppressAutoHyphens/>
        <w:autoSpaceDE w:val="0"/>
        <w:autoSpaceDN w:val="0"/>
        <w:bidi w:val="0"/>
        <w:ind w:firstLine="562" w:firstLineChars="200"/>
        <w:jc w:val="center"/>
        <w:rPr>
          <w:rFonts w:hint="default" w:ascii="Times New Roman" w:hAnsi="Times New Roman" w:eastAsia="宋体" w:cs="Times New Roman"/>
          <w:b/>
          <w:color w:val="000000"/>
          <w:kern w:val="0"/>
          <w:sz w:val="28"/>
          <w:szCs w:val="28"/>
          <w:highlight w:val="none"/>
        </w:rPr>
      </w:pPr>
      <w:r>
        <w:rPr>
          <w:rFonts w:hint="default" w:ascii="Times New Roman" w:hAnsi="Times New Roman" w:eastAsia="宋体" w:cs="Times New Roman"/>
          <w:b/>
          <w:color w:val="000000"/>
          <w:kern w:val="0"/>
          <w:sz w:val="28"/>
          <w:szCs w:val="28"/>
          <w:highlight w:val="none"/>
        </w:rPr>
        <w:t>第一节 保税标准仓单的生成</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000000"/>
          <w:kern w:val="0"/>
          <w:sz w:val="28"/>
          <w:szCs w:val="28"/>
          <w:highlight w:val="none"/>
        </w:rPr>
        <w:t xml:space="preserve">第五十一条 </w:t>
      </w:r>
      <w:r>
        <w:rPr>
          <w:rFonts w:hint="default" w:ascii="Times New Roman" w:hAnsi="Times New Roman" w:eastAsia="宋体" w:cs="Times New Roman"/>
          <w:color w:val="auto"/>
          <w:sz w:val="28"/>
          <w:szCs w:val="28"/>
          <w:highlight w:val="none"/>
        </w:rPr>
        <w:t>保税标准仓单的生成按照交易所对完税标准仓单的有关规定执行。</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 xml:space="preserve">第五十二条 </w:t>
      </w:r>
      <w:r>
        <w:rPr>
          <w:rFonts w:hint="default" w:ascii="Times New Roman" w:hAnsi="Times New Roman" w:eastAsia="宋体" w:cs="Times New Roman"/>
          <w:color w:val="auto"/>
          <w:sz w:val="28"/>
          <w:szCs w:val="28"/>
          <w:highlight w:val="none"/>
        </w:rPr>
        <w:t>保税交割仓库申请注册的标准仓单应当明确对应货物为保税状态或者完税状态，并对不同状态的货物分别管理。</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000000"/>
          <w:kern w:val="0"/>
          <w:sz w:val="28"/>
          <w:szCs w:val="28"/>
          <w:highlight w:val="none"/>
        </w:rPr>
        <w:t xml:space="preserve">第五十三条 </w:t>
      </w:r>
      <w:r>
        <w:rPr>
          <w:rFonts w:hint="default" w:ascii="Times New Roman" w:hAnsi="Times New Roman" w:eastAsia="宋体" w:cs="Times New Roman"/>
          <w:color w:val="auto"/>
          <w:sz w:val="28"/>
          <w:szCs w:val="28"/>
          <w:highlight w:val="none"/>
        </w:rPr>
        <w:t>被中国征收反倾销税的境外厂商生产的PTA不得用于注册保税标准仓单。</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000000"/>
          <w:kern w:val="0"/>
          <w:sz w:val="28"/>
          <w:szCs w:val="28"/>
          <w:highlight w:val="none"/>
        </w:rPr>
        <w:t xml:space="preserve">第五十四条 </w:t>
      </w:r>
      <w:r>
        <w:rPr>
          <w:rFonts w:hint="default" w:ascii="Times New Roman" w:hAnsi="Times New Roman" w:eastAsia="宋体" w:cs="Times New Roman"/>
          <w:color w:val="auto"/>
          <w:sz w:val="28"/>
          <w:szCs w:val="28"/>
          <w:highlight w:val="none"/>
        </w:rPr>
        <w:t>PTA保税标准仓单可以用于交割、转让、期转现、作为保证金、提货以及交易所认可的其他用途。</w:t>
      </w:r>
    </w:p>
    <w:p>
      <w:pPr>
        <w:suppressAutoHyphens/>
        <w:bidi w:val="0"/>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000000"/>
          <w:kern w:val="0"/>
          <w:sz w:val="28"/>
          <w:szCs w:val="28"/>
          <w:highlight w:val="none"/>
        </w:rPr>
        <w:t>第二节 保税标准仓单转让</w:t>
      </w:r>
    </w:p>
    <w:p>
      <w:pPr>
        <w:suppressAutoHyphens/>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000000"/>
          <w:kern w:val="0"/>
          <w:sz w:val="28"/>
          <w:szCs w:val="28"/>
          <w:highlight w:val="none"/>
        </w:rPr>
        <w:t xml:space="preserve">第五十五条 </w:t>
      </w:r>
      <w:r>
        <w:rPr>
          <w:rFonts w:hint="default" w:ascii="Times New Roman" w:hAnsi="Times New Roman" w:eastAsia="宋体" w:cs="Times New Roman"/>
          <w:color w:val="auto"/>
          <w:sz w:val="28"/>
          <w:szCs w:val="28"/>
          <w:highlight w:val="none"/>
        </w:rPr>
        <w:t>PTA保税标准仓单转让应当在交易所办理过户手续，并委托交易所办理货款划转。买卖双方通过会员向交易所提交转让申请。转让价格应当在提交转让申请当日最近交割月份合约涨跌停板价格扣除税费的范围内。</w:t>
      </w:r>
    </w:p>
    <w:p>
      <w:pPr>
        <w:suppressAutoHyphens/>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交易所完成标准仓单过户和货款划转后，为买卖双方开具《保税交割结算单》。《保税交割结算单》中应当包括价格信息、买卖双方名称、会员单位名称、实际数量、交割方式等内容，交割方式中应当标注“转让”。</w:t>
      </w:r>
    </w:p>
    <w:p>
      <w:pPr>
        <w:suppressAutoHyphens/>
        <w:bidi w:val="0"/>
        <w:ind w:firstLine="560" w:firstLineChars="200"/>
        <w:rPr>
          <w:rFonts w:hint="default" w:ascii="Times New Roman" w:hAnsi="Times New Roman" w:eastAsia="宋体" w:cs="Times New Roman"/>
          <w:dstrike/>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第五十六条 </w:t>
      </w:r>
      <w:r>
        <w:rPr>
          <w:rFonts w:hint="default" w:ascii="Times New Roman" w:hAnsi="Times New Roman" w:eastAsia="宋体" w:cs="Times New Roman"/>
          <w:color w:val="auto"/>
          <w:sz w:val="28"/>
          <w:szCs w:val="28"/>
          <w:highlight w:val="none"/>
        </w:rPr>
        <w:t>卖方会员应当在保税标准仓单转让完成之日起（不含该日）第7个交易日闭市前</w:t>
      </w:r>
      <w:r>
        <w:rPr>
          <w:rFonts w:hint="default" w:ascii="Times New Roman" w:hAnsi="Times New Roman" w:eastAsia="宋体" w:cs="Times New Roman"/>
          <w:color w:val="auto"/>
          <w:kern w:val="0"/>
          <w:sz w:val="28"/>
          <w:szCs w:val="28"/>
          <w:highlight w:val="none"/>
        </w:rPr>
        <w:t>向交易所提交增值税普通发票，未在规定时间内提交的，交易所按货款的5%预扣相应的款项，并按照《郑州商品交易所期货交割管理办法》及《郑州商品交易所期货结算管理办法》相关规定处理。</w:t>
      </w:r>
    </w:p>
    <w:p>
      <w:pPr>
        <w:suppressAutoHyphens/>
        <w:bidi w:val="0"/>
        <w:ind w:firstLine="562" w:firstLineChars="200"/>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第三节 保税标准仓单交割</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第五十七条 </w:t>
      </w:r>
      <w:r>
        <w:rPr>
          <w:rFonts w:hint="default" w:ascii="Times New Roman" w:hAnsi="Times New Roman" w:eastAsia="宋体" w:cs="Times New Roman"/>
          <w:color w:val="auto"/>
          <w:kern w:val="0"/>
          <w:sz w:val="28"/>
          <w:szCs w:val="28"/>
          <w:highlight w:val="none"/>
        </w:rPr>
        <w:t>PTA保税标准仓单的交割配对流程按照《郑州商品交易所</w:t>
      </w:r>
      <w:r>
        <w:rPr>
          <w:rFonts w:hint="default" w:ascii="Times New Roman" w:hAnsi="Times New Roman" w:eastAsia="宋体" w:cs="Times New Roman"/>
          <w:color w:val="auto"/>
          <w:sz w:val="28"/>
          <w:szCs w:val="28"/>
          <w:highlight w:val="none"/>
        </w:rPr>
        <w:t>期货</w:t>
      </w:r>
      <w:r>
        <w:rPr>
          <w:rFonts w:hint="default" w:ascii="Times New Roman" w:hAnsi="Times New Roman" w:eastAsia="宋体" w:cs="Times New Roman"/>
          <w:color w:val="auto"/>
          <w:kern w:val="0"/>
          <w:sz w:val="28"/>
          <w:szCs w:val="28"/>
          <w:highlight w:val="none"/>
        </w:rPr>
        <w:t>交割管理办法》有关规定执行。</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000000"/>
          <w:kern w:val="0"/>
          <w:sz w:val="28"/>
          <w:szCs w:val="28"/>
          <w:highlight w:val="none"/>
        </w:rPr>
        <w:t xml:space="preserve">第五十八条 </w:t>
      </w:r>
      <w:r>
        <w:rPr>
          <w:rFonts w:hint="default" w:ascii="Times New Roman" w:hAnsi="Times New Roman" w:eastAsia="宋体" w:cs="Times New Roman"/>
          <w:color w:val="auto"/>
          <w:kern w:val="0"/>
          <w:sz w:val="28"/>
          <w:szCs w:val="28"/>
          <w:highlight w:val="none"/>
        </w:rPr>
        <w:t>第三交割日上</w:t>
      </w:r>
      <w:r>
        <w:rPr>
          <w:rFonts w:hint="default" w:ascii="Times New Roman" w:hAnsi="Times New Roman" w:eastAsia="宋体" w:cs="Times New Roman"/>
          <w:color w:val="auto"/>
          <w:sz w:val="28"/>
          <w:szCs w:val="28"/>
          <w:highlight w:val="none"/>
        </w:rPr>
        <w:t>午9时之前，买方会员应当补齐与其已交割配对的合约持仓相对应的差额货款。</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sz w:val="28"/>
          <w:szCs w:val="28"/>
          <w:highlight w:val="none"/>
        </w:rPr>
        <w:t>保税标准仓单货款=保税交割结算价×保税标准仓单数量×交易单位；其中，保税交割结算价=[(交割结算价-相关费用)/(1+进口增值税税率)-消费税]/(1+进口关税税率)。</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sz w:val="28"/>
          <w:szCs w:val="28"/>
          <w:highlight w:val="none"/>
        </w:rPr>
        <w:t>前款所称“相关费用”包括商品进口报关、报检及代理服务费用等，具体由交易所另行发布；前款公式中，消费税从量计征，关税从价计征。</w:t>
      </w:r>
    </w:p>
    <w:p>
      <w:pPr>
        <w:shd w:val="clear" w:color="auto" w:fill="FFFFFF"/>
        <w:suppressAutoHyphens/>
        <w:bidi w:val="0"/>
        <w:adjustRightInd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保税交割结算价由交易所在交割月配对日闭市后公布。遇国家税收政策调整的，交易所可以对保税交割结算价的计算公式进行调整，并及时公布。</w:t>
      </w:r>
    </w:p>
    <w:p>
      <w:pPr>
        <w:suppressAutoHyphens/>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 xml:space="preserve">第五十九条 </w:t>
      </w:r>
      <w:r>
        <w:rPr>
          <w:rFonts w:hint="default" w:ascii="Times New Roman" w:hAnsi="Times New Roman" w:eastAsia="宋体" w:cs="Times New Roman"/>
          <w:color w:val="auto"/>
          <w:sz w:val="28"/>
          <w:szCs w:val="28"/>
          <w:highlight w:val="none"/>
        </w:rPr>
        <w:t>交易所于第三交割日将卖方会员提交的保税标准仓单交付买方会员，将保税标准仓单货款付给卖方会员，并给买卖双方开具《保税交割结算单》。《保税交割结算单》中应当包括价格信息、买卖双方名称、会员单位名称、实际数量、交割方式等内容，交割方式中应当标注“交割”。</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sz w:val="28"/>
          <w:szCs w:val="28"/>
          <w:highlight w:val="none"/>
        </w:rPr>
        <w:t xml:space="preserve">第六十条 </w:t>
      </w:r>
      <w:r>
        <w:rPr>
          <w:rFonts w:hint="default" w:ascii="Times New Roman" w:hAnsi="Times New Roman" w:eastAsia="宋体" w:cs="Times New Roman"/>
          <w:color w:val="auto"/>
          <w:kern w:val="0"/>
          <w:sz w:val="28"/>
          <w:szCs w:val="28"/>
          <w:highlight w:val="none"/>
        </w:rPr>
        <w:t>参与PTA保税标准仓单交割的，</w:t>
      </w:r>
      <w:r>
        <w:rPr>
          <w:rFonts w:hint="default" w:ascii="Times New Roman" w:hAnsi="Times New Roman" w:eastAsia="宋体" w:cs="Times New Roman"/>
          <w:color w:val="000000"/>
          <w:kern w:val="0"/>
          <w:sz w:val="28"/>
          <w:szCs w:val="28"/>
          <w:highlight w:val="none"/>
        </w:rPr>
        <w:t>境内卖方客户应当向卖方会员开具增值税普通发票，境外卖方客户（</w:t>
      </w:r>
      <w:r>
        <w:rPr>
          <w:rFonts w:hint="default" w:ascii="Times New Roman" w:hAnsi="Times New Roman" w:cs="Times New Roman"/>
          <w:color w:val="auto"/>
          <w:kern w:val="0"/>
          <w:sz w:val="28"/>
          <w:szCs w:val="28"/>
          <w:highlight w:val="none"/>
        </w:rPr>
        <w:t>不包括合格境外机构投资者和人民币合格境外机构投资者</w:t>
      </w:r>
      <w:r>
        <w:rPr>
          <w:rFonts w:hint="default" w:ascii="Times New Roman" w:hAnsi="Times New Roman" w:eastAsia="宋体" w:cs="Times New Roman"/>
          <w:color w:val="000000"/>
          <w:kern w:val="0"/>
          <w:sz w:val="28"/>
          <w:szCs w:val="28"/>
          <w:highlight w:val="none"/>
        </w:rPr>
        <w:t>）</w:t>
      </w:r>
      <w:r>
        <w:rPr>
          <w:rFonts w:hint="eastAsia" w:ascii="Times New Roman" w:hAnsi="Times New Roman" w:cs="Times New Roman"/>
          <w:color w:val="000000"/>
          <w:kern w:val="0"/>
          <w:sz w:val="28"/>
          <w:szCs w:val="28"/>
          <w:highlight w:val="none"/>
          <w:lang w:eastAsia="zh-CN"/>
        </w:rPr>
        <w:t>、境外特殊参与者</w:t>
      </w:r>
      <w:r>
        <w:rPr>
          <w:rFonts w:hint="default" w:ascii="Times New Roman" w:hAnsi="Times New Roman" w:eastAsia="宋体" w:cs="Times New Roman"/>
          <w:color w:val="000000"/>
          <w:kern w:val="0"/>
          <w:sz w:val="28"/>
          <w:szCs w:val="28"/>
          <w:highlight w:val="none"/>
        </w:rPr>
        <w:t>或者境外</w:t>
      </w:r>
      <w:r>
        <w:rPr>
          <w:rFonts w:hint="eastAsia" w:ascii="Times New Roman" w:hAnsi="Times New Roman" w:cs="Times New Roman"/>
          <w:color w:val="000000"/>
          <w:kern w:val="0"/>
          <w:sz w:val="28"/>
          <w:szCs w:val="28"/>
          <w:highlight w:val="none"/>
          <w:lang w:eastAsia="zh-CN"/>
        </w:rPr>
        <w:t>中介</w:t>
      </w:r>
      <w:r>
        <w:rPr>
          <w:rFonts w:hint="default" w:ascii="Times New Roman" w:hAnsi="Times New Roman" w:eastAsia="宋体" w:cs="Times New Roman"/>
          <w:color w:val="000000"/>
          <w:kern w:val="0"/>
          <w:sz w:val="28"/>
          <w:szCs w:val="28"/>
          <w:highlight w:val="none"/>
        </w:rPr>
        <w:t>机构应当向卖方会员开具相应的收款凭证；卖方会员应当向交易所开具增值税普通发票；交易所应当向买方会员开具增值税普通发票；买方会员应当向买方客户、</w:t>
      </w:r>
      <w:r>
        <w:rPr>
          <w:rFonts w:hint="eastAsia" w:ascii="Times New Roman" w:hAnsi="Times New Roman" w:cs="Times New Roman"/>
          <w:color w:val="000000"/>
          <w:kern w:val="0"/>
          <w:sz w:val="28"/>
          <w:szCs w:val="28"/>
          <w:highlight w:val="none"/>
          <w:lang w:eastAsia="zh-CN"/>
        </w:rPr>
        <w:t>境外特殊参与者、</w:t>
      </w:r>
      <w:r>
        <w:rPr>
          <w:rFonts w:hint="default" w:ascii="Times New Roman" w:hAnsi="Times New Roman" w:eastAsia="宋体" w:cs="Times New Roman"/>
          <w:color w:val="000000"/>
          <w:kern w:val="0"/>
          <w:sz w:val="28"/>
          <w:szCs w:val="28"/>
          <w:highlight w:val="none"/>
        </w:rPr>
        <w:t>境外</w:t>
      </w:r>
      <w:r>
        <w:rPr>
          <w:rFonts w:hint="eastAsia" w:ascii="Times New Roman" w:hAnsi="Times New Roman" w:cs="Times New Roman"/>
          <w:color w:val="000000"/>
          <w:kern w:val="0"/>
          <w:sz w:val="28"/>
          <w:szCs w:val="28"/>
          <w:highlight w:val="none"/>
          <w:lang w:eastAsia="zh-CN"/>
        </w:rPr>
        <w:t>中介</w:t>
      </w:r>
      <w:r>
        <w:rPr>
          <w:rFonts w:hint="default" w:ascii="Times New Roman" w:hAnsi="Times New Roman" w:eastAsia="宋体" w:cs="Times New Roman"/>
          <w:color w:val="000000"/>
          <w:kern w:val="0"/>
          <w:sz w:val="28"/>
          <w:szCs w:val="28"/>
          <w:highlight w:val="none"/>
        </w:rPr>
        <w:t>机构开具增值税普通发票。</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sz w:val="28"/>
          <w:szCs w:val="28"/>
          <w:highlight w:val="none"/>
        </w:rPr>
        <w:t xml:space="preserve">第六十一条 </w:t>
      </w:r>
      <w:r>
        <w:rPr>
          <w:rFonts w:hint="default" w:ascii="Times New Roman" w:hAnsi="Times New Roman" w:eastAsia="宋体" w:cs="Times New Roman"/>
          <w:color w:val="auto"/>
          <w:kern w:val="0"/>
          <w:sz w:val="28"/>
          <w:szCs w:val="28"/>
          <w:highlight w:val="none"/>
        </w:rPr>
        <w:t>卖方会员应当在第三交割日起（不含该日）第7个交易日闭市前向交易所提交增值税普通发票，未在规定时间内提交的，交易所对其按货款的5%预扣相应的款项，并按照《郑州商品交易所</w:t>
      </w:r>
      <w:r>
        <w:rPr>
          <w:rFonts w:hint="default" w:ascii="Times New Roman" w:hAnsi="Times New Roman" w:eastAsia="宋体" w:cs="Times New Roman"/>
          <w:color w:val="auto"/>
          <w:sz w:val="28"/>
          <w:szCs w:val="28"/>
          <w:highlight w:val="none"/>
        </w:rPr>
        <w:t>期货</w:t>
      </w:r>
      <w:r>
        <w:rPr>
          <w:rFonts w:hint="default" w:ascii="Times New Roman" w:hAnsi="Times New Roman" w:eastAsia="宋体" w:cs="Times New Roman"/>
          <w:color w:val="auto"/>
          <w:kern w:val="0"/>
          <w:sz w:val="28"/>
          <w:szCs w:val="28"/>
          <w:highlight w:val="none"/>
        </w:rPr>
        <w:t>交割管理办法》及《郑州商品交易所</w:t>
      </w:r>
      <w:r>
        <w:rPr>
          <w:rFonts w:hint="default" w:ascii="Times New Roman" w:hAnsi="Times New Roman" w:eastAsia="宋体" w:cs="Times New Roman"/>
          <w:color w:val="auto"/>
          <w:sz w:val="28"/>
          <w:szCs w:val="28"/>
          <w:highlight w:val="none"/>
        </w:rPr>
        <w:t>期货</w:t>
      </w:r>
      <w:r>
        <w:rPr>
          <w:rFonts w:hint="default" w:ascii="Times New Roman" w:hAnsi="Times New Roman" w:eastAsia="宋体" w:cs="Times New Roman"/>
          <w:color w:val="auto"/>
          <w:kern w:val="0"/>
          <w:sz w:val="28"/>
          <w:szCs w:val="28"/>
          <w:highlight w:val="none"/>
        </w:rPr>
        <w:t>结算管理办法》相关规定处理。</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sz w:val="28"/>
          <w:szCs w:val="28"/>
          <w:highlight w:val="none"/>
        </w:rPr>
        <w:t xml:space="preserve">第六十二条 </w:t>
      </w:r>
      <w:r>
        <w:rPr>
          <w:rFonts w:hint="default" w:ascii="Times New Roman" w:hAnsi="Times New Roman" w:eastAsia="宋体" w:cs="Times New Roman"/>
          <w:color w:val="auto"/>
          <w:sz w:val="28"/>
          <w:szCs w:val="28"/>
          <w:highlight w:val="none"/>
        </w:rPr>
        <w:t>PTA保税标准仓单的交割，除本节规定外，按照《郑州商品交易所期货交割管理办法》《郑州商品交易所期货结算管理办法》有关规定办理。</w:t>
      </w:r>
    </w:p>
    <w:p>
      <w:pPr>
        <w:suppressAutoHyphens/>
        <w:bidi w:val="0"/>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第四节 保税标准仓单期转现</w:t>
      </w:r>
    </w:p>
    <w:p>
      <w:pPr>
        <w:suppressAutoHyphens/>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 xml:space="preserve">第六十三条 </w:t>
      </w:r>
      <w:r>
        <w:rPr>
          <w:rFonts w:hint="default" w:ascii="Times New Roman" w:hAnsi="Times New Roman" w:eastAsia="宋体" w:cs="Times New Roman"/>
          <w:color w:val="auto"/>
          <w:sz w:val="28"/>
          <w:szCs w:val="28"/>
          <w:highlight w:val="none"/>
        </w:rPr>
        <w:t>PTA保税期转现的保税标准仓单交收和货款支付由交易所负责办理，手续费按照《郑州商品交易所期货结算</w:t>
      </w:r>
      <w:r>
        <w:rPr>
          <w:rFonts w:hint="default" w:ascii="Times New Roman" w:hAnsi="Times New Roman" w:eastAsia="宋体" w:cs="Times New Roman"/>
          <w:color w:val="auto"/>
          <w:kern w:val="0"/>
          <w:sz w:val="28"/>
          <w:szCs w:val="28"/>
          <w:highlight w:val="none"/>
        </w:rPr>
        <w:t>管理办法</w:t>
      </w:r>
      <w:r>
        <w:rPr>
          <w:rFonts w:hint="default" w:ascii="Times New Roman" w:hAnsi="Times New Roman" w:eastAsia="宋体" w:cs="Times New Roman"/>
          <w:color w:val="auto"/>
          <w:sz w:val="28"/>
          <w:szCs w:val="28"/>
          <w:highlight w:val="none"/>
        </w:rPr>
        <w:t>》及《郑州商品交易所期货交割</w:t>
      </w:r>
      <w:r>
        <w:rPr>
          <w:rFonts w:hint="default" w:ascii="Times New Roman" w:hAnsi="Times New Roman" w:eastAsia="宋体" w:cs="Times New Roman"/>
          <w:color w:val="auto"/>
          <w:kern w:val="0"/>
          <w:sz w:val="28"/>
          <w:szCs w:val="28"/>
          <w:highlight w:val="none"/>
        </w:rPr>
        <w:t>管理办法</w:t>
      </w:r>
      <w:r>
        <w:rPr>
          <w:rFonts w:hint="default" w:ascii="Times New Roman" w:hAnsi="Times New Roman" w:eastAsia="宋体" w:cs="Times New Roman"/>
          <w:color w:val="auto"/>
          <w:sz w:val="28"/>
          <w:szCs w:val="28"/>
          <w:highlight w:val="none"/>
        </w:rPr>
        <w:t>》等相关规定收取。</w:t>
      </w:r>
    </w:p>
    <w:p>
      <w:pPr>
        <w:suppressAutoHyphens/>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 xml:space="preserve">第六十四条 </w:t>
      </w:r>
      <w:r>
        <w:rPr>
          <w:rFonts w:hint="default" w:ascii="Times New Roman" w:hAnsi="Times New Roman" w:eastAsia="宋体" w:cs="Times New Roman"/>
          <w:color w:val="auto"/>
          <w:sz w:val="28"/>
          <w:szCs w:val="28"/>
          <w:highlight w:val="none"/>
        </w:rPr>
        <w:t>PTA保税期转现结算时，交易所按照申请日前一日最近交割月份合约结算价对买卖双方的相应持仓进行平仓，结算盈亏；按照保税期转现交割结算价划转货款。每个交易日结束后，交易所将当日执行的保税期转现有关信息予以公布。</w:t>
      </w:r>
    </w:p>
    <w:p>
      <w:pPr>
        <w:suppressAutoHyphens/>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保税期转现货款=保税期转现交割结算价×申请期转现保税仓单数量×交易单位</w:t>
      </w:r>
    </w:p>
    <w:p>
      <w:pPr>
        <w:suppressAutoHyphens/>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其中，保税期转现交割结算价=[(申请日前一日最近交割月份合约结算价-相关费用)/(1+进口增值税税率)-消费税]/(1+进口关税税率)。</w:t>
      </w:r>
    </w:p>
    <w:p>
      <w:pPr>
        <w:suppressAutoHyphens/>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前款所称“相关费用”包括商品进口报关、报检及代理服务费用等，具体由交易所另行发布；前款公式中，消费税从量计征，关税从价计征。</w:t>
      </w:r>
    </w:p>
    <w:p>
      <w:pPr>
        <w:suppressAutoHyphens/>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 xml:space="preserve">第六十五条 </w:t>
      </w:r>
      <w:r>
        <w:rPr>
          <w:rFonts w:hint="default" w:ascii="Times New Roman" w:hAnsi="Times New Roman" w:eastAsia="宋体" w:cs="Times New Roman"/>
          <w:color w:val="auto"/>
          <w:sz w:val="28"/>
          <w:szCs w:val="28"/>
          <w:highlight w:val="none"/>
        </w:rPr>
        <w:t>PTA保税期转现批准日的下一个交易日，交易所将卖方会员提交的保税标准仓单交付买方会员，为买卖双方开具《保税交割结算单》。《保税交割结算单》中应当包括价格信息、买卖双方名称、会员单位名称、实际数量、交割方式等内容， 交割方式中应当标注“期转现”。</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sz w:val="28"/>
          <w:szCs w:val="28"/>
          <w:highlight w:val="none"/>
        </w:rPr>
        <w:t xml:space="preserve">第六十六条 </w:t>
      </w:r>
      <w:r>
        <w:rPr>
          <w:rFonts w:hint="default" w:ascii="Times New Roman" w:hAnsi="Times New Roman" w:eastAsia="宋体" w:cs="Times New Roman"/>
          <w:color w:val="auto"/>
          <w:sz w:val="28"/>
          <w:szCs w:val="28"/>
          <w:highlight w:val="none"/>
        </w:rPr>
        <w:t>卖方会员应当在期转现批准日起（不含该日）第7个交易日闭市前向交易所提交增值税普通发票，</w:t>
      </w:r>
      <w:r>
        <w:rPr>
          <w:rFonts w:hint="default" w:ascii="Times New Roman" w:hAnsi="Times New Roman" w:eastAsia="宋体" w:cs="Times New Roman"/>
          <w:color w:val="auto"/>
          <w:kern w:val="0"/>
          <w:sz w:val="28"/>
          <w:szCs w:val="28"/>
          <w:highlight w:val="none"/>
        </w:rPr>
        <w:t>未在规定时间内提交的，交易所对其按货款的5%预扣相应的款项，并按照《郑州商品交易所</w:t>
      </w:r>
      <w:r>
        <w:rPr>
          <w:rFonts w:hint="default" w:ascii="Times New Roman" w:hAnsi="Times New Roman" w:eastAsia="宋体" w:cs="Times New Roman"/>
          <w:color w:val="auto"/>
          <w:sz w:val="28"/>
          <w:szCs w:val="28"/>
          <w:highlight w:val="none"/>
        </w:rPr>
        <w:t>期货</w:t>
      </w:r>
      <w:r>
        <w:rPr>
          <w:rFonts w:hint="default" w:ascii="Times New Roman" w:hAnsi="Times New Roman" w:eastAsia="宋体" w:cs="Times New Roman"/>
          <w:color w:val="auto"/>
          <w:kern w:val="0"/>
          <w:sz w:val="28"/>
          <w:szCs w:val="28"/>
          <w:highlight w:val="none"/>
        </w:rPr>
        <w:t>交割管理办法》及《郑州商品交易所</w:t>
      </w:r>
      <w:r>
        <w:rPr>
          <w:rFonts w:hint="default" w:ascii="Times New Roman" w:hAnsi="Times New Roman" w:eastAsia="宋体" w:cs="Times New Roman"/>
          <w:color w:val="auto"/>
          <w:sz w:val="28"/>
          <w:szCs w:val="28"/>
          <w:highlight w:val="none"/>
        </w:rPr>
        <w:t>期货</w:t>
      </w:r>
      <w:r>
        <w:rPr>
          <w:rFonts w:hint="default" w:ascii="Times New Roman" w:hAnsi="Times New Roman" w:eastAsia="宋体" w:cs="Times New Roman"/>
          <w:color w:val="auto"/>
          <w:kern w:val="0"/>
          <w:sz w:val="28"/>
          <w:szCs w:val="28"/>
          <w:highlight w:val="none"/>
        </w:rPr>
        <w:t>结算管理办法》相关规定处理。</w:t>
      </w:r>
    </w:p>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sz w:val="28"/>
          <w:szCs w:val="28"/>
          <w:highlight w:val="none"/>
        </w:rPr>
        <w:t xml:space="preserve">第六十七条 </w:t>
      </w:r>
      <w:r>
        <w:rPr>
          <w:rFonts w:hint="default" w:ascii="Times New Roman" w:hAnsi="Times New Roman" w:eastAsia="宋体" w:cs="Times New Roman"/>
          <w:color w:val="auto"/>
          <w:sz w:val="28"/>
          <w:szCs w:val="28"/>
          <w:highlight w:val="none"/>
        </w:rPr>
        <w:t>PTA保税标准仓单的期转现，除本节规定外，按照《郑州商品交易所期货交割管理办法》《郑州商品交易所期货结算管理办法》有关规定办理。</w:t>
      </w:r>
    </w:p>
    <w:p>
      <w:pPr>
        <w:suppressAutoHyphens/>
        <w:bidi w:val="0"/>
        <w:jc w:val="center"/>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b/>
          <w:color w:val="auto"/>
          <w:sz w:val="28"/>
          <w:szCs w:val="28"/>
          <w:highlight w:val="none"/>
        </w:rPr>
        <w:t>第五节 保税标准仓单作为保证金</w:t>
      </w:r>
    </w:p>
    <w:p>
      <w:pPr>
        <w:widowControl/>
        <w:shd w:val="clear" w:color="auto" w:fill="FFFFFF"/>
        <w:suppressAutoHyphens/>
        <w:bidi w:val="0"/>
        <w:ind w:firstLine="560" w:firstLineChars="200"/>
        <w:jc w:val="left"/>
        <w:rPr>
          <w:rFonts w:hint="default" w:ascii="Times New Roman" w:hAnsi="Times New Roman" w:eastAsia="宋体" w:cs="Times New Roman"/>
          <w:color w:val="212121"/>
          <w:kern w:val="0"/>
          <w:sz w:val="28"/>
          <w:szCs w:val="28"/>
          <w:highlight w:val="none"/>
        </w:rPr>
      </w:pPr>
      <w:r>
        <w:rPr>
          <w:rFonts w:hint="default" w:ascii="Times New Roman" w:hAnsi="Times New Roman" w:eastAsia="黑体" w:cs="Times New Roman"/>
          <w:color w:val="auto"/>
          <w:sz w:val="28"/>
          <w:szCs w:val="28"/>
          <w:highlight w:val="none"/>
        </w:rPr>
        <w:t xml:space="preserve">第六十八条 </w:t>
      </w:r>
      <w:r>
        <w:rPr>
          <w:rFonts w:hint="default" w:ascii="Times New Roman" w:hAnsi="Times New Roman" w:eastAsia="宋体" w:cs="Times New Roman"/>
          <w:color w:val="212121"/>
          <w:kern w:val="0"/>
          <w:sz w:val="28"/>
          <w:szCs w:val="28"/>
          <w:highlight w:val="none"/>
        </w:rPr>
        <w:t>PTA保税标准仓单可以作为保证金。保税标准仓单作为保证金的，交易所以办理日前一交易日最近交割月期货合约结算价扣除相关税费后的数额作为基准计算价值。</w:t>
      </w:r>
    </w:p>
    <w:p>
      <w:pPr>
        <w:suppressAutoHyphens/>
        <w:bidi w:val="0"/>
        <w:ind w:firstLine="560" w:firstLineChars="200"/>
        <w:rPr>
          <w:rFonts w:hint="default" w:ascii="Times New Roman" w:hAnsi="Times New Roman" w:eastAsia="宋体" w:cs="Times New Roman"/>
          <w:color w:val="212121"/>
          <w:kern w:val="0"/>
          <w:sz w:val="28"/>
          <w:szCs w:val="28"/>
          <w:highlight w:val="none"/>
        </w:rPr>
      </w:pPr>
      <w:r>
        <w:rPr>
          <w:rFonts w:hint="default" w:ascii="Times New Roman" w:hAnsi="Times New Roman" w:eastAsia="宋体" w:cs="Times New Roman"/>
          <w:color w:val="212121"/>
          <w:kern w:val="0"/>
          <w:sz w:val="28"/>
          <w:szCs w:val="28"/>
          <w:highlight w:val="none"/>
        </w:rPr>
        <w:t>保税标准仓单作为保证金的基准价格=[(申请日前一日最近交割月份合约结算价-相关费用)/(1+进口增值税税率)-消费税]/(1+进口关税税率)。</w:t>
      </w:r>
    </w:p>
    <w:p>
      <w:pPr>
        <w:suppressAutoHyphens/>
        <w:bidi w:val="0"/>
        <w:ind w:firstLine="560" w:firstLineChars="200"/>
        <w:rPr>
          <w:rFonts w:hint="default" w:ascii="Times New Roman" w:hAnsi="Times New Roman" w:eastAsia="宋体" w:cs="Times New Roman"/>
          <w:color w:val="212121"/>
          <w:kern w:val="0"/>
          <w:sz w:val="28"/>
          <w:szCs w:val="28"/>
          <w:highlight w:val="none"/>
        </w:rPr>
      </w:pPr>
      <w:r>
        <w:rPr>
          <w:rFonts w:hint="default" w:ascii="Times New Roman" w:hAnsi="Times New Roman" w:eastAsia="宋体" w:cs="Times New Roman"/>
          <w:color w:val="212121"/>
          <w:kern w:val="0"/>
          <w:sz w:val="28"/>
          <w:szCs w:val="28"/>
          <w:highlight w:val="none"/>
        </w:rPr>
        <w:t>前款所称“相关费用”包括商品进口报关、报检及代理服务费用等，具体由交易所另行发布；前款公式中，消费税从量计征，关税从价计征。</w:t>
      </w:r>
    </w:p>
    <w:p>
      <w:pPr>
        <w:widowControl/>
        <w:shd w:val="clear" w:color="auto" w:fill="FFFFFF"/>
        <w:suppressAutoHyphens/>
        <w:bidi w:val="0"/>
        <w:ind w:firstLine="560" w:firstLineChars="200"/>
        <w:jc w:val="left"/>
        <w:rPr>
          <w:rFonts w:hint="default" w:ascii="Times New Roman" w:hAnsi="Times New Roman" w:eastAsia="宋体" w:cs="Times New Roman"/>
          <w:color w:val="212121"/>
          <w:kern w:val="0"/>
          <w:sz w:val="28"/>
          <w:szCs w:val="28"/>
          <w:highlight w:val="none"/>
        </w:rPr>
      </w:pPr>
      <w:r>
        <w:rPr>
          <w:rFonts w:hint="default" w:ascii="Times New Roman" w:hAnsi="Times New Roman" w:eastAsia="黑体" w:cs="Times New Roman"/>
          <w:color w:val="auto"/>
          <w:sz w:val="28"/>
          <w:szCs w:val="28"/>
          <w:highlight w:val="none"/>
        </w:rPr>
        <w:t xml:space="preserve">第六十九条 </w:t>
      </w:r>
      <w:r>
        <w:rPr>
          <w:rFonts w:hint="default" w:ascii="Times New Roman" w:hAnsi="Times New Roman" w:eastAsia="宋体" w:cs="Times New Roman"/>
          <w:color w:val="212121"/>
          <w:kern w:val="0"/>
          <w:sz w:val="28"/>
          <w:szCs w:val="28"/>
          <w:highlight w:val="none"/>
        </w:rPr>
        <w:t>PTA保税标准仓单作为保证金具体流程按照《郑州商品交易所期货结算</w:t>
      </w:r>
      <w:r>
        <w:rPr>
          <w:rFonts w:hint="default" w:ascii="Times New Roman" w:hAnsi="Times New Roman" w:eastAsia="宋体" w:cs="Times New Roman"/>
          <w:color w:val="auto"/>
          <w:kern w:val="0"/>
          <w:sz w:val="28"/>
          <w:szCs w:val="28"/>
          <w:highlight w:val="none"/>
        </w:rPr>
        <w:t>管理办法</w:t>
      </w:r>
      <w:r>
        <w:rPr>
          <w:rFonts w:hint="default" w:ascii="Times New Roman" w:hAnsi="Times New Roman" w:eastAsia="宋体" w:cs="Times New Roman"/>
          <w:color w:val="212121"/>
          <w:kern w:val="0"/>
          <w:sz w:val="28"/>
          <w:szCs w:val="28"/>
          <w:highlight w:val="none"/>
        </w:rPr>
        <w:t>》有关规定办理。</w:t>
      </w:r>
    </w:p>
    <w:p>
      <w:pPr>
        <w:suppressAutoHyphens/>
        <w:bidi w:val="0"/>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第六节 保税标准仓单的注销和提货出库</w:t>
      </w:r>
    </w:p>
    <w:p>
      <w:pPr>
        <w:suppressAutoHyphens/>
        <w:bidi w:val="0"/>
        <w:ind w:firstLine="560" w:firstLineChars="200"/>
        <w:jc w:val="left"/>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 xml:space="preserve">第七十条 </w:t>
      </w:r>
      <w:r>
        <w:rPr>
          <w:rFonts w:hint="default" w:ascii="Times New Roman" w:hAnsi="Times New Roman" w:eastAsia="宋体" w:cs="Times New Roman"/>
          <w:color w:val="auto"/>
          <w:sz w:val="28"/>
          <w:szCs w:val="28"/>
          <w:highlight w:val="none"/>
        </w:rPr>
        <w:t>PTA保税标准仓单的注销业务流程和基本要求，除本细则规定外，按照《郑州商品交易所标准仓单管理办法》有关规定办理。</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 xml:space="preserve">第七十一条 </w:t>
      </w:r>
      <w:r>
        <w:rPr>
          <w:rFonts w:hint="default" w:ascii="Times New Roman" w:hAnsi="Times New Roman" w:eastAsia="宋体" w:cs="Times New Roman"/>
          <w:color w:val="auto"/>
          <w:sz w:val="28"/>
          <w:szCs w:val="28"/>
          <w:highlight w:val="none"/>
        </w:rPr>
        <w:t>PTA保税标准仓单持有人需要对保税商品办理报关进口或者转运出境的，按照当地海关的相关规定办理进口报关或者转运出境手续。</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 xml:space="preserve">第七十二条 </w:t>
      </w:r>
      <w:r>
        <w:rPr>
          <w:rFonts w:hint="default" w:ascii="Times New Roman" w:hAnsi="Times New Roman" w:eastAsia="宋体" w:cs="Times New Roman"/>
          <w:color w:val="auto"/>
          <w:sz w:val="28"/>
          <w:szCs w:val="28"/>
          <w:highlight w:val="none"/>
        </w:rPr>
        <w:t>保税商品办理报关进口时，按照保税交割结算单（报关专用）上标明的交割结算价向海关申报，供海关审定PTA完税价格，并按照海关相关规定缴纳税款。</w:t>
      </w:r>
    </w:p>
    <w:p>
      <w:pPr>
        <w:suppressAutoHyphens/>
        <w:bidi w:val="0"/>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第五章 出口型车（船）板交割</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第七十三条</w:t>
      </w:r>
      <w:r>
        <w:rPr>
          <w:rFonts w:hint="default" w:ascii="Times New Roman" w:hAnsi="Times New Roman" w:eastAsia="宋体" w:cs="Times New Roman"/>
          <w:color w:val="auto"/>
          <w:sz w:val="28"/>
          <w:szCs w:val="28"/>
          <w:highlight w:val="none"/>
        </w:rPr>
        <w:t xml:space="preserve"> 出口型车（船）板交割具体流程如下：</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（一）第一交割日（配对日）</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1.自进入交割月第一个交易日起至最后交易日的前一交易日，持有交割月合约的买方会员可以在每个交易日下午2时30分之前，通过会员服务系统提出交割申请，并同时提交相关信息，包括：数量、交割服务机构。</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2.卖方会员在会员服务系统响应买方会员的交割申请。卖方会员响应交割申请的，视为确认，买卖双方均不得撤销。未得到卖方会员响应的交割申请，买方会员可以于申请当日下午2时30分之前予以撤销。交割申请仅在申请当日有效。</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3.交割配对。当日闭市后，交易所进行交割配对。对于得到卖方会员响应的交割申请，交易所依据买卖双方相对应的持仓量和买卖双方确认申请量，取最小数进行配对。</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（二）第二交割日</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买卖双方通过交易所会员服务系统收取《交割通知单》。</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（三）第三交割日</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交易所对买卖双方进行交割结算。具体流程除本节规定外，按照《郑州商品交易所期货交割管理办法》有关规定办理。</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第七十四条</w:t>
      </w:r>
      <w:r>
        <w:rPr>
          <w:rFonts w:hint="default" w:ascii="Times New Roman" w:hAnsi="Times New Roman" w:eastAsia="宋体" w:cs="Times New Roman"/>
          <w:color w:val="auto"/>
          <w:sz w:val="28"/>
          <w:szCs w:val="28"/>
          <w:highlight w:val="none"/>
        </w:rPr>
        <w:t xml:space="preserve"> 出口型车（船）板交割货款=出口型车（船）板保税交割结算价×配对数量×交易单位； 其中， 出口型车（船）板保税交割结算价=（交割结算价+相关费用）/（1+增值税税率-出口关税税率）。</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前款所称“相关费用”包括商品出口报关、报检及代理服务费用等，具体由交易所另行公布；前款公式中，关税从价计征。</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出口型车（船）板保税交割结算价由交易所在交割月配对日闭市后公布。遇国家税收政策调整的，交易所可以对出口型车（船）板保税交割结算价的计算公式进行调整并及时公布。</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第七十五条</w:t>
      </w:r>
      <w:r>
        <w:rPr>
          <w:rFonts w:hint="default" w:ascii="Times New Roman" w:hAnsi="Times New Roman" w:eastAsia="宋体" w:cs="Times New Roman"/>
          <w:color w:val="auto"/>
          <w:sz w:val="28"/>
          <w:szCs w:val="28"/>
          <w:highlight w:val="none"/>
        </w:rPr>
        <w:t xml:space="preserve"> 出口型车（船）板交割应当委托交易所办理结算。</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第七十六条</w:t>
      </w:r>
      <w:r>
        <w:rPr>
          <w:rFonts w:hint="default" w:ascii="Times New Roman" w:hAnsi="Times New Roman" w:eastAsia="宋体" w:cs="Times New Roman"/>
          <w:color w:val="auto"/>
          <w:sz w:val="28"/>
          <w:szCs w:val="28"/>
          <w:highlight w:val="none"/>
        </w:rPr>
        <w:t xml:space="preserve"> 第三交割日下午3时前，买卖双方通过会员在会员服务系统确认《车（船）板交货事项确认单》，逾期未确认的，视为对确认单内容无异议。</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第七十七条</w:t>
      </w:r>
      <w:r>
        <w:rPr>
          <w:rFonts w:hint="default" w:ascii="Times New Roman" w:hAnsi="Times New Roman" w:eastAsia="宋体" w:cs="Times New Roman"/>
          <w:color w:val="auto"/>
          <w:sz w:val="28"/>
          <w:szCs w:val="28"/>
          <w:highlight w:val="none"/>
        </w:rPr>
        <w:t xml:space="preserve"> PTA出口型车（船）板交割在指定交割服务机构进行。买方应当在《车（船）板交货事项确认单》中确认交割服务机构进行交割，卖方应当按买方的要求交付货物。</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买卖双方应当在第三交割日之后（不含该日）5个工作日内完成报关并开始货物交收。</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交割服务机构可以根据实际交割数量调整交收时间，并通知买卖双方。</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卖方未在货物交收日下午1时30分之前将货物运达交割服务机构或者买方未按时到场监收的，视为未按规定时间交收货物。新的交收时间由交割服务机构根据规则重新确定。</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第七十八条</w:t>
      </w:r>
      <w:r>
        <w:rPr>
          <w:rFonts w:hint="default" w:ascii="Times New Roman" w:hAnsi="Times New Roman" w:eastAsia="宋体" w:cs="Times New Roman"/>
          <w:color w:val="auto"/>
          <w:sz w:val="28"/>
          <w:szCs w:val="28"/>
          <w:highlight w:val="none"/>
        </w:rPr>
        <w:t xml:space="preserve"> PTA货物重量验收可采用过地磅同时抽包检斤或者单独抽包检斤的方式进行。买方在货物交收时应当到交收地点监发，未到场监发的，视为对货物重量没有异议。</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货物发运完毕后，根据每天双方签字确认的交接过磅码单，经核准累计后确认货物重量。买卖双方签署《重量验收确认单》，作为交割货物重量的判定依据。</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第七十九条</w:t>
      </w:r>
      <w:r>
        <w:rPr>
          <w:rFonts w:hint="default" w:ascii="Times New Roman" w:hAnsi="Times New Roman" w:eastAsia="宋体" w:cs="Times New Roman"/>
          <w:color w:val="auto"/>
          <w:sz w:val="28"/>
          <w:szCs w:val="28"/>
          <w:highlight w:val="none"/>
        </w:rPr>
        <w:t xml:space="preserve"> PTA质量验收由买方负责。卖方应当向买方提交产品质量证明相关材料。买方应当在卖方货物到达交割服务机构后24小时内完成质量检验。买方完成质量验收后，买卖双方签署《质量验收确认单》，作为交割货物质量判定的依据。买方在规定的时间内因自身原因不能完成质量验收的，卖方不再承担该批货物的质量责任。</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第八十条</w:t>
      </w:r>
      <w:r>
        <w:rPr>
          <w:rFonts w:hint="default" w:ascii="Times New Roman" w:hAnsi="Times New Roman" w:eastAsia="宋体" w:cs="Times New Roman"/>
          <w:color w:val="auto"/>
          <w:sz w:val="28"/>
          <w:szCs w:val="28"/>
          <w:highlight w:val="none"/>
        </w:rPr>
        <w:t xml:space="preserve"> 买方对质量有异议的，应当在卖方货物到达交割服务机构后24小时内，针对有异议的项目委托指定质检机构进行复检。复检机构由交易所在指定质检机构中确定。复检机构应当在收到交易所复检通知日起（不含该日）5个工作日内做出复检结果，最终结果以复检结果为准。</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复检结果符合交割质量标准的，复检及相关费用由买方承担；复检结果不符合交割质量标准的，复检及相关费用由卖方承担。</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第八十一条</w:t>
      </w:r>
      <w:r>
        <w:rPr>
          <w:rFonts w:hint="default" w:ascii="Times New Roman" w:hAnsi="Times New Roman" w:eastAsia="宋体" w:cs="Times New Roman"/>
          <w:color w:val="auto"/>
          <w:sz w:val="28"/>
          <w:szCs w:val="28"/>
          <w:highlight w:val="none"/>
        </w:rPr>
        <w:t xml:space="preserve"> 有以下任一情况的，交割服务机构应当协商买卖双方重新确定货物交收日进行办理：（1）卖方由于一次性交割量较大而将逾期完成运送的；（2）因海关原因或者其他政策性原因导致卖方报关延迟完成的；（3）买卖双方另行协商一致的。</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第八十二条</w:t>
      </w:r>
      <w:r>
        <w:rPr>
          <w:rFonts w:hint="default" w:ascii="Times New Roman" w:hAnsi="Times New Roman" w:eastAsia="宋体" w:cs="Times New Roman"/>
          <w:color w:val="auto"/>
          <w:sz w:val="28"/>
          <w:szCs w:val="28"/>
          <w:highlight w:val="none"/>
        </w:rPr>
        <w:t xml:space="preserve"> 买卖双方未按规定时间交收货物造成延误的，守约方可以向交易所提出补偿申请，提交相应证据。交易所核实后，过错方扣罚滞纳金补偿给守约方。滞纳金金额=∑[5（元/吨·天）×延误天数×应发（收）未发（收）商品数量]。滞纳金扣罚总额不超过合约价值的20%，合约价值按照该批商品的交割结算价计算。</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第八十三条</w:t>
      </w:r>
      <w:r>
        <w:rPr>
          <w:rFonts w:hint="default" w:ascii="Times New Roman" w:hAnsi="Times New Roman" w:eastAsia="宋体" w:cs="Times New Roman"/>
          <w:color w:val="auto"/>
          <w:sz w:val="28"/>
          <w:szCs w:val="28"/>
          <w:highlight w:val="none"/>
        </w:rPr>
        <w:t xml:space="preserve"> 交易所完成资金划转后，为买卖双方开具《保税交割结算单》。《保税交割结算单》中应当包括价格信息、买卖双方名称、会员单位名称、实际数量、交割方式等内容，交割方式中应当标注“出口型车（船）板交割”。</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黑体" w:cs="Times New Roman"/>
          <w:color w:val="auto"/>
          <w:sz w:val="28"/>
          <w:szCs w:val="28"/>
          <w:highlight w:val="none"/>
        </w:rPr>
        <w:t>第八十四条</w:t>
      </w:r>
      <w:r>
        <w:rPr>
          <w:rFonts w:hint="default" w:ascii="Times New Roman" w:hAnsi="Times New Roman" w:eastAsia="宋体" w:cs="Times New Roman"/>
          <w:color w:val="auto"/>
          <w:sz w:val="28"/>
          <w:szCs w:val="28"/>
          <w:highlight w:val="none"/>
        </w:rPr>
        <w:t xml:space="preserve"> 参与 PTA出口型车（船）板交割的，境内卖方客户应当向卖方会员开具增值税普通发票；卖方会员应当向交易所开具增值税普通发票；交易所应当向买方会员开具增值税普通发票；买方会员应当向买方客户、</w:t>
      </w:r>
      <w:r>
        <w:rPr>
          <w:rFonts w:hint="eastAsia" w:ascii="Times New Roman" w:hAnsi="Times New Roman" w:cs="Times New Roman"/>
          <w:color w:val="auto"/>
          <w:sz w:val="28"/>
          <w:szCs w:val="28"/>
          <w:highlight w:val="none"/>
          <w:lang w:eastAsia="zh-CN"/>
        </w:rPr>
        <w:t>境外特殊参与者、</w:t>
      </w:r>
      <w:r>
        <w:rPr>
          <w:rFonts w:hint="default" w:ascii="Times New Roman" w:hAnsi="Times New Roman" w:eastAsia="宋体" w:cs="Times New Roman"/>
          <w:color w:val="auto"/>
          <w:sz w:val="28"/>
          <w:szCs w:val="28"/>
          <w:highlight w:val="none"/>
        </w:rPr>
        <w:t>境外</w:t>
      </w:r>
      <w:r>
        <w:rPr>
          <w:rFonts w:hint="eastAsia" w:ascii="Times New Roman" w:hAnsi="Times New Roman" w:cs="Times New Roman"/>
          <w:color w:val="auto"/>
          <w:sz w:val="28"/>
          <w:szCs w:val="28"/>
          <w:highlight w:val="none"/>
          <w:lang w:eastAsia="zh-CN"/>
        </w:rPr>
        <w:t>中介</w:t>
      </w:r>
      <w:r>
        <w:rPr>
          <w:rFonts w:hint="default" w:ascii="Times New Roman" w:hAnsi="Times New Roman" w:eastAsia="宋体" w:cs="Times New Roman"/>
          <w:color w:val="auto"/>
          <w:sz w:val="28"/>
          <w:szCs w:val="28"/>
          <w:highlight w:val="none"/>
        </w:rPr>
        <w:t>机构开具增值税普通发票。</w:t>
      </w:r>
    </w:p>
    <w:p>
      <w:pPr>
        <w:suppressAutoHyphens/>
        <w:bidi w:val="0"/>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卖方应当在交货完毕后7个交易日内或者合同约定的时间交付发票。延期交付的，按照《郑州商品交易所期货交割管理办法》有关规定处理。</w:t>
      </w:r>
    </w:p>
    <w:p>
      <w:pPr>
        <w:suppressAutoHyphens/>
        <w:bidi w:val="0"/>
        <w:ind w:firstLine="560" w:firstLineChars="200"/>
        <w:jc w:val="left"/>
        <w:rPr>
          <w:rFonts w:hint="default" w:ascii="Times New Roman" w:hAnsi="Times New Roman" w:eastAsia="黑体" w:cs="Times New Roman"/>
          <w:color w:val="000000"/>
          <w:kern w:val="0"/>
          <w:sz w:val="30"/>
          <w:szCs w:val="30"/>
          <w:highlight w:val="none"/>
        </w:rPr>
      </w:pPr>
      <w:r>
        <w:rPr>
          <w:rFonts w:hint="default" w:ascii="Times New Roman" w:hAnsi="Times New Roman" w:eastAsia="黑体" w:cs="Times New Roman"/>
          <w:color w:val="auto"/>
          <w:sz w:val="28"/>
          <w:szCs w:val="28"/>
          <w:highlight w:val="none"/>
        </w:rPr>
        <w:t>第八十五条</w:t>
      </w:r>
      <w:r>
        <w:rPr>
          <w:rFonts w:hint="default" w:ascii="Times New Roman" w:hAnsi="Times New Roman" w:eastAsia="宋体" w:cs="Times New Roman"/>
          <w:color w:val="auto"/>
          <w:sz w:val="28"/>
          <w:szCs w:val="28"/>
          <w:highlight w:val="none"/>
        </w:rPr>
        <w:t xml:space="preserve"> 出口型车（船）板交割本章未规定的，按照《郑州商品交易所期货交割管理办法》《郑州商品交易所期货结算管理办法》有关规定办理。</w:t>
      </w:r>
    </w:p>
    <w:p>
      <w:pPr>
        <w:tabs>
          <w:tab w:val="left" w:pos="1620"/>
        </w:tabs>
        <w:suppressAutoHyphens/>
        <w:autoSpaceDE w:val="0"/>
        <w:autoSpaceDN w:val="0"/>
        <w:bidi w:val="0"/>
        <w:jc w:val="center"/>
        <w:rPr>
          <w:rFonts w:hint="default" w:ascii="Times New Roman" w:hAnsi="Times New Roman" w:eastAsia="黑体" w:cs="Times New Roman"/>
          <w:color w:val="000000"/>
          <w:kern w:val="0"/>
          <w:sz w:val="30"/>
          <w:szCs w:val="30"/>
          <w:highlight w:val="none"/>
        </w:rPr>
      </w:pPr>
      <w:r>
        <w:rPr>
          <w:rFonts w:hint="default" w:ascii="Times New Roman" w:hAnsi="Times New Roman" w:eastAsia="黑体" w:cs="Times New Roman"/>
          <w:color w:val="000000"/>
          <w:kern w:val="0"/>
          <w:sz w:val="30"/>
          <w:szCs w:val="30"/>
          <w:highlight w:val="none"/>
        </w:rPr>
        <w:t>第</w:t>
      </w:r>
      <w:r>
        <w:rPr>
          <w:rFonts w:hint="default" w:ascii="Times New Roman" w:hAnsi="Times New Roman" w:eastAsia="黑体" w:cs="Times New Roman"/>
          <w:color w:val="000000"/>
          <w:kern w:val="0"/>
          <w:sz w:val="30"/>
          <w:szCs w:val="30"/>
          <w:highlight w:val="none"/>
          <w:lang w:eastAsia="zh-CN"/>
        </w:rPr>
        <w:t>六</w:t>
      </w:r>
      <w:r>
        <w:rPr>
          <w:rFonts w:hint="default" w:ascii="Times New Roman" w:hAnsi="Times New Roman" w:eastAsia="黑体" w:cs="Times New Roman"/>
          <w:color w:val="000000"/>
          <w:kern w:val="0"/>
          <w:sz w:val="30"/>
          <w:szCs w:val="30"/>
          <w:highlight w:val="none"/>
        </w:rPr>
        <w:t>章 风险管理</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eastAsia="zh-CN"/>
        </w:rPr>
        <w:t>八十六</w:t>
      </w:r>
      <w:r>
        <w:rPr>
          <w:rFonts w:hint="default" w:ascii="Times New Roman" w:hAnsi="Times New Roman" w:eastAsia="黑体" w:cs="Times New Roman"/>
          <w:color w:val="auto"/>
          <w:sz w:val="28"/>
          <w:szCs w:val="28"/>
          <w:highlight w:val="none"/>
        </w:rPr>
        <w:t xml:space="preserve">条 </w:t>
      </w:r>
      <w:r>
        <w:rPr>
          <w:rFonts w:hint="default" w:ascii="Times New Roman" w:hAnsi="Times New Roman" w:eastAsia="宋体" w:cs="Times New Roman"/>
          <w:color w:val="000000"/>
          <w:kern w:val="0"/>
          <w:sz w:val="28"/>
          <w:szCs w:val="28"/>
          <w:highlight w:val="none"/>
        </w:rPr>
        <w:t>PTA期货合约最低交易保证金标准为合约价值的5%。</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000000"/>
          <w:kern w:val="0"/>
          <w:sz w:val="28"/>
          <w:szCs w:val="28"/>
          <w:highlight w:val="none"/>
        </w:rPr>
      </w:pPr>
      <w:r>
        <w:rPr>
          <w:rFonts w:hint="default" w:ascii="Times New Roman" w:hAnsi="Times New Roman" w:eastAsia="宋体" w:cs="Times New Roman"/>
          <w:color w:val="000000"/>
          <w:kern w:val="0"/>
          <w:sz w:val="28"/>
          <w:szCs w:val="28"/>
          <w:highlight w:val="none"/>
        </w:rPr>
        <w:t>PTA期货合约交易保证金标准见下表：</w:t>
      </w:r>
    </w:p>
    <w:tbl>
      <w:tblPr>
        <w:tblStyle w:val="9"/>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交易时间段</w:t>
            </w:r>
          </w:p>
        </w:tc>
        <w:tc>
          <w:tcPr>
            <w:tcW w:w="2976"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自合约挂牌至交割月前一个月第15个日历日期间的交易日</w:t>
            </w:r>
          </w:p>
        </w:tc>
        <w:tc>
          <w:tcPr>
            <w:tcW w:w="2976"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000000"/>
                <w:kern w:val="0"/>
                <w:sz w:val="24"/>
                <w:szCs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自交割月前一个月第16个日历日至交割月前一个月最后一个日历日期间的交易日</w:t>
            </w:r>
          </w:p>
        </w:tc>
        <w:tc>
          <w:tcPr>
            <w:tcW w:w="2976"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000000"/>
                <w:kern w:val="0"/>
                <w:sz w:val="24"/>
                <w:szCs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交割月份</w:t>
            </w:r>
          </w:p>
        </w:tc>
        <w:tc>
          <w:tcPr>
            <w:tcW w:w="2976"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合约价值的20%</w:t>
            </w:r>
          </w:p>
        </w:tc>
      </w:tr>
    </w:tbl>
    <w:p>
      <w:pPr>
        <w:suppressAutoHyphens/>
        <w:bidi w:val="0"/>
        <w:ind w:firstLine="560" w:firstLineChars="200"/>
        <w:rPr>
          <w:rFonts w:hint="default" w:ascii="Times New Roman" w:hAnsi="Times New Roman" w:eastAsia="宋体" w:cs="Times New Roman"/>
          <w:color w:val="auto"/>
          <w:kern w:val="0"/>
          <w:sz w:val="28"/>
          <w:szCs w:val="28"/>
          <w:highlight w:val="none"/>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eastAsia="zh-CN"/>
        </w:rPr>
        <w:t>八十七</w:t>
      </w:r>
      <w:r>
        <w:rPr>
          <w:rFonts w:hint="default" w:ascii="Times New Roman" w:hAnsi="Times New Roman" w:eastAsia="黑体" w:cs="Times New Roman"/>
          <w:color w:val="auto"/>
          <w:sz w:val="28"/>
          <w:szCs w:val="28"/>
          <w:highlight w:val="none"/>
        </w:rPr>
        <w:t xml:space="preserve">条 </w:t>
      </w:r>
      <w:r>
        <w:rPr>
          <w:rFonts w:hint="default" w:ascii="Times New Roman" w:hAnsi="Times New Roman" w:eastAsia="宋体" w:cs="Times New Roman"/>
          <w:color w:val="auto"/>
          <w:kern w:val="0"/>
          <w:sz w:val="28"/>
          <w:szCs w:val="28"/>
          <w:highlight w:val="none"/>
        </w:rPr>
        <w:t>PTA期货合约每日涨跌停板幅度为前一交易日结算价的±4%。</w:t>
      </w:r>
    </w:p>
    <w:p>
      <w:pPr>
        <w:suppressAutoHyphens/>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eastAsia="zh-CN"/>
        </w:rPr>
        <w:t>八十八</w:t>
      </w:r>
      <w:r>
        <w:rPr>
          <w:rFonts w:hint="default" w:ascii="Times New Roman" w:hAnsi="Times New Roman" w:eastAsia="黑体" w:cs="Times New Roman"/>
          <w:color w:val="auto"/>
          <w:sz w:val="28"/>
          <w:szCs w:val="28"/>
          <w:highlight w:val="none"/>
        </w:rPr>
        <w:t xml:space="preserve">条 </w:t>
      </w:r>
      <w:r>
        <w:rPr>
          <w:rFonts w:hint="default" w:ascii="Times New Roman" w:hAnsi="Times New Roman" w:eastAsia="宋体" w:cs="Times New Roman"/>
          <w:color w:val="auto"/>
          <w:kern w:val="0"/>
          <w:sz w:val="28"/>
          <w:szCs w:val="28"/>
          <w:highlight w:val="none"/>
        </w:rPr>
        <w:t>PTA</w:t>
      </w:r>
      <w:r>
        <w:rPr>
          <w:rFonts w:hint="default" w:ascii="Times New Roman" w:hAnsi="Times New Roman" w:eastAsia="宋体" w:cs="Times New Roman"/>
          <w:color w:val="000000"/>
          <w:kern w:val="0"/>
          <w:sz w:val="28"/>
          <w:szCs w:val="28"/>
          <w:highlight w:val="none"/>
        </w:rPr>
        <w:t>期货合约限仓标准见下表：</w:t>
      </w:r>
    </w:p>
    <w:tbl>
      <w:tblPr>
        <w:tblStyle w:val="9"/>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2835"/>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交易时间段</w:t>
            </w:r>
          </w:p>
        </w:tc>
        <w:tc>
          <w:tcPr>
            <w:tcW w:w="5103" w:type="dxa"/>
            <w:gridSpan w:val="2"/>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非期货公司会员</w:t>
            </w:r>
            <w:r>
              <w:rPr>
                <w:rFonts w:hint="eastAsia" w:ascii="Times New Roman" w:hAnsi="Times New Roman" w:cs="Times New Roman"/>
                <w:color w:val="auto"/>
                <w:kern w:val="0"/>
                <w:sz w:val="24"/>
                <w:szCs w:val="24"/>
                <w:highlight w:val="none"/>
                <w:lang w:eastAsia="zh-CN"/>
              </w:rPr>
              <w:t>、境外特殊非经纪参与者</w:t>
            </w:r>
            <w:r>
              <w:rPr>
                <w:rFonts w:hint="default" w:ascii="Times New Roman" w:hAnsi="Times New Roman" w:eastAsia="宋体" w:cs="Times New Roman"/>
                <w:color w:val="auto"/>
                <w:kern w:val="0"/>
                <w:sz w:val="24"/>
                <w:szCs w:val="24"/>
                <w:highlight w:val="none"/>
              </w:rPr>
              <w:t>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402" w:type="dxa"/>
            <w:vMerge w:val="restart"/>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自合约挂牌至交割月前一个月第15个日历日期间的交易日</w:t>
            </w:r>
          </w:p>
        </w:tc>
        <w:tc>
          <w:tcPr>
            <w:tcW w:w="2835"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期货合约单边持仓量＜50万</w:t>
            </w:r>
          </w:p>
        </w:tc>
        <w:tc>
          <w:tcPr>
            <w:tcW w:w="2268"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3402" w:type="dxa"/>
            <w:vMerge w:val="continue"/>
            <w:noWrap w:val="0"/>
            <w:vAlign w:val="center"/>
          </w:tcPr>
          <w:p>
            <w:pPr>
              <w:tabs>
                <w:tab w:val="left" w:pos="1620"/>
              </w:tabs>
              <w:suppressAutoHyphens/>
              <w:autoSpaceDE w:val="0"/>
              <w:autoSpaceDN w:val="0"/>
              <w:bidi w:val="0"/>
              <w:ind w:firstLine="480" w:firstLineChars="200"/>
              <w:jc w:val="left"/>
              <w:rPr>
                <w:rFonts w:hint="default" w:ascii="Times New Roman" w:hAnsi="Times New Roman" w:eastAsia="宋体" w:cs="Times New Roman"/>
                <w:color w:val="000000"/>
                <w:kern w:val="0"/>
                <w:sz w:val="24"/>
                <w:szCs w:val="24"/>
                <w:highlight w:val="none"/>
              </w:rPr>
            </w:pPr>
          </w:p>
        </w:tc>
        <w:tc>
          <w:tcPr>
            <w:tcW w:w="2835"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期货合约单边持仓量≥50万</w:t>
            </w:r>
          </w:p>
        </w:tc>
        <w:tc>
          <w:tcPr>
            <w:tcW w:w="2268"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期货合约单边持仓量×10%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trPr>
        <w:tc>
          <w:tcPr>
            <w:tcW w:w="3402"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自交割月前一个月第16个日历日至交割月前一个月最后一个日历日期间的交易日</w:t>
            </w:r>
          </w:p>
        </w:tc>
        <w:tc>
          <w:tcPr>
            <w:tcW w:w="5103" w:type="dxa"/>
            <w:gridSpan w:val="2"/>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000000"/>
                <w:kern w:val="0"/>
                <w:sz w:val="24"/>
                <w:szCs w:val="24"/>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交割月份</w:t>
            </w:r>
          </w:p>
        </w:tc>
        <w:tc>
          <w:tcPr>
            <w:tcW w:w="5103" w:type="dxa"/>
            <w:gridSpan w:val="2"/>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5000</w:t>
            </w:r>
          </w:p>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（自然人客户最大单边持仓量为0）</w:t>
            </w:r>
          </w:p>
        </w:tc>
      </w:tr>
    </w:tbl>
    <w:p>
      <w:pPr>
        <w:suppressAutoHyphens/>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宋体" w:cs="Times New Roman"/>
          <w:color w:val="000000"/>
          <w:kern w:val="0"/>
          <w:sz w:val="28"/>
          <w:szCs w:val="28"/>
          <w:highlight w:val="none"/>
        </w:rPr>
        <w:t>本条所称限仓是指交易所规定会员</w:t>
      </w:r>
      <w:r>
        <w:rPr>
          <w:rFonts w:hint="eastAsia" w:ascii="Times New Roman" w:hAnsi="Times New Roman" w:cs="Times New Roman"/>
          <w:color w:val="000000"/>
          <w:kern w:val="0"/>
          <w:sz w:val="28"/>
          <w:szCs w:val="28"/>
          <w:highlight w:val="none"/>
          <w:lang w:eastAsia="zh-CN"/>
        </w:rPr>
        <w:t>、境外特殊参与者</w:t>
      </w:r>
      <w:r>
        <w:rPr>
          <w:rFonts w:hint="default" w:ascii="Times New Roman" w:hAnsi="Times New Roman" w:eastAsia="宋体" w:cs="Times New Roman"/>
          <w:color w:val="000000"/>
          <w:kern w:val="0"/>
          <w:sz w:val="28"/>
          <w:szCs w:val="28"/>
          <w:highlight w:val="none"/>
        </w:rPr>
        <w:t>或者客户按单边计算的、可以持有某一期货合约投机持仓的最大数量。</w:t>
      </w:r>
    </w:p>
    <w:p>
      <w:pPr>
        <w:suppressAutoHyphens/>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eastAsia="zh-CN"/>
        </w:rPr>
        <w:t>八十九</w:t>
      </w:r>
      <w:r>
        <w:rPr>
          <w:rFonts w:hint="default" w:ascii="Times New Roman" w:hAnsi="Times New Roman" w:eastAsia="黑体" w:cs="Times New Roman"/>
          <w:color w:val="auto"/>
          <w:sz w:val="28"/>
          <w:szCs w:val="28"/>
          <w:highlight w:val="none"/>
        </w:rPr>
        <w:t xml:space="preserve">条 </w:t>
      </w:r>
      <w:r>
        <w:rPr>
          <w:rFonts w:hint="default" w:ascii="Times New Roman" w:hAnsi="Times New Roman" w:eastAsia="宋体" w:cs="Times New Roman"/>
          <w:color w:val="000000"/>
          <w:kern w:val="0"/>
          <w:sz w:val="28"/>
          <w:szCs w:val="28"/>
          <w:highlight w:val="none"/>
        </w:rPr>
        <w:t>根据《郑州商品交易所期货交易风险控制管理办法》等有关规定，交易所对PTA期货合约交易保证金标准、涨跌停板幅度进行调整的，按照相关标准执行。</w:t>
      </w:r>
    </w:p>
    <w:p>
      <w:pPr>
        <w:suppressAutoHyphens/>
        <w:bidi w:val="0"/>
        <w:jc w:val="center"/>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000000"/>
          <w:kern w:val="0"/>
          <w:sz w:val="30"/>
          <w:szCs w:val="30"/>
          <w:highlight w:val="none"/>
        </w:rPr>
        <w:t>第</w:t>
      </w:r>
      <w:r>
        <w:rPr>
          <w:rFonts w:hint="default" w:ascii="Times New Roman" w:hAnsi="Times New Roman" w:eastAsia="黑体" w:cs="Times New Roman"/>
          <w:color w:val="000000"/>
          <w:kern w:val="0"/>
          <w:sz w:val="30"/>
          <w:szCs w:val="30"/>
          <w:highlight w:val="none"/>
          <w:lang w:eastAsia="zh-CN"/>
        </w:rPr>
        <w:t>七</w:t>
      </w:r>
      <w:r>
        <w:rPr>
          <w:rFonts w:hint="default" w:ascii="Times New Roman" w:hAnsi="Times New Roman" w:eastAsia="黑体" w:cs="Times New Roman"/>
          <w:color w:val="000000"/>
          <w:kern w:val="0"/>
          <w:sz w:val="30"/>
          <w:szCs w:val="30"/>
          <w:highlight w:val="none"/>
        </w:rPr>
        <w:t>章 附 则</w:t>
      </w:r>
    </w:p>
    <w:p>
      <w:pPr>
        <w:suppressAutoHyphens/>
        <w:bidi w:val="0"/>
        <w:ind w:firstLine="560" w:firstLineChars="200"/>
        <w:jc w:val="left"/>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eastAsia="zh-CN"/>
        </w:rPr>
        <w:t>九十</w:t>
      </w:r>
      <w:r>
        <w:rPr>
          <w:rFonts w:hint="default" w:ascii="Times New Roman" w:hAnsi="Times New Roman" w:eastAsia="黑体" w:cs="Times New Roman"/>
          <w:color w:val="auto"/>
          <w:sz w:val="28"/>
          <w:szCs w:val="28"/>
          <w:highlight w:val="none"/>
        </w:rPr>
        <w:t xml:space="preserve">条 </w:t>
      </w:r>
      <w:r>
        <w:rPr>
          <w:rFonts w:hint="default" w:ascii="Times New Roman" w:hAnsi="Times New Roman" w:eastAsia="宋体" w:cs="Times New Roman"/>
          <w:color w:val="000000"/>
          <w:kern w:val="0"/>
          <w:sz w:val="28"/>
          <w:szCs w:val="28"/>
          <w:highlight w:val="none"/>
        </w:rPr>
        <w:t>违反本细则规定的，交易所按照《郑州商品交易所违规处理办法》和其他业务规则的有关规定处理。</w:t>
      </w:r>
    </w:p>
    <w:p>
      <w:pPr>
        <w:tabs>
          <w:tab w:val="left" w:pos="1620"/>
        </w:tabs>
        <w:suppressAutoHyphens/>
        <w:autoSpaceDE w:val="0"/>
        <w:autoSpaceDN w:val="0"/>
        <w:bidi w:val="0"/>
        <w:ind w:firstLine="560" w:firstLineChars="200"/>
        <w:rPr>
          <w:rFonts w:hint="default" w:ascii="Times New Roman" w:hAnsi="Times New Roman" w:eastAsia="宋体" w:cs="Times New Roman"/>
          <w:b/>
          <w:color w:val="000000"/>
          <w:kern w:val="0"/>
          <w:sz w:val="28"/>
          <w:szCs w:val="28"/>
          <w:highlight w:val="none"/>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eastAsia="zh-CN"/>
        </w:rPr>
        <w:t>九十一</w:t>
      </w:r>
      <w:r>
        <w:rPr>
          <w:rFonts w:hint="default" w:ascii="Times New Roman" w:hAnsi="Times New Roman" w:eastAsia="黑体" w:cs="Times New Roman"/>
          <w:color w:val="auto"/>
          <w:sz w:val="28"/>
          <w:szCs w:val="28"/>
          <w:highlight w:val="none"/>
        </w:rPr>
        <w:t xml:space="preserve">条 </w:t>
      </w:r>
      <w:r>
        <w:rPr>
          <w:rFonts w:hint="default" w:ascii="Times New Roman" w:hAnsi="Times New Roman" w:eastAsia="宋体" w:cs="Times New Roman"/>
          <w:color w:val="000000"/>
          <w:kern w:val="0"/>
          <w:sz w:val="28"/>
          <w:szCs w:val="28"/>
          <w:highlight w:val="none"/>
        </w:rPr>
        <w:t>本细则未规定的，按照交易所相关业务规则的规定执行。</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eastAsia="zh-CN"/>
        </w:rPr>
        <w:t>九十二</w:t>
      </w:r>
      <w:r>
        <w:rPr>
          <w:rFonts w:hint="default" w:ascii="Times New Roman" w:hAnsi="Times New Roman" w:eastAsia="黑体" w:cs="Times New Roman"/>
          <w:color w:val="auto"/>
          <w:sz w:val="28"/>
          <w:szCs w:val="28"/>
          <w:highlight w:val="none"/>
        </w:rPr>
        <w:t xml:space="preserve">条 </w:t>
      </w:r>
      <w:r>
        <w:rPr>
          <w:rFonts w:hint="default" w:ascii="Times New Roman" w:hAnsi="Times New Roman" w:eastAsia="宋体" w:cs="Times New Roman"/>
          <w:color w:val="000000"/>
          <w:kern w:val="0"/>
          <w:sz w:val="28"/>
          <w:szCs w:val="28"/>
          <w:highlight w:val="none"/>
        </w:rPr>
        <w:t>本细则解释权属于郑州商品交易所。</w:t>
      </w:r>
    </w:p>
    <w:p>
      <w:pPr>
        <w:tabs>
          <w:tab w:val="left" w:pos="1620"/>
        </w:tabs>
        <w:autoSpaceDE w:val="0"/>
        <w:autoSpaceDN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eastAsia="zh-CN"/>
        </w:rPr>
        <w:t>九十三</w:t>
      </w:r>
      <w:r>
        <w:rPr>
          <w:rFonts w:hint="default" w:ascii="Times New Roman" w:hAnsi="Times New Roman" w:eastAsia="黑体" w:cs="Times New Roman"/>
          <w:color w:val="auto"/>
          <w:sz w:val="28"/>
          <w:szCs w:val="28"/>
          <w:highlight w:val="none"/>
        </w:rPr>
        <w:t xml:space="preserve">条 </w:t>
      </w:r>
      <w:r>
        <w:rPr>
          <w:rFonts w:hint="default" w:ascii="Times New Roman" w:hAnsi="Times New Roman" w:eastAsia="宋体" w:cs="Times New Roman"/>
          <w:color w:val="000000"/>
          <w:kern w:val="0"/>
          <w:sz w:val="28"/>
          <w:szCs w:val="28"/>
          <w:highlight w:val="none"/>
        </w:rPr>
        <w:t>本细则自</w:t>
      </w:r>
      <w:r>
        <w:rPr>
          <w:rFonts w:hint="default" w:ascii="Times New Roman" w:hAnsi="Times New Roman" w:eastAsia="宋体" w:cs="Times New Roman"/>
          <w:color w:val="000000"/>
          <w:kern w:val="0"/>
          <w:sz w:val="28"/>
          <w:szCs w:val="28"/>
          <w:highlight w:val="none"/>
          <w:lang w:val="en-US"/>
        </w:rPr>
        <w:t>202</w:t>
      </w:r>
      <w:r>
        <w:rPr>
          <w:rFonts w:hint="eastAsia" w:ascii="Times New Roman" w:hAnsi="Times New Roman" w:eastAsia="宋体" w:cs="Times New Roman"/>
          <w:color w:val="000000"/>
          <w:kern w:val="0"/>
          <w:sz w:val="28"/>
          <w:szCs w:val="28"/>
          <w:highlight w:val="none"/>
          <w:lang w:val="en-US" w:eastAsia="zh-CN"/>
        </w:rPr>
        <w:t>6</w:t>
      </w:r>
      <w:r>
        <w:rPr>
          <w:rFonts w:hint="default" w:ascii="Times New Roman" w:hAnsi="Times New Roman" w:eastAsia="宋体" w:cs="Times New Roman"/>
          <w:color w:val="000000"/>
          <w:kern w:val="0"/>
          <w:sz w:val="28"/>
          <w:szCs w:val="28"/>
          <w:highlight w:val="none"/>
        </w:rPr>
        <w:t>年</w:t>
      </w:r>
      <w:r>
        <w:rPr>
          <w:rFonts w:hint="default" w:cs="Times New Roman"/>
          <w:color w:val="000000"/>
          <w:kern w:val="0"/>
          <w:sz w:val="28"/>
          <w:szCs w:val="28"/>
          <w:highlight w:val="none"/>
          <w:lang w:val="en-US" w:eastAsia="zh-CN"/>
        </w:rPr>
        <w:t>5</w:t>
      </w:r>
      <w:r>
        <w:rPr>
          <w:rFonts w:hint="default" w:ascii="Times New Roman" w:hAnsi="Times New Roman" w:eastAsia="宋体" w:cs="Times New Roman"/>
          <w:color w:val="000000"/>
          <w:kern w:val="0"/>
          <w:sz w:val="28"/>
          <w:szCs w:val="28"/>
          <w:highlight w:val="none"/>
        </w:rPr>
        <w:t>月</w:t>
      </w:r>
      <w:r>
        <w:rPr>
          <w:rFonts w:hint="default" w:cs="Times New Roman"/>
          <w:color w:val="000000"/>
          <w:kern w:val="0"/>
          <w:sz w:val="28"/>
          <w:szCs w:val="28"/>
          <w:highlight w:val="none"/>
          <w:lang w:val="en-US" w:eastAsia="zh-CN"/>
        </w:rPr>
        <w:t>7</w:t>
      </w:r>
      <w:r>
        <w:rPr>
          <w:rFonts w:hint="default" w:ascii="Times New Roman" w:hAnsi="Times New Roman" w:eastAsia="宋体" w:cs="Times New Roman"/>
          <w:color w:val="000000"/>
          <w:kern w:val="0"/>
          <w:sz w:val="28"/>
          <w:szCs w:val="28"/>
          <w:highlight w:val="none"/>
        </w:rPr>
        <w:t>日起施行。</w:t>
      </w:r>
    </w:p>
    <w:p>
      <w:pPr>
        <w:rPr>
          <w:rFonts w:hint="default" w:ascii="黑体" w:hAnsi="黑体" w:eastAsia="黑体" w:cs="黑体"/>
          <w:sz w:val="32"/>
          <w:szCs w:val="32"/>
          <w:highlight w:val="none"/>
          <w:lang w:val="en-US" w:eastAsia="zh-CN"/>
        </w:rPr>
      </w:pPr>
    </w:p>
    <w:p>
      <w:pPr>
        <w:ind w:right="800"/>
        <w:rPr>
          <w:rFonts w:ascii="仿宋" w:hAnsi="仿宋" w:eastAsia="仿宋"/>
          <w:sz w:val="32"/>
          <w:szCs w:val="32"/>
          <w:highlight w:val="none"/>
        </w:rPr>
      </w:pPr>
    </w:p>
    <w:p>
      <w:pPr>
        <w:ind w:right="800"/>
        <w:rPr>
          <w:rFonts w:ascii="仿宋" w:hAnsi="仿宋" w:eastAsia="仿宋"/>
          <w:sz w:val="32"/>
          <w:szCs w:val="32"/>
          <w:highlight w:val="none"/>
        </w:rPr>
      </w:pPr>
    </w:p>
    <w:p>
      <w:pPr>
        <w:rPr>
          <w:rFonts w:ascii="仿宋" w:hAnsi="仿宋" w:eastAsia="仿宋"/>
          <w:sz w:val="32"/>
          <w:highlight w:val="none"/>
        </w:rPr>
      </w:pPr>
    </w:p>
    <w:p>
      <w:pPr>
        <w:ind w:firstLine="648"/>
        <w:rPr>
          <w:rFonts w:ascii="仿宋" w:hAnsi="仿宋" w:eastAsia="仿宋"/>
          <w:sz w:val="32"/>
          <w:szCs w:val="32"/>
          <w:highlight w:val="none"/>
        </w:rPr>
      </w:pPr>
    </w:p>
    <w:p>
      <w:pPr>
        <w:ind w:right="800"/>
        <w:rPr>
          <w:rFonts w:ascii="仿宋" w:hAnsi="仿宋" w:eastAsia="仿宋"/>
          <w:sz w:val="32"/>
          <w:szCs w:val="32"/>
          <w:highlight w:val="none"/>
        </w:rPr>
      </w:pPr>
    </w:p>
    <w:p>
      <w:pPr>
        <w:ind w:right="800"/>
        <w:rPr>
          <w:rFonts w:ascii="仿宋" w:hAnsi="仿宋" w:eastAsia="仿宋"/>
          <w:sz w:val="32"/>
          <w:szCs w:val="32"/>
          <w:highlight w:val="none"/>
        </w:rPr>
      </w:pPr>
    </w:p>
    <w:p>
      <w:pPr>
        <w:ind w:right="800"/>
        <w:rPr>
          <w:rFonts w:ascii="仿宋" w:hAnsi="仿宋" w:eastAsia="仿宋"/>
          <w:sz w:val="32"/>
          <w:szCs w:val="32"/>
          <w:highlight w:val="none"/>
        </w:rPr>
      </w:pPr>
    </w:p>
    <w:p>
      <w:pPr>
        <w:rPr>
          <w:rFonts w:ascii="仿宋" w:hAnsi="仿宋" w:eastAsia="仿宋"/>
          <w:sz w:val="32"/>
          <w:highlight w:val="none"/>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roman"/>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文本框 1025"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path/>
          <v:fill on="f" focussize="0,0"/>
          <v:stroke on="f"/>
          <v:imagedata o:title=""/>
          <o:lock v:ext="edit" aspectratio="f"/>
          <v:textbox inset="0mm,0mm,0mm,0mm" style="mso-fit-shape-to-text:t;">
            <w:txbxContent>
              <w:p>
                <w:pPr>
                  <w:pStyle w:val="4"/>
                  <w:wordWrap w:val="0"/>
                  <w:jc w:val="right"/>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2</w:t>
                </w:r>
                <w:r>
                  <w:rPr>
                    <w:rStyle w:val="11"/>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1</w:t>
    </w:r>
    <w:r>
      <w:rPr>
        <w:rStyle w:val="11"/>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4</w:t>
    </w:r>
    <w:r>
      <w:rPr>
        <w:rStyle w:val="11"/>
        <w:sz w:val="28"/>
      </w:rPr>
      <w:fldChar w:fldCharType="end"/>
    </w:r>
    <w:r>
      <w:rPr>
        <w:rFonts w:hint="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A6FF4"/>
    <w:multiLevelType w:val="singleLevel"/>
    <w:tmpl w:val="9DBA6FF4"/>
    <w:lvl w:ilvl="0" w:tentative="0">
      <w:start w:val="1"/>
      <w:numFmt w:val="chineseCounting"/>
      <w:suff w:val="nothing"/>
      <w:lvlText w:val="%1、"/>
      <w:lvlJc w:val="left"/>
      <w:rPr>
        <w:rFonts w:hint="eastAsia"/>
      </w:rPr>
    </w:lvl>
  </w:abstractNum>
  <w:abstractNum w:abstractNumId="1">
    <w:nsid w:val="BC463D22"/>
    <w:multiLevelType w:val="singleLevel"/>
    <w:tmpl w:val="BC463D22"/>
    <w:lvl w:ilvl="0" w:tentative="0">
      <w:start w:val="4"/>
      <w:numFmt w:val="chineseCounting"/>
      <w:suff w:val="space"/>
      <w:lvlText w:val="第%1条"/>
      <w:lvlJc w:val="left"/>
      <w:rPr>
        <w:rFonts w:hint="eastAsia"/>
        <w:highlight w:val="none"/>
      </w:rPr>
    </w:lvl>
  </w:abstractNum>
  <w:abstractNum w:abstractNumId="2">
    <w:nsid w:val="BCBE268C"/>
    <w:multiLevelType w:val="singleLevel"/>
    <w:tmpl w:val="BCBE268C"/>
    <w:lvl w:ilvl="0" w:tentative="0">
      <w:start w:val="1"/>
      <w:numFmt w:val="chineseCounting"/>
      <w:suff w:val="nothing"/>
      <w:lvlText w:val="%1、"/>
      <w:lvlJc w:val="left"/>
      <w:rPr>
        <w:rFonts w:hint="eastAsia"/>
      </w:rPr>
    </w:lvl>
  </w:abstractNum>
  <w:abstractNum w:abstractNumId="3">
    <w:nsid w:val="BDEC7217"/>
    <w:multiLevelType w:val="singleLevel"/>
    <w:tmpl w:val="BDEC7217"/>
    <w:lvl w:ilvl="0" w:tentative="0">
      <w:start w:val="1"/>
      <w:numFmt w:val="chineseCounting"/>
      <w:suff w:val="nothing"/>
      <w:lvlText w:val="%1、"/>
      <w:lvlJc w:val="left"/>
      <w:rPr>
        <w:rFonts w:hint="eastAsia" w:ascii="仿宋" w:hAnsi="仿宋" w:eastAsia="仿宋" w:cs="仿宋"/>
        <w:sz w:val="32"/>
        <w:szCs w:val="32"/>
      </w:rPr>
    </w:lvl>
  </w:abstractNum>
  <w:abstractNum w:abstractNumId="4">
    <w:nsid w:val="BEFF8BF7"/>
    <w:multiLevelType w:val="singleLevel"/>
    <w:tmpl w:val="BEFF8BF7"/>
    <w:lvl w:ilvl="0" w:tentative="0">
      <w:start w:val="1"/>
      <w:numFmt w:val="chineseCounting"/>
      <w:suff w:val="nothing"/>
      <w:lvlText w:val="（%1）"/>
      <w:lvlJc w:val="left"/>
      <w:rPr>
        <w:rFonts w:hint="eastAsia"/>
      </w:rPr>
    </w:lvl>
  </w:abstractNum>
  <w:abstractNum w:abstractNumId="5">
    <w:nsid w:val="CA564A09"/>
    <w:multiLevelType w:val="singleLevel"/>
    <w:tmpl w:val="CA564A09"/>
    <w:lvl w:ilvl="0" w:tentative="0">
      <w:start w:val="1"/>
      <w:numFmt w:val="chineseCounting"/>
      <w:suff w:val="nothing"/>
      <w:lvlText w:val="%1、"/>
      <w:lvlJc w:val="left"/>
      <w:rPr>
        <w:rFonts w:hint="eastAsia"/>
      </w:rPr>
    </w:lvl>
  </w:abstractNum>
  <w:abstractNum w:abstractNumId="6">
    <w:nsid w:val="CFFF82C1"/>
    <w:multiLevelType w:val="singleLevel"/>
    <w:tmpl w:val="CFFF82C1"/>
    <w:lvl w:ilvl="0" w:tentative="0">
      <w:start w:val="1"/>
      <w:numFmt w:val="chineseCounting"/>
      <w:suff w:val="nothing"/>
      <w:lvlText w:val="%1、"/>
      <w:lvlJc w:val="left"/>
      <w:rPr>
        <w:rFonts w:hint="eastAsia"/>
      </w:rPr>
    </w:lvl>
  </w:abstractNum>
  <w:abstractNum w:abstractNumId="7">
    <w:nsid w:val="D7FB8780"/>
    <w:multiLevelType w:val="singleLevel"/>
    <w:tmpl w:val="D7FB8780"/>
    <w:lvl w:ilvl="0" w:tentative="0">
      <w:start w:val="1"/>
      <w:numFmt w:val="chineseCounting"/>
      <w:suff w:val="nothing"/>
      <w:lvlText w:val="%1、"/>
      <w:lvlJc w:val="left"/>
      <w:rPr>
        <w:rFonts w:hint="eastAsia"/>
      </w:rPr>
    </w:lvl>
  </w:abstractNum>
  <w:abstractNum w:abstractNumId="8">
    <w:nsid w:val="DEB67821"/>
    <w:multiLevelType w:val="singleLevel"/>
    <w:tmpl w:val="DEB67821"/>
    <w:lvl w:ilvl="0" w:tentative="0">
      <w:start w:val="1"/>
      <w:numFmt w:val="chineseCounting"/>
      <w:suff w:val="nothing"/>
      <w:lvlText w:val="%1、"/>
      <w:lvlJc w:val="left"/>
      <w:rPr>
        <w:rFonts w:hint="eastAsia"/>
      </w:rPr>
    </w:lvl>
  </w:abstractNum>
  <w:abstractNum w:abstractNumId="9">
    <w:nsid w:val="DFFE9D0B"/>
    <w:multiLevelType w:val="singleLevel"/>
    <w:tmpl w:val="DFFE9D0B"/>
    <w:lvl w:ilvl="0" w:tentative="0">
      <w:start w:val="3"/>
      <w:numFmt w:val="chineseCounting"/>
      <w:suff w:val="nothing"/>
      <w:lvlText w:val="%1、"/>
      <w:lvlJc w:val="left"/>
      <w:pPr>
        <w:ind w:left="-10"/>
      </w:pPr>
      <w:rPr>
        <w:rFonts w:hint="eastAsia"/>
      </w:rPr>
    </w:lvl>
  </w:abstractNum>
  <w:abstractNum w:abstractNumId="10">
    <w:nsid w:val="E7EF94D4"/>
    <w:multiLevelType w:val="singleLevel"/>
    <w:tmpl w:val="E7EF94D4"/>
    <w:lvl w:ilvl="0" w:tentative="0">
      <w:start w:val="1"/>
      <w:numFmt w:val="chineseCounting"/>
      <w:suff w:val="nothing"/>
      <w:lvlText w:val="%1、"/>
      <w:lvlJc w:val="left"/>
      <w:rPr>
        <w:rFonts w:hint="eastAsia"/>
      </w:rPr>
    </w:lvl>
  </w:abstractNum>
  <w:abstractNum w:abstractNumId="11">
    <w:nsid w:val="EBFEB564"/>
    <w:multiLevelType w:val="singleLevel"/>
    <w:tmpl w:val="EBFEB564"/>
    <w:lvl w:ilvl="0" w:tentative="0">
      <w:start w:val="1"/>
      <w:numFmt w:val="chineseCounting"/>
      <w:suff w:val="nothing"/>
      <w:lvlText w:val="%1、"/>
      <w:lvlJc w:val="left"/>
      <w:rPr>
        <w:rFonts w:hint="eastAsia"/>
      </w:rPr>
    </w:lvl>
  </w:abstractNum>
  <w:abstractNum w:abstractNumId="12">
    <w:nsid w:val="EEFFFCA8"/>
    <w:multiLevelType w:val="singleLevel"/>
    <w:tmpl w:val="EEFFFCA8"/>
    <w:lvl w:ilvl="0" w:tentative="0">
      <w:start w:val="1"/>
      <w:numFmt w:val="chineseCounting"/>
      <w:suff w:val="nothing"/>
      <w:lvlText w:val="%1、"/>
      <w:lvlJc w:val="left"/>
      <w:rPr>
        <w:rFonts w:hint="eastAsia"/>
      </w:rPr>
    </w:lvl>
  </w:abstractNum>
  <w:abstractNum w:abstractNumId="13">
    <w:nsid w:val="FDFD9342"/>
    <w:multiLevelType w:val="singleLevel"/>
    <w:tmpl w:val="FDFD9342"/>
    <w:lvl w:ilvl="0" w:tentative="0">
      <w:start w:val="1"/>
      <w:numFmt w:val="chineseCounting"/>
      <w:suff w:val="nothing"/>
      <w:lvlText w:val="%1、"/>
      <w:lvlJc w:val="left"/>
      <w:rPr>
        <w:rFonts w:hint="eastAsia"/>
      </w:rPr>
    </w:lvl>
  </w:abstractNum>
  <w:abstractNum w:abstractNumId="14">
    <w:nsid w:val="FEF70C82"/>
    <w:multiLevelType w:val="singleLevel"/>
    <w:tmpl w:val="FEF70C82"/>
    <w:lvl w:ilvl="0" w:tentative="0">
      <w:start w:val="1"/>
      <w:numFmt w:val="chineseCounting"/>
      <w:suff w:val="nothing"/>
      <w:lvlText w:val="%1、"/>
      <w:lvlJc w:val="left"/>
      <w:rPr>
        <w:rFonts w:hint="eastAsia"/>
      </w:rPr>
    </w:lvl>
  </w:abstractNum>
  <w:abstractNum w:abstractNumId="15">
    <w:nsid w:val="FFCE5205"/>
    <w:multiLevelType w:val="singleLevel"/>
    <w:tmpl w:val="FFCE5205"/>
    <w:lvl w:ilvl="0" w:tentative="0">
      <w:start w:val="1"/>
      <w:numFmt w:val="chineseCounting"/>
      <w:suff w:val="nothing"/>
      <w:lvlText w:val="%1、"/>
      <w:lvlJc w:val="left"/>
      <w:rPr>
        <w:rFonts w:hint="eastAsia"/>
      </w:rPr>
    </w:lvl>
  </w:abstractNum>
  <w:abstractNum w:abstractNumId="16">
    <w:nsid w:val="FFDD3178"/>
    <w:multiLevelType w:val="singleLevel"/>
    <w:tmpl w:val="FFDD3178"/>
    <w:lvl w:ilvl="0" w:tentative="0">
      <w:start w:val="1"/>
      <w:numFmt w:val="chineseCounting"/>
      <w:suff w:val="nothing"/>
      <w:lvlText w:val="%1、"/>
      <w:lvlJc w:val="left"/>
      <w:rPr>
        <w:rFonts w:hint="eastAsia"/>
      </w:rPr>
    </w:lvl>
  </w:abstractNum>
  <w:abstractNum w:abstractNumId="17">
    <w:nsid w:val="0713013F"/>
    <w:multiLevelType w:val="multilevel"/>
    <w:tmpl w:val="0713013F"/>
    <w:lvl w:ilvl="0" w:tentative="0">
      <w:start w:val="3"/>
      <w:numFmt w:val="japaneseCounting"/>
      <w:lvlText w:val="第%1章"/>
      <w:lvlJc w:val="left"/>
      <w:pPr>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156A40A3"/>
    <w:multiLevelType w:val="multilevel"/>
    <w:tmpl w:val="156A40A3"/>
    <w:lvl w:ilvl="0" w:tentative="0">
      <w:start w:val="1"/>
      <w:numFmt w:val="japaneseCounting"/>
      <w:lvlText w:val="第%1章"/>
      <w:lvlJc w:val="left"/>
      <w:pPr>
        <w:ind w:left="1080" w:hanging="108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93C5852"/>
    <w:multiLevelType w:val="multilevel"/>
    <w:tmpl w:val="193C5852"/>
    <w:lvl w:ilvl="0" w:tentative="0">
      <w:start w:val="1"/>
      <w:numFmt w:val="japaneseCounting"/>
      <w:lvlText w:val="第%1章"/>
      <w:lvlJc w:val="left"/>
      <w:pPr>
        <w:ind w:left="698" w:hanging="720"/>
      </w:pPr>
      <w:rPr>
        <w:rFonts w:hint="default"/>
      </w:rPr>
    </w:lvl>
    <w:lvl w:ilvl="1" w:tentative="0">
      <w:start w:val="1"/>
      <w:numFmt w:val="lowerLetter"/>
      <w:lvlText w:val="%2)"/>
      <w:lvlJc w:val="left"/>
      <w:pPr>
        <w:ind w:left="818" w:hanging="420"/>
      </w:pPr>
    </w:lvl>
    <w:lvl w:ilvl="2" w:tentative="0">
      <w:start w:val="1"/>
      <w:numFmt w:val="lowerRoman"/>
      <w:lvlText w:val="%3."/>
      <w:lvlJc w:val="right"/>
      <w:pPr>
        <w:ind w:left="1238" w:hanging="420"/>
      </w:pPr>
    </w:lvl>
    <w:lvl w:ilvl="3" w:tentative="0">
      <w:start w:val="1"/>
      <w:numFmt w:val="decimal"/>
      <w:lvlText w:val="%4."/>
      <w:lvlJc w:val="left"/>
      <w:pPr>
        <w:ind w:left="1658" w:hanging="420"/>
      </w:pPr>
    </w:lvl>
    <w:lvl w:ilvl="4" w:tentative="0">
      <w:start w:val="1"/>
      <w:numFmt w:val="lowerLetter"/>
      <w:lvlText w:val="%5)"/>
      <w:lvlJc w:val="left"/>
      <w:pPr>
        <w:ind w:left="2078" w:hanging="420"/>
      </w:pPr>
    </w:lvl>
    <w:lvl w:ilvl="5" w:tentative="0">
      <w:start w:val="1"/>
      <w:numFmt w:val="lowerRoman"/>
      <w:lvlText w:val="%6."/>
      <w:lvlJc w:val="right"/>
      <w:pPr>
        <w:ind w:left="2498" w:hanging="420"/>
      </w:pPr>
    </w:lvl>
    <w:lvl w:ilvl="6" w:tentative="0">
      <w:start w:val="1"/>
      <w:numFmt w:val="decimal"/>
      <w:lvlText w:val="%7."/>
      <w:lvlJc w:val="left"/>
      <w:pPr>
        <w:ind w:left="2918" w:hanging="420"/>
      </w:pPr>
    </w:lvl>
    <w:lvl w:ilvl="7" w:tentative="0">
      <w:start w:val="1"/>
      <w:numFmt w:val="lowerLetter"/>
      <w:lvlText w:val="%8)"/>
      <w:lvlJc w:val="left"/>
      <w:pPr>
        <w:ind w:left="3338" w:hanging="420"/>
      </w:pPr>
    </w:lvl>
    <w:lvl w:ilvl="8" w:tentative="0">
      <w:start w:val="1"/>
      <w:numFmt w:val="lowerRoman"/>
      <w:lvlText w:val="%9."/>
      <w:lvlJc w:val="right"/>
      <w:pPr>
        <w:ind w:left="3758" w:hanging="420"/>
      </w:pPr>
    </w:lvl>
  </w:abstractNum>
  <w:abstractNum w:abstractNumId="20">
    <w:nsid w:val="26FE221D"/>
    <w:multiLevelType w:val="multilevel"/>
    <w:tmpl w:val="26FE221D"/>
    <w:lvl w:ilvl="0" w:tentative="0">
      <w:start w:val="1"/>
      <w:numFmt w:val="japaneseCounting"/>
      <w:lvlText w:val="第%1章"/>
      <w:lvlJc w:val="left"/>
      <w:pPr>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04C62A"/>
    <w:multiLevelType w:val="singleLevel"/>
    <w:tmpl w:val="5E04C62A"/>
    <w:lvl w:ilvl="0" w:tentative="0">
      <w:start w:val="1"/>
      <w:numFmt w:val="chineseCounting"/>
      <w:suff w:val="nothing"/>
      <w:lvlText w:val="%1、"/>
      <w:lvlJc w:val="left"/>
      <w:rPr>
        <w:rFonts w:hint="eastAsia"/>
      </w:rPr>
    </w:lvl>
  </w:abstractNum>
  <w:abstractNum w:abstractNumId="22">
    <w:nsid w:val="64AD09D9"/>
    <w:multiLevelType w:val="multilevel"/>
    <w:tmpl w:val="64AD09D9"/>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5BE91EA"/>
    <w:multiLevelType w:val="singleLevel"/>
    <w:tmpl w:val="75BE91EA"/>
    <w:lvl w:ilvl="0" w:tentative="0">
      <w:start w:val="1"/>
      <w:numFmt w:val="chineseCounting"/>
      <w:suff w:val="nothing"/>
      <w:lvlText w:val="%1、"/>
      <w:lvlJc w:val="left"/>
      <w:rPr>
        <w:rFonts w:hint="eastAsia"/>
      </w:rPr>
    </w:lvl>
  </w:abstractNum>
  <w:abstractNum w:abstractNumId="24">
    <w:nsid w:val="76D5276F"/>
    <w:multiLevelType w:val="multilevel"/>
    <w:tmpl w:val="76D5276F"/>
    <w:lvl w:ilvl="0" w:tentative="0">
      <w:start w:val="1"/>
      <w:numFmt w:val="japaneseCounting"/>
      <w:lvlText w:val="第%1章"/>
      <w:lvlJc w:val="left"/>
      <w:pPr>
        <w:ind w:left="765" w:hanging="765"/>
      </w:pPr>
      <w:rPr>
        <w:rFonts w:hint="eastAsia" w:ascii="仿宋" w:hAnsi="仿宋" w:eastAsia="仿宋" w:cs="Arial"/>
        <w:b/>
        <w:color w:val="00000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7A4E66AC"/>
    <w:multiLevelType w:val="multilevel"/>
    <w:tmpl w:val="7A4E66AC"/>
    <w:lvl w:ilvl="0" w:tentative="0">
      <w:start w:val="1"/>
      <w:numFmt w:val="chineseCountingThousand"/>
      <w:suff w:val="space"/>
      <w:lvlText w:val="第%1条"/>
      <w:lvlJc w:val="left"/>
      <w:pPr>
        <w:ind w:left="5240" w:hanging="420"/>
      </w:pPr>
      <w:rPr>
        <w:rFonts w:hint="eastAsia" w:ascii="黑体" w:hAnsi="黑体" w:eastAsia="黑体"/>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DBF41B9"/>
    <w:multiLevelType w:val="singleLevel"/>
    <w:tmpl w:val="7DBF41B9"/>
    <w:lvl w:ilvl="0" w:tentative="0">
      <w:start w:val="1"/>
      <w:numFmt w:val="chineseCounting"/>
      <w:suff w:val="nothing"/>
      <w:lvlText w:val="%1、"/>
      <w:lvlJc w:val="left"/>
      <w:rPr>
        <w:rFonts w:hint="eastAsia"/>
      </w:rPr>
    </w:lvl>
  </w:abstractNum>
  <w:abstractNum w:abstractNumId="27">
    <w:nsid w:val="7E334616"/>
    <w:multiLevelType w:val="multilevel"/>
    <w:tmpl w:val="7E334616"/>
    <w:lvl w:ilvl="0" w:tentative="0">
      <w:start w:val="1"/>
      <w:numFmt w:val="japaneseCounting"/>
      <w:lvlText w:val="第%1章"/>
      <w:lvlJc w:val="left"/>
      <w:pPr>
        <w:ind w:left="108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FBEEE71"/>
    <w:multiLevelType w:val="singleLevel"/>
    <w:tmpl w:val="7FBEEE71"/>
    <w:lvl w:ilvl="0" w:tentative="0">
      <w:start w:val="15"/>
      <w:numFmt w:val="chineseCounting"/>
      <w:suff w:val="space"/>
      <w:lvlText w:val="第%1条"/>
      <w:lvlJc w:val="left"/>
      <w:rPr>
        <w:rFonts w:hint="eastAsia" w:ascii="黑体" w:hAnsi="黑体" w:eastAsia="黑体" w:cs="黑体"/>
        <w:sz w:val="28"/>
        <w:szCs w:val="28"/>
      </w:rPr>
    </w:lvl>
  </w:abstractNum>
  <w:num w:numId="1">
    <w:abstractNumId w:val="9"/>
  </w:num>
  <w:num w:numId="2">
    <w:abstractNumId w:val="23"/>
  </w:num>
  <w:num w:numId="3">
    <w:abstractNumId w:val="1"/>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3"/>
  </w:num>
  <w:num w:numId="9">
    <w:abstractNumId w:val="5"/>
  </w:num>
  <w:num w:numId="10">
    <w:abstractNumId w:val="10"/>
  </w:num>
  <w:num w:numId="11">
    <w:abstractNumId w:val="2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0"/>
  </w:num>
  <w:num w:numId="18">
    <w:abstractNumId w:val="24"/>
  </w:num>
  <w:num w:numId="19">
    <w:abstractNumId w:val="26"/>
  </w:num>
  <w:num w:numId="20">
    <w:abstractNumId w:val="8"/>
  </w:num>
  <w:num w:numId="21">
    <w:abstractNumId w:val="19"/>
  </w:num>
  <w:num w:numId="22">
    <w:abstractNumId w:val="4"/>
  </w:num>
  <w:num w:numId="23">
    <w:abstractNumId w:val="6"/>
  </w:num>
  <w:num w:numId="24">
    <w:abstractNumId w:val="1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F7EC0C6"/>
    <w:rsid w:val="1D6F0D9A"/>
    <w:rsid w:val="1EBDAAD7"/>
    <w:rsid w:val="22F99CF5"/>
    <w:rsid w:val="33FF1B0F"/>
    <w:rsid w:val="3F5BA443"/>
    <w:rsid w:val="3FCE87B0"/>
    <w:rsid w:val="4DDD8384"/>
    <w:rsid w:val="5ABB7CA1"/>
    <w:rsid w:val="5D7C0257"/>
    <w:rsid w:val="634DAEAF"/>
    <w:rsid w:val="673F3653"/>
    <w:rsid w:val="77BFB13F"/>
    <w:rsid w:val="78031D0F"/>
    <w:rsid w:val="7E2D050C"/>
    <w:rsid w:val="7FEFA309"/>
    <w:rsid w:val="7FF0D018"/>
    <w:rsid w:val="7FF7FD33"/>
    <w:rsid w:val="9DF9FD4F"/>
    <w:rsid w:val="B7DFAC35"/>
    <w:rsid w:val="B8DF74D5"/>
    <w:rsid w:val="DEDFDE2A"/>
    <w:rsid w:val="F6366B4A"/>
    <w:rsid w:val="F66DC2C9"/>
    <w:rsid w:val="F9BE5D55"/>
    <w:rsid w:val="F9E3707E"/>
    <w:rsid w:val="F9F5A53F"/>
    <w:rsid w:val="FBBF6867"/>
    <w:rsid w:val="FBF763A2"/>
    <w:rsid w:val="FECE755A"/>
    <w:rsid w:val="FF72A2A3"/>
    <w:rsid w:val="FFDFBEE7"/>
    <w:rsid w:val="FFDFE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箭头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rPr>
      <w:rFonts w:ascii="仿宋_GB2312" w:eastAsia="仿宋_GB2312"/>
      <w:sz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脚 Char"/>
    <w:basedOn w:val="10"/>
    <w:link w:val="4"/>
    <w:qFormat/>
    <w:uiPriority w:val="0"/>
    <w:rPr>
      <w:rFonts w:ascii="Times New Roman" w:hAnsi="Times New Roman" w:eastAsia="宋体" w:cs="Times New Roman"/>
      <w:sz w:val="18"/>
      <w:szCs w:val="18"/>
    </w:rPr>
  </w:style>
  <w:style w:type="character" w:customStyle="1" w:styleId="13">
    <w:name w:val="日期 Char"/>
    <w:basedOn w:val="10"/>
    <w:link w:val="3"/>
    <w:qFormat/>
    <w:uiPriority w:val="0"/>
    <w:rPr>
      <w:rFonts w:ascii="仿宋_GB2312" w:hAnsi="Times New Roman" w:eastAsia="仿宋_GB2312" w:cs="Times New Roman"/>
      <w:sz w:val="32"/>
      <w:szCs w:val="24"/>
    </w:rPr>
  </w:style>
  <w:style w:type="character" w:customStyle="1" w:styleId="14">
    <w:name w:val="页眉 Char"/>
    <w:basedOn w:val="10"/>
    <w:link w:val="5"/>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列出段落2"/>
    <w:basedOn w:val="1"/>
    <w:qFormat/>
    <w:uiPriority w:val="0"/>
    <w:pPr>
      <w:ind w:firstLine="420" w:firstLineChars="200"/>
    </w:pPr>
    <w:rPr>
      <w:rFonts w:ascii="Calibri" w:hAnsi="Calibri"/>
      <w:szCs w:val="22"/>
    </w:rPr>
  </w:style>
  <w:style w:type="paragraph" w:customStyle="1" w:styleId="17">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18">
    <w:name w:val="正文仿宋"/>
    <w:basedOn w:val="1"/>
    <w:qFormat/>
    <w:uiPriority w:val="0"/>
    <w:pPr>
      <w:widowControl/>
      <w:spacing w:afterLines="50" w:line="276" w:lineRule="auto"/>
      <w:ind w:firstLine="643" w:firstLineChars="201"/>
      <w:jc w:val="left"/>
    </w:pPr>
    <w:rPr>
      <w:rFonts w:ascii="仿宋" w:hAnsi="仿宋" w:eastAsia="仿宋" w:cs="仿宋_GB2312"/>
      <w:color w:val="000000"/>
      <w:kern w:val="0"/>
      <w:sz w:val="32"/>
      <w:szCs w:val="32"/>
      <w:lang w:bidi="en-US"/>
    </w:rPr>
  </w:style>
  <w:style w:type="paragraph" w:customStyle="1" w:styleId="19">
    <w:name w:val="正文内容"/>
    <w:basedOn w:val="1"/>
    <w:qFormat/>
    <w:uiPriority w:val="0"/>
    <w:pPr>
      <w:ind w:firstLine="200" w:firstLineChars="200"/>
    </w:pPr>
    <w:rPr>
      <w:rFonts w:ascii="Times New Roman" w:hAnsi="Times New Roman" w:eastAsia="仿宋"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textRotate="1"/>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2019-09-18T22:10:00Z</dcterms:created>
  <dc:creator>CN=李小鹏/OU=办公室/O=CZCE</dc:creator>
  <cp:lastModifiedBy>王新宇</cp:lastModifiedBy>
  <dcterms:modified xsi:type="dcterms:W3CDTF">2026-05-07T10:33:58Z</dcterms:modified>
  <dc:title>附件1 </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CB1F3BABD519AB63E95EF1696E0E34CF</vt:lpwstr>
  </property>
</Properties>
</file>